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b/>
          <w:sz w:val="32"/>
          <w:szCs w:val="32"/>
          <w:lang w:eastAsia="zh-CN"/>
        </w:rPr>
      </w:pPr>
      <w:r>
        <w:rPr>
          <w:rFonts w:hint="eastAsia"/>
          <w:b/>
          <w:sz w:val="32"/>
          <w:szCs w:val="32"/>
          <w:lang w:eastAsia="zh-CN"/>
        </w:rPr>
        <w:t>舒城县南港亚达加油站项目</w:t>
      </w:r>
    </w:p>
    <w:p>
      <w:pPr>
        <w:spacing w:line="440" w:lineRule="exact"/>
        <w:jc w:val="center"/>
        <w:rPr>
          <w:b/>
          <w:sz w:val="32"/>
          <w:szCs w:val="32"/>
        </w:rPr>
      </w:pPr>
      <w:r>
        <w:rPr>
          <w:rFonts w:hint="eastAsia"/>
          <w:b/>
          <w:sz w:val="32"/>
          <w:szCs w:val="32"/>
        </w:rPr>
        <w:t>竣工环保验收组意见</w:t>
      </w:r>
    </w:p>
    <w:p>
      <w:pPr>
        <w:spacing w:line="440" w:lineRule="exact"/>
        <w:jc w:val="center"/>
        <w:rPr>
          <w:b/>
          <w:sz w:val="32"/>
          <w:szCs w:val="32"/>
        </w:rPr>
      </w:pPr>
    </w:p>
    <w:p>
      <w:pPr>
        <w:spacing w:line="400" w:lineRule="exact"/>
        <w:ind w:firstLine="480" w:firstLineChars="200"/>
        <w:jc w:val="left"/>
        <w:rPr>
          <w:rFonts w:ascii="Times New Roman" w:hAnsi="Times New Roman" w:cs="Times New Roman"/>
          <w:bCs/>
          <w:sz w:val="24"/>
        </w:rPr>
      </w:pPr>
      <w:r>
        <w:rPr>
          <w:rFonts w:ascii="Times New Roman" w:hAnsi="Times New Roman" w:cs="Times New Roman"/>
          <w:bCs/>
          <w:color w:val="auto"/>
          <w:sz w:val="24"/>
        </w:rPr>
        <w:t>20</w:t>
      </w:r>
      <w:r>
        <w:rPr>
          <w:rFonts w:hint="eastAsia" w:ascii="Times New Roman" w:hAnsi="Times New Roman" w:cs="Times New Roman"/>
          <w:bCs/>
          <w:color w:val="auto"/>
          <w:sz w:val="24"/>
          <w:lang w:val="en-US" w:eastAsia="zh-CN"/>
        </w:rPr>
        <w:t>22</w:t>
      </w:r>
      <w:r>
        <w:rPr>
          <w:rFonts w:ascii="Times New Roman" w:hAnsi="Times New Roman" w:cs="Times New Roman"/>
          <w:bCs/>
          <w:color w:val="auto"/>
          <w:sz w:val="24"/>
        </w:rPr>
        <w:t>年</w:t>
      </w:r>
      <w:r>
        <w:rPr>
          <w:rFonts w:hint="eastAsia" w:ascii="Times New Roman" w:hAnsi="Times New Roman" w:cs="Times New Roman"/>
          <w:bCs/>
          <w:color w:val="auto"/>
          <w:sz w:val="24"/>
          <w:lang w:val="en-US" w:eastAsia="zh-CN"/>
        </w:rPr>
        <w:t>10</w:t>
      </w:r>
      <w:r>
        <w:rPr>
          <w:rFonts w:ascii="Times New Roman" w:hAnsi="Times New Roman" w:cs="Times New Roman"/>
          <w:bCs/>
          <w:color w:val="auto"/>
          <w:sz w:val="24"/>
        </w:rPr>
        <w:t>月</w:t>
      </w:r>
      <w:r>
        <w:rPr>
          <w:rFonts w:hint="eastAsia" w:ascii="Times New Roman" w:hAnsi="Times New Roman" w:cs="Times New Roman"/>
          <w:bCs/>
          <w:color w:val="auto"/>
          <w:sz w:val="24"/>
          <w:lang w:val="en-US" w:eastAsia="zh-CN"/>
        </w:rPr>
        <w:t>26</w:t>
      </w:r>
      <w:r>
        <w:rPr>
          <w:rFonts w:ascii="Times New Roman" w:hAnsi="Times New Roman" w:cs="Times New Roman"/>
          <w:bCs/>
          <w:color w:val="auto"/>
          <w:sz w:val="24"/>
        </w:rPr>
        <w:t>日，</w:t>
      </w:r>
      <w:r>
        <w:rPr>
          <w:rFonts w:hint="eastAsia" w:ascii="Times New Roman" w:hAnsi="Times New Roman" w:cs="Times New Roman"/>
          <w:bCs/>
          <w:color w:val="auto"/>
          <w:sz w:val="24"/>
          <w:lang w:eastAsia="zh-CN"/>
        </w:rPr>
        <w:t>舒城县南港亚达加油站</w:t>
      </w:r>
      <w:r>
        <w:rPr>
          <w:rFonts w:ascii="Times New Roman" w:hAnsi="Times New Roman" w:cs="Times New Roman"/>
          <w:bCs/>
          <w:sz w:val="24"/>
        </w:rPr>
        <w:t>根据</w:t>
      </w:r>
      <w:r>
        <w:rPr>
          <w:rFonts w:hint="eastAsia" w:ascii="Times New Roman" w:hAnsi="Times New Roman" w:cs="Times New Roman"/>
          <w:bCs/>
          <w:sz w:val="24"/>
          <w:lang w:eastAsia="zh-CN"/>
        </w:rPr>
        <w:t>舒城县南港亚达加油站项目</w:t>
      </w:r>
      <w:r>
        <w:rPr>
          <w:rFonts w:ascii="Times New Roman" w:hAnsi="Times New Roman" w:cs="Times New Roman"/>
          <w:bCs/>
          <w:sz w:val="24"/>
        </w:rPr>
        <w:t>竣工环境保护验收监测报告表并对照《建设项目竣工环境保护验收暂行办法》，严格依照国家有关法律法规、</w:t>
      </w:r>
      <w:r>
        <w:rPr>
          <w:rFonts w:hint="eastAsia" w:ascii="Times New Roman" w:hAnsi="Times New Roman" w:cs="Times New Roman"/>
          <w:bCs/>
          <w:sz w:val="24"/>
        </w:rPr>
        <w:t>《</w:t>
      </w:r>
      <w:r>
        <w:rPr>
          <w:rFonts w:ascii="Times New Roman" w:hAnsi="Times New Roman" w:cs="Times New Roman"/>
          <w:bCs/>
          <w:sz w:val="24"/>
        </w:rPr>
        <w:t>建设项目竣工环境保护验收技术</w:t>
      </w:r>
      <w:r>
        <w:rPr>
          <w:rFonts w:hint="eastAsia" w:ascii="Times New Roman" w:hAnsi="Times New Roman" w:cs="Times New Roman"/>
          <w:bCs/>
          <w:sz w:val="24"/>
        </w:rPr>
        <w:t>指南 污染影响类》</w:t>
      </w:r>
      <w:r>
        <w:rPr>
          <w:rFonts w:hint="eastAsia" w:ascii="Times New Roman" w:hAnsi="Times New Roman" w:cs="Times New Roman"/>
          <w:bCs/>
          <w:sz w:val="24"/>
          <w:lang w:val="en-US" w:eastAsia="zh-CN"/>
        </w:rPr>
        <w:t>,</w:t>
      </w:r>
      <w:r>
        <w:rPr>
          <w:rFonts w:ascii="Times New Roman" w:hAnsi="Times New Roman" w:cs="Times New Roman"/>
          <w:bCs/>
          <w:sz w:val="24"/>
        </w:rPr>
        <w:t>等要求对本项目进行验收，提出意见如下：</w:t>
      </w:r>
    </w:p>
    <w:p>
      <w:pPr>
        <w:spacing w:line="400" w:lineRule="exact"/>
        <w:ind w:firstLine="472" w:firstLineChars="196"/>
        <w:rPr>
          <w:rFonts w:ascii="Times New Roman" w:hAnsi="Times New Roman" w:cs="Times New Roman"/>
          <w:b/>
          <w:color w:val="333333"/>
          <w:sz w:val="24"/>
          <w:szCs w:val="24"/>
        </w:rPr>
      </w:pPr>
      <w:r>
        <w:rPr>
          <w:rFonts w:ascii="Times New Roman" w:hAnsi="Times New Roman" w:cs="Times New Roman"/>
          <w:b/>
          <w:color w:val="333333"/>
          <w:sz w:val="24"/>
          <w:szCs w:val="24"/>
        </w:rPr>
        <w:t>一、工程建设基本情况</w:t>
      </w:r>
    </w:p>
    <w:p>
      <w:pPr>
        <w:spacing w:line="400" w:lineRule="exact"/>
        <w:ind w:firstLine="354" w:firstLineChars="147"/>
        <w:rPr>
          <w:rFonts w:ascii="Times New Roman" w:hAnsi="Times New Roman" w:cs="Times New Roman"/>
          <w:b/>
          <w:color w:val="333333"/>
          <w:sz w:val="24"/>
          <w:szCs w:val="24"/>
        </w:rPr>
      </w:pPr>
      <w:r>
        <w:rPr>
          <w:rFonts w:ascii="Times New Roman" w:hAnsi="Times New Roman" w:cs="Times New Roman"/>
          <w:b/>
          <w:color w:val="333333"/>
          <w:sz w:val="24"/>
          <w:szCs w:val="24"/>
        </w:rPr>
        <w:t>（一）建设地点、规模、主要建设内容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ascii="Times New Roman" w:hAnsi="Times New Roman" w:cs="Times New Roman"/>
          <w:bCs/>
          <w:sz w:val="24"/>
        </w:rPr>
      </w:pPr>
      <w:r>
        <w:rPr>
          <w:rFonts w:hint="default" w:ascii="Times New Roman" w:hAnsi="Times New Roman" w:cs="Times New Roman"/>
          <w:color w:val="auto"/>
          <w:sz w:val="24"/>
          <w:szCs w:val="24"/>
        </w:rPr>
        <w:t>加油站</w:t>
      </w:r>
      <w:r>
        <w:rPr>
          <w:rFonts w:hint="default" w:ascii="Times New Roman" w:hAnsi="Times New Roman" w:cs="Times New Roman"/>
          <w:color w:val="auto"/>
          <w:sz w:val="24"/>
          <w:szCs w:val="24"/>
          <w:lang w:eastAsia="zh-CN"/>
        </w:rPr>
        <w:t>总占地</w:t>
      </w:r>
      <w:r>
        <w:rPr>
          <w:rFonts w:hint="default" w:ascii="Times New Roman" w:hAnsi="Times New Roman" w:cs="Times New Roman"/>
          <w:color w:val="auto"/>
          <w:sz w:val="24"/>
          <w:szCs w:val="24"/>
        </w:rPr>
        <w:t>面积</w:t>
      </w:r>
      <w:r>
        <w:rPr>
          <w:rFonts w:hint="default" w:ascii="Times New Roman" w:hAnsi="Times New Roman" w:cs="Times New Roman"/>
          <w:color w:val="auto"/>
          <w:sz w:val="24"/>
          <w:szCs w:val="24"/>
          <w:lang w:val="en-US" w:eastAsia="zh-CN"/>
        </w:rPr>
        <w:t>2666</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总建筑面积为</w:t>
      </w:r>
      <w:r>
        <w:rPr>
          <w:rFonts w:hint="default" w:ascii="Times New Roman" w:hAnsi="Times New Roman" w:cs="Times New Roman"/>
          <w:color w:val="auto"/>
          <w:sz w:val="24"/>
          <w:szCs w:val="24"/>
          <w:lang w:val="en-US" w:eastAsia="zh-CN"/>
        </w:rPr>
        <w:t>748m</w:t>
      </w:r>
      <w:r>
        <w:rPr>
          <w:rFonts w:hint="default" w:ascii="Times New Roman" w:hAnsi="Times New Roman" w:cs="Times New Roman"/>
          <w:color w:val="auto"/>
          <w:sz w:val="24"/>
          <w:szCs w:val="24"/>
          <w:vertAlign w:val="superscript"/>
          <w:lang w:val="en-US" w:eastAsia="zh-CN"/>
        </w:rPr>
        <w:t>2</w:t>
      </w:r>
      <w:r>
        <w:rPr>
          <w:rFonts w:hint="default" w:ascii="Times New Roman" w:hAnsi="Times New Roman" w:cs="Times New Roman"/>
          <w:color w:val="auto"/>
          <w:sz w:val="24"/>
          <w:szCs w:val="24"/>
          <w:lang w:val="en-US" w:eastAsia="zh-CN"/>
        </w:rPr>
        <w:t>，其中</w:t>
      </w:r>
      <w:r>
        <w:rPr>
          <w:rFonts w:hint="default" w:ascii="Times New Roman" w:hAnsi="Times New Roman" w:cs="Times New Roman"/>
          <w:color w:val="auto"/>
          <w:sz w:val="24"/>
          <w:szCs w:val="24"/>
        </w:rPr>
        <w:t>站房</w:t>
      </w:r>
      <w:r>
        <w:rPr>
          <w:rFonts w:hint="default" w:ascii="Times New Roman" w:hAnsi="Times New Roman" w:cs="Times New Roman"/>
          <w:color w:val="auto"/>
          <w:sz w:val="24"/>
          <w:szCs w:val="24"/>
          <w:lang w:eastAsia="zh-CN"/>
        </w:rPr>
        <w:t>建筑面积</w:t>
      </w:r>
      <w:r>
        <w:rPr>
          <w:rFonts w:hint="default" w:ascii="Times New Roman" w:hAnsi="Times New Roman" w:cs="Times New Roman"/>
          <w:color w:val="auto"/>
          <w:sz w:val="24"/>
          <w:szCs w:val="24"/>
          <w:lang w:val="en-US" w:eastAsia="zh-CN"/>
        </w:rPr>
        <w:t>384</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、罩棚</w:t>
      </w:r>
      <w:r>
        <w:rPr>
          <w:rFonts w:hint="default" w:ascii="Times New Roman" w:hAnsi="Times New Roman" w:cs="Times New Roman"/>
          <w:color w:val="auto"/>
          <w:sz w:val="24"/>
          <w:szCs w:val="24"/>
          <w:lang w:val="en-US" w:eastAsia="zh-CN"/>
        </w:rPr>
        <w:t>364</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lang w:val="en-US" w:eastAsia="zh-CN"/>
        </w:rPr>
        <w:t>，共设置容积均为30 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埋地卧式双层结构储油罐5座（3汽2柴）</w:t>
      </w:r>
      <w:r>
        <w:rPr>
          <w:rFonts w:hint="default" w:ascii="Times New Roman" w:hAnsi="Times New Roman" w:cs="Times New Roman"/>
          <w:color w:val="auto"/>
          <w:sz w:val="24"/>
          <w:szCs w:val="24"/>
          <w:lang w:eastAsia="zh-CN"/>
        </w:rPr>
        <w:t>，设置</w:t>
      </w:r>
      <w:r>
        <w:rPr>
          <w:rFonts w:hint="default" w:ascii="Times New Roman" w:hAnsi="Times New Roman" w:cs="Times New Roman"/>
          <w:color w:val="auto"/>
          <w:sz w:val="24"/>
          <w:szCs w:val="24"/>
          <w:lang w:val="en-US" w:eastAsia="zh-CN"/>
        </w:rPr>
        <w:t>4座加油岛，</w:t>
      </w:r>
      <w:r>
        <w:rPr>
          <w:rFonts w:hint="default" w:ascii="Times New Roman" w:hAnsi="Times New Roman" w:cs="Times New Roman"/>
          <w:color w:val="auto"/>
          <w:sz w:val="24"/>
          <w:szCs w:val="24"/>
        </w:rPr>
        <w:t>属</w:t>
      </w:r>
      <w:r>
        <w:rPr>
          <w:rFonts w:hint="default" w:ascii="Times New Roman" w:hAnsi="Times New Roman" w:cs="Times New Roman"/>
          <w:color w:val="auto"/>
          <w:sz w:val="24"/>
          <w:szCs w:val="24"/>
          <w:lang w:eastAsia="zh-CN"/>
        </w:rPr>
        <w:t>二</w:t>
      </w:r>
      <w:r>
        <w:rPr>
          <w:rFonts w:hint="default" w:ascii="Times New Roman" w:hAnsi="Times New Roman" w:cs="Times New Roman"/>
          <w:color w:val="auto"/>
          <w:sz w:val="24"/>
          <w:szCs w:val="24"/>
        </w:rPr>
        <w:t>级加油站</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配套4</w:t>
      </w:r>
      <w:r>
        <w:rPr>
          <w:rFonts w:hint="default" w:ascii="Times New Roman" w:hAnsi="Times New Roman" w:cs="Times New Roman"/>
          <w:color w:val="auto"/>
          <w:sz w:val="24"/>
          <w:szCs w:val="24"/>
        </w:rPr>
        <w:t>台</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枪</w:t>
      </w:r>
      <w:r>
        <w:rPr>
          <w:rFonts w:hint="default" w:ascii="Times New Roman" w:hAnsi="Times New Roman" w:cs="Times New Roman"/>
          <w:color w:val="auto"/>
          <w:sz w:val="24"/>
          <w:szCs w:val="24"/>
          <w:lang w:eastAsia="zh-CN"/>
        </w:rPr>
        <w:t>三</w:t>
      </w:r>
      <w:r>
        <w:rPr>
          <w:rFonts w:hint="default" w:ascii="Times New Roman" w:hAnsi="Times New Roman" w:cs="Times New Roman"/>
          <w:color w:val="auto"/>
          <w:sz w:val="24"/>
          <w:szCs w:val="24"/>
        </w:rPr>
        <w:t>油品自吸泵加油机，年销售汽油、柴油共</w:t>
      </w:r>
      <w:r>
        <w:rPr>
          <w:rFonts w:hint="default" w:ascii="Times New Roman" w:hAnsi="Times New Roman" w:cs="Times New Roman"/>
          <w:color w:val="auto"/>
          <w:sz w:val="24"/>
          <w:szCs w:val="24"/>
          <w:lang w:val="en-US" w:eastAsia="zh-CN"/>
        </w:rPr>
        <w:t>600</w:t>
      </w:r>
      <w:r>
        <w:rPr>
          <w:rFonts w:hint="default" w:ascii="Times New Roman" w:hAnsi="Times New Roman" w:cs="Times New Roman"/>
          <w:color w:val="auto"/>
          <w:sz w:val="24"/>
          <w:szCs w:val="24"/>
        </w:rPr>
        <w:t>吨</w:t>
      </w:r>
      <w:r>
        <w:rPr>
          <w:rFonts w:hint="default" w:ascii="Times New Roman" w:hAnsi="Times New Roman" w:cs="Times New Roman"/>
          <w:color w:val="auto"/>
          <w:sz w:val="24"/>
          <w:szCs w:val="24"/>
          <w:lang w:eastAsia="zh-CN"/>
        </w:rPr>
        <w:t>（汽油年销售</w:t>
      </w:r>
      <w:r>
        <w:rPr>
          <w:rFonts w:hint="default" w:ascii="Times New Roman" w:hAnsi="Times New Roman" w:cs="Times New Roman"/>
          <w:color w:val="auto"/>
          <w:sz w:val="24"/>
          <w:szCs w:val="24"/>
          <w:lang w:val="en-US" w:eastAsia="zh-CN"/>
        </w:rPr>
        <w:t>300t/a，柴油300t/a</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rPr>
        <w:t>。项目总投资</w:t>
      </w:r>
      <w:r>
        <w:rPr>
          <w:rFonts w:hint="default" w:ascii="Times New Roman" w:hAnsi="Times New Roman" w:eastAsia="宋体" w:cs="Times New Roman"/>
          <w:color w:val="auto"/>
          <w:sz w:val="24"/>
          <w:lang w:val="en-US" w:eastAsia="zh-CN"/>
        </w:rPr>
        <w:t>210</w:t>
      </w:r>
      <w:r>
        <w:rPr>
          <w:rFonts w:hint="default" w:ascii="Times New Roman" w:hAnsi="Times New Roman" w:eastAsia="宋体" w:cs="Times New Roman"/>
          <w:color w:val="auto"/>
          <w:sz w:val="24"/>
        </w:rPr>
        <w:t>万元，其中环保投资</w:t>
      </w:r>
      <w:r>
        <w:rPr>
          <w:rFonts w:hint="default" w:ascii="Times New Roman" w:hAnsi="Times New Roman" w:eastAsia="宋体" w:cs="Times New Roman"/>
          <w:color w:val="auto"/>
          <w:sz w:val="24"/>
          <w:lang w:val="en-US" w:eastAsia="zh-CN"/>
        </w:rPr>
        <w:t>126.5</w:t>
      </w:r>
      <w:r>
        <w:rPr>
          <w:rFonts w:hint="default" w:ascii="Times New Roman" w:hAnsi="Times New Roman" w:eastAsia="宋体" w:cs="Times New Roman"/>
          <w:color w:val="auto"/>
          <w:sz w:val="24"/>
        </w:rPr>
        <w:t>万元。</w:t>
      </w:r>
    </w:p>
    <w:p>
      <w:pPr>
        <w:pStyle w:val="2"/>
        <w:numPr>
          <w:numId w:val="0"/>
        </w:numPr>
        <w:spacing w:line="400" w:lineRule="exact"/>
        <w:ind w:firstLine="482" w:firstLineChars="200"/>
        <w:rPr>
          <w:rFonts w:ascii="Times New Roman" w:hAnsi="Times New Roman" w:cs="Times New Roman"/>
          <w:b/>
          <w:color w:val="333333"/>
        </w:rPr>
      </w:pPr>
      <w:r>
        <w:rPr>
          <w:rFonts w:hint="eastAsia" w:ascii="Times New Roman" w:hAnsi="Times New Roman" w:cs="Times New Roman"/>
          <w:b/>
          <w:color w:val="333333"/>
          <w:lang w:eastAsia="zh-CN"/>
        </w:rPr>
        <w:t>（二）</w:t>
      </w:r>
      <w:r>
        <w:rPr>
          <w:rFonts w:ascii="Times New Roman" w:hAnsi="Times New Roman" w:cs="Times New Roman"/>
          <w:b/>
          <w:color w:val="333333"/>
        </w:rPr>
        <w:t>投资情况</w:t>
      </w:r>
    </w:p>
    <w:p>
      <w:pPr>
        <w:pStyle w:val="2"/>
        <w:spacing w:line="400" w:lineRule="exact"/>
        <w:ind w:firstLine="480" w:firstLineChars="200"/>
        <w:rPr>
          <w:rFonts w:ascii="Times New Roman" w:hAnsi="Times New Roman" w:cs="Times New Roman"/>
          <w:bCs/>
          <w:color w:val="333333"/>
        </w:rPr>
      </w:pPr>
      <w:r>
        <w:rPr>
          <w:rFonts w:ascii="Times New Roman" w:hAnsi="Times New Roman" w:cs="Times New Roman"/>
          <w:bCs/>
          <w:color w:val="333333"/>
        </w:rPr>
        <w:t>实际总投资</w:t>
      </w:r>
      <w:r>
        <w:rPr>
          <w:rFonts w:hint="eastAsia" w:ascii="Times New Roman" w:hAnsi="Times New Roman" w:cs="Times New Roman"/>
          <w:color w:val="000000"/>
          <w:lang w:val="en-US" w:eastAsia="zh-CN"/>
        </w:rPr>
        <w:t>210</w:t>
      </w:r>
      <w:r>
        <w:rPr>
          <w:rFonts w:ascii="Times New Roman" w:hAnsi="Times New Roman" w:cs="Times New Roman"/>
          <w:color w:val="000000"/>
        </w:rPr>
        <w:t>万元</w:t>
      </w:r>
      <w:r>
        <w:rPr>
          <w:rFonts w:ascii="Times New Roman" w:hAnsi="Times New Roman" w:cs="Times New Roman"/>
          <w:bCs/>
          <w:color w:val="333333"/>
        </w:rPr>
        <w:t>，环保投资</w:t>
      </w:r>
      <w:r>
        <w:rPr>
          <w:rFonts w:hint="eastAsia" w:ascii="Times New Roman" w:hAnsi="Times New Roman" w:cs="Times New Roman"/>
          <w:color w:val="000000"/>
          <w:lang w:val="en-US" w:eastAsia="zh-CN"/>
        </w:rPr>
        <w:t>126.5</w:t>
      </w:r>
      <w:r>
        <w:rPr>
          <w:rFonts w:ascii="Times New Roman" w:hAnsi="Times New Roman" w:cs="Times New Roman"/>
          <w:bCs/>
          <w:color w:val="333333"/>
        </w:rPr>
        <w:t>万元，占建设项目总投资额的</w:t>
      </w:r>
      <w:r>
        <w:rPr>
          <w:rFonts w:hint="eastAsia" w:ascii="Times New Roman" w:hAnsi="Times New Roman" w:cs="Times New Roman"/>
          <w:bCs/>
          <w:color w:val="333333"/>
          <w:lang w:val="en-US" w:eastAsia="zh-CN"/>
        </w:rPr>
        <w:t>60.24</w:t>
      </w:r>
      <w:r>
        <w:rPr>
          <w:rFonts w:ascii="Times New Roman" w:hAnsi="Times New Roman" w:cs="Times New Roman"/>
          <w:bCs/>
          <w:color w:val="333333"/>
        </w:rPr>
        <w:t>%</w:t>
      </w:r>
      <w:r>
        <w:rPr>
          <w:rFonts w:hint="eastAsia" w:ascii="Times New Roman" w:hAnsi="Times New Roman" w:cs="Times New Roman"/>
          <w:bCs/>
          <w:color w:val="333333"/>
        </w:rPr>
        <w:t>。</w:t>
      </w:r>
    </w:p>
    <w:p>
      <w:pPr>
        <w:pStyle w:val="8"/>
        <w:spacing w:before="0" w:beforeAutospacing="0" w:after="0" w:afterAutospacing="0" w:line="400" w:lineRule="exact"/>
        <w:ind w:firstLine="482" w:firstLineChars="200"/>
        <w:rPr>
          <w:rFonts w:ascii="Times New Roman" w:hAnsi="Times New Roman" w:cs="Times New Roman"/>
          <w:b/>
          <w:color w:val="333333"/>
        </w:rPr>
      </w:pPr>
      <w:r>
        <w:rPr>
          <w:rFonts w:ascii="Times New Roman" w:hAnsi="Times New Roman" w:cs="Times New Roman"/>
          <w:b/>
          <w:color w:val="333333"/>
        </w:rPr>
        <w:t>（</w:t>
      </w:r>
      <w:r>
        <w:rPr>
          <w:rFonts w:hint="eastAsia" w:ascii="Times New Roman" w:hAnsi="Times New Roman" w:cs="Times New Roman"/>
          <w:b/>
          <w:color w:val="333333"/>
          <w:lang w:eastAsia="zh-CN"/>
        </w:rPr>
        <w:t>三</w:t>
      </w:r>
      <w:r>
        <w:rPr>
          <w:rFonts w:ascii="Times New Roman" w:hAnsi="Times New Roman" w:cs="Times New Roman"/>
          <w:b/>
          <w:color w:val="333333"/>
        </w:rPr>
        <w:t>）验收范围</w:t>
      </w:r>
    </w:p>
    <w:p>
      <w:pPr>
        <w:pStyle w:val="2"/>
        <w:spacing w:line="400" w:lineRule="exact"/>
        <w:ind w:firstLine="480" w:firstLineChars="200"/>
        <w:rPr>
          <w:rFonts w:hint="eastAsia" w:ascii="Times New Roman" w:hAnsi="Times New Roman" w:cs="Times New Roman"/>
          <w:bCs/>
          <w:color w:val="333333"/>
        </w:rPr>
      </w:pPr>
      <w:r>
        <w:rPr>
          <w:rFonts w:ascii="Times New Roman" w:hAnsi="Times New Roman" w:cs="Times New Roman"/>
          <w:bCs/>
          <w:color w:val="333333"/>
        </w:rPr>
        <w:t>本次</w:t>
      </w:r>
      <w:r>
        <w:rPr>
          <w:rFonts w:hint="eastAsia" w:ascii="Times New Roman" w:hAnsi="Times New Roman" w:cs="Times New Roman"/>
          <w:bCs/>
          <w:color w:val="333333"/>
        </w:rPr>
        <w:t>验收内容为油罐区</w:t>
      </w:r>
      <w:r>
        <w:rPr>
          <w:rFonts w:hint="eastAsia" w:ascii="Times New Roman" w:hAnsi="Times New Roman" w:cs="Times New Roman"/>
          <w:bCs/>
          <w:color w:val="333333"/>
          <w:lang w:val="en-US" w:eastAsia="zh-CN"/>
        </w:rPr>
        <w:t>5</w:t>
      </w:r>
      <w:r>
        <w:rPr>
          <w:rFonts w:hint="eastAsia" w:ascii="Times New Roman" w:hAnsi="Times New Roman" w:cs="Times New Roman"/>
          <w:bCs/>
          <w:color w:val="333333"/>
        </w:rPr>
        <w:t>座（</w:t>
      </w:r>
      <w:r>
        <w:rPr>
          <w:rFonts w:hint="eastAsia" w:ascii="Times New Roman" w:hAnsi="Times New Roman" w:cs="Times New Roman"/>
          <w:bCs/>
          <w:color w:val="333333"/>
          <w:lang w:val="en-US" w:eastAsia="zh-CN"/>
        </w:rPr>
        <w:t>3</w:t>
      </w:r>
      <w:r>
        <w:rPr>
          <w:rFonts w:hint="eastAsia" w:ascii="Times New Roman" w:hAnsi="Times New Roman" w:cs="Times New Roman"/>
          <w:bCs/>
          <w:color w:val="333333"/>
        </w:rPr>
        <w:t>汽</w:t>
      </w:r>
      <w:r>
        <w:rPr>
          <w:rFonts w:hint="eastAsia" w:ascii="Times New Roman" w:hAnsi="Times New Roman" w:cs="Times New Roman"/>
          <w:bCs/>
          <w:color w:val="333333"/>
          <w:lang w:val="en-US" w:eastAsia="zh-CN"/>
        </w:rPr>
        <w:t>2</w:t>
      </w:r>
      <w:r>
        <w:rPr>
          <w:rFonts w:hint="eastAsia" w:ascii="Times New Roman" w:hAnsi="Times New Roman" w:cs="Times New Roman"/>
          <w:bCs/>
          <w:color w:val="333333"/>
        </w:rPr>
        <w:t>柴）容积均为30 m</w:t>
      </w:r>
      <w:r>
        <w:rPr>
          <w:rFonts w:hint="eastAsia" w:ascii="Times New Roman" w:hAnsi="Times New Roman" w:cs="Times New Roman"/>
          <w:bCs/>
          <w:color w:val="333333"/>
          <w:vertAlign w:val="superscript"/>
        </w:rPr>
        <w:t>3</w:t>
      </w:r>
      <w:r>
        <w:rPr>
          <w:rFonts w:hint="eastAsia" w:ascii="Times New Roman" w:hAnsi="Times New Roman" w:cs="Times New Roman"/>
          <w:bCs/>
          <w:color w:val="333333"/>
        </w:rPr>
        <w:t>的卧式埋地</w:t>
      </w:r>
      <w:r>
        <w:rPr>
          <w:rFonts w:hint="eastAsia" w:ascii="Times New Roman" w:hAnsi="Times New Roman" w:cs="Times New Roman"/>
          <w:bCs/>
          <w:color w:val="333333"/>
          <w:lang w:eastAsia="zh-CN"/>
        </w:rPr>
        <w:t>双层罐</w:t>
      </w:r>
      <w:r>
        <w:rPr>
          <w:rFonts w:hint="eastAsia" w:ascii="Times New Roman" w:hAnsi="Times New Roman" w:cs="Times New Roman"/>
          <w:bCs/>
          <w:color w:val="333333"/>
        </w:rPr>
        <w:t>，加油区</w:t>
      </w:r>
      <w:r>
        <w:rPr>
          <w:rFonts w:hint="eastAsia" w:ascii="Times New Roman" w:hAnsi="Times New Roman" w:cs="Times New Roman"/>
          <w:bCs/>
          <w:color w:val="333333"/>
          <w:lang w:eastAsia="zh-CN"/>
        </w:rPr>
        <w:t>配套</w:t>
      </w:r>
      <w:r>
        <w:rPr>
          <w:rFonts w:hint="eastAsia"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台</w:t>
      </w:r>
      <w:r>
        <w:rPr>
          <w:rFonts w:hint="eastAsia" w:ascii="Times New Roman" w:hAnsi="Times New Roman" w:cs="Times New Roman"/>
          <w:color w:val="auto"/>
          <w:sz w:val="24"/>
          <w:szCs w:val="24"/>
          <w:lang w:eastAsia="zh-CN"/>
        </w:rPr>
        <w:t>四</w:t>
      </w:r>
      <w:r>
        <w:rPr>
          <w:rFonts w:hint="default" w:ascii="Times New Roman" w:hAnsi="Times New Roman" w:cs="Times New Roman"/>
          <w:color w:val="auto"/>
          <w:sz w:val="24"/>
          <w:szCs w:val="24"/>
        </w:rPr>
        <w:t>枪</w:t>
      </w:r>
      <w:r>
        <w:rPr>
          <w:rFonts w:hint="eastAsia" w:ascii="Times New Roman" w:hAnsi="Times New Roman" w:cs="Times New Roman"/>
          <w:color w:val="auto"/>
          <w:sz w:val="24"/>
          <w:szCs w:val="24"/>
          <w:lang w:eastAsia="zh-CN"/>
        </w:rPr>
        <w:t>三</w:t>
      </w:r>
      <w:r>
        <w:rPr>
          <w:rFonts w:hint="default" w:ascii="Times New Roman" w:hAnsi="Times New Roman" w:cs="Times New Roman"/>
          <w:color w:val="auto"/>
          <w:sz w:val="24"/>
          <w:szCs w:val="24"/>
        </w:rPr>
        <w:t>油品自吸泵加油机</w:t>
      </w:r>
      <w:r>
        <w:rPr>
          <w:rFonts w:hint="eastAsia" w:ascii="Times New Roman" w:hAnsi="Times New Roman" w:cs="Times New Roman"/>
          <w:bCs/>
          <w:color w:val="333333"/>
        </w:rPr>
        <w:t>，以及相应油气回收系统、站房、罩棚等配套环保工程、公建设施。</w:t>
      </w:r>
    </w:p>
    <w:p>
      <w:pPr>
        <w:spacing w:line="400" w:lineRule="exact"/>
        <w:ind w:firstLine="482" w:firstLineChars="200"/>
        <w:rPr>
          <w:rFonts w:ascii="Times New Roman" w:hAnsi="Times New Roman" w:cs="Times New Roman"/>
          <w:b/>
          <w:color w:val="333333"/>
          <w:sz w:val="24"/>
          <w:szCs w:val="24"/>
        </w:rPr>
      </w:pPr>
      <w:r>
        <w:rPr>
          <w:rFonts w:hint="eastAsia" w:ascii="Times New Roman" w:hAnsi="Times New Roman" w:cs="Times New Roman"/>
          <w:b/>
          <w:color w:val="333333"/>
          <w:sz w:val="24"/>
          <w:szCs w:val="24"/>
        </w:rPr>
        <w:t>二</w:t>
      </w:r>
      <w:r>
        <w:rPr>
          <w:rFonts w:ascii="Times New Roman" w:hAnsi="Times New Roman" w:cs="Times New Roman"/>
          <w:b/>
          <w:color w:val="333333"/>
          <w:sz w:val="24"/>
          <w:szCs w:val="24"/>
        </w:rPr>
        <w:t>、环境保护设施运行情况</w:t>
      </w:r>
    </w:p>
    <w:p>
      <w:pPr>
        <w:numPr>
          <w:ilvl w:val="0"/>
          <w:numId w:val="1"/>
        </w:numPr>
        <w:spacing w:line="400" w:lineRule="exact"/>
        <w:ind w:firstLine="482" w:firstLineChars="200"/>
        <w:rPr>
          <w:rFonts w:ascii="Times New Roman" w:hAnsi="Times New Roman" w:cs="Times New Roman"/>
          <w:b/>
          <w:sz w:val="24"/>
          <w:szCs w:val="24"/>
        </w:rPr>
      </w:pPr>
      <w:r>
        <w:rPr>
          <w:rFonts w:ascii="Times New Roman" w:hAnsi="Times New Roman" w:cs="Times New Roman"/>
          <w:b/>
          <w:sz w:val="24"/>
          <w:szCs w:val="24"/>
        </w:rPr>
        <w:t>废水</w:t>
      </w:r>
    </w:p>
    <w:p>
      <w:pPr>
        <w:keepNext w:val="0"/>
        <w:keepLines w:val="0"/>
        <w:pageBreakBefore w:val="0"/>
        <w:kinsoku/>
        <w:wordWrap/>
        <w:overflowPunct/>
        <w:topLinePunct w:val="0"/>
        <w:bidi w:val="0"/>
        <w:snapToGrid/>
        <w:spacing w:line="400" w:lineRule="exact"/>
        <w:ind w:firstLine="480" w:firstLineChars="200"/>
        <w:textAlignment w:val="auto"/>
        <w:rPr>
          <w:rFonts w:ascii="Times New Roman" w:hAnsi="Times New Roman" w:cs="Times New Roman"/>
          <w:b/>
          <w:bCs/>
          <w:sz w:val="24"/>
          <w:szCs w:val="24"/>
        </w:rPr>
      </w:pPr>
      <w:r>
        <w:rPr>
          <w:rFonts w:hint="eastAsia"/>
          <w:bCs/>
          <w:color w:val="000000"/>
          <w:sz w:val="24"/>
          <w:szCs w:val="24"/>
          <w:lang w:val="en-US" w:eastAsia="zh-CN"/>
        </w:rPr>
        <w:t>地面冲洗废水、初期雨水经油水分离池处理后汇同生活污水经化粪池预处理后定期请掏，用于周边农业施肥不外排。</w:t>
      </w:r>
    </w:p>
    <w:p>
      <w:pPr>
        <w:numPr>
          <w:ilvl w:val="0"/>
          <w:numId w:val="1"/>
        </w:numPr>
        <w:spacing w:line="400" w:lineRule="exact"/>
        <w:ind w:firstLine="482" w:firstLineChars="200"/>
        <w:rPr>
          <w:rFonts w:ascii="Times New Roman" w:hAnsi="Times New Roman" w:cs="Times New Roman"/>
          <w:b/>
          <w:sz w:val="24"/>
          <w:szCs w:val="24"/>
        </w:rPr>
      </w:pPr>
      <w:r>
        <w:rPr>
          <w:rFonts w:ascii="Times New Roman" w:hAnsi="Times New Roman" w:cs="Times New Roman"/>
          <w:b/>
          <w:sz w:val="24"/>
          <w:szCs w:val="24"/>
        </w:rPr>
        <w:t>废气</w:t>
      </w:r>
    </w:p>
    <w:p>
      <w:pPr>
        <w:spacing w:line="400" w:lineRule="exact"/>
        <w:ind w:firstLine="480" w:firstLineChars="200"/>
        <w:rPr>
          <w:rFonts w:ascii="Times New Roman" w:hAnsi="Times New Roman" w:cs="Times New Roman"/>
          <w:b/>
          <w:sz w:val="24"/>
          <w:szCs w:val="24"/>
        </w:rPr>
      </w:pPr>
      <w:r>
        <w:rPr>
          <w:rFonts w:hint="eastAsia" w:ascii="Times New Roman" w:hAnsi="Times New Roman"/>
          <w:sz w:val="24"/>
        </w:rPr>
        <w:t>企业在油品装卸、储存、加油作业等过程设油气回收系统和不低于4m</w:t>
      </w:r>
      <w:r>
        <w:rPr>
          <w:rFonts w:hint="eastAsia" w:ascii="Times New Roman" w:hAnsi="Times New Roman"/>
          <w:sz w:val="24"/>
          <w:lang w:eastAsia="zh-CN"/>
        </w:rPr>
        <w:t>呼吸阀</w:t>
      </w:r>
      <w:r>
        <w:rPr>
          <w:rFonts w:hint="eastAsia" w:ascii="Times New Roman" w:hAnsi="Times New Roman" w:cs="Times New Roman"/>
          <w:color w:val="000000"/>
          <w:sz w:val="24"/>
          <w:szCs w:val="24"/>
        </w:rPr>
        <w:t>。</w:t>
      </w:r>
    </w:p>
    <w:p>
      <w:pPr>
        <w:numPr>
          <w:ilvl w:val="0"/>
          <w:numId w:val="1"/>
        </w:numPr>
        <w:spacing w:line="400" w:lineRule="exact"/>
        <w:ind w:firstLine="482" w:firstLineChars="200"/>
        <w:rPr>
          <w:rFonts w:ascii="Times New Roman" w:hAnsi="Times New Roman" w:cs="Times New Roman"/>
          <w:b/>
          <w:sz w:val="24"/>
          <w:szCs w:val="24"/>
        </w:rPr>
      </w:pPr>
      <w:r>
        <w:rPr>
          <w:rFonts w:ascii="Times New Roman" w:hAnsi="Times New Roman" w:cs="Times New Roman"/>
          <w:b/>
          <w:sz w:val="24"/>
          <w:szCs w:val="24"/>
        </w:rPr>
        <w:t>噪声</w:t>
      </w:r>
    </w:p>
    <w:p>
      <w:pPr>
        <w:spacing w:line="400" w:lineRule="exact"/>
        <w:ind w:firstLine="480" w:firstLineChars="200"/>
        <w:rPr>
          <w:rFonts w:ascii="Times New Roman" w:hAnsi="Times New Roman" w:cs="Times New Roman"/>
          <w:sz w:val="24"/>
          <w:szCs w:val="24"/>
        </w:rPr>
      </w:pPr>
      <w:r>
        <w:rPr>
          <w:rFonts w:hint="eastAsia" w:ascii="Times New Roman" w:hAnsi="Times New Roman"/>
          <w:kern w:val="0"/>
          <w:sz w:val="24"/>
        </w:rPr>
        <w:t>站内设减速、禁鸣标志。</w:t>
      </w:r>
    </w:p>
    <w:p>
      <w:pPr>
        <w:numPr>
          <w:ilvl w:val="0"/>
          <w:numId w:val="1"/>
        </w:numPr>
        <w:spacing w:line="400" w:lineRule="exact"/>
        <w:ind w:firstLine="482" w:firstLineChars="200"/>
        <w:rPr>
          <w:rFonts w:ascii="Times New Roman" w:hAnsi="Times New Roman" w:cs="Times New Roman"/>
          <w:b/>
          <w:sz w:val="24"/>
          <w:szCs w:val="24"/>
        </w:rPr>
      </w:pPr>
      <w:r>
        <w:rPr>
          <w:rFonts w:ascii="Times New Roman" w:hAnsi="Times New Roman" w:cs="Times New Roman"/>
          <w:b/>
          <w:sz w:val="24"/>
          <w:szCs w:val="24"/>
        </w:rPr>
        <w:t>固体废物</w:t>
      </w:r>
    </w:p>
    <w:p>
      <w:pPr>
        <w:pStyle w:val="15"/>
        <w:keepNext w:val="0"/>
        <w:keepLines w:val="0"/>
        <w:pageBreakBefore w:val="0"/>
        <w:kinsoku/>
        <w:wordWrap/>
        <w:overflowPunct/>
        <w:topLinePunct w:val="0"/>
        <w:bidi w:val="0"/>
        <w:snapToGrid/>
        <w:spacing w:line="400" w:lineRule="exact"/>
        <w:ind w:firstLine="480" w:firstLineChars="200"/>
        <w:jc w:val="both"/>
        <w:textAlignment w:val="auto"/>
        <w:rPr>
          <w:rFonts w:hint="default" w:ascii="Times New Roman" w:hAnsi="Times New Roman"/>
          <w:color w:val="auto"/>
        </w:rPr>
      </w:pPr>
      <w:r>
        <w:rPr>
          <w:rFonts w:ascii="Times New Roman" w:hAnsi="Times New Roman"/>
          <w:color w:val="auto"/>
        </w:rPr>
        <w:t>职工办公生活和顾客产生的生活垃圾集中收集后由环卫部门处理。</w:t>
      </w:r>
    </w:p>
    <w:p>
      <w:pPr>
        <w:keepNext w:val="0"/>
        <w:keepLines w:val="0"/>
        <w:pageBreakBefore w:val="0"/>
        <w:kinsoku/>
        <w:wordWrap/>
        <w:overflowPunct/>
        <w:topLinePunct w:val="0"/>
        <w:bidi w:val="0"/>
        <w:snapToGrid/>
        <w:spacing w:line="400" w:lineRule="exact"/>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清洗油罐产生的废油渣及废水委托专业的清罐公司对其储罐进行清理并处置。</w:t>
      </w:r>
    </w:p>
    <w:p>
      <w:pPr>
        <w:pStyle w:val="26"/>
        <w:spacing w:line="400" w:lineRule="exact"/>
        <w:ind w:firstLine="482"/>
        <w:rPr>
          <w:rFonts w:ascii="Times New Roman" w:hAnsi="Times New Roman" w:cs="Times New Roman"/>
          <w:b/>
          <w:kern w:val="0"/>
          <w:sz w:val="24"/>
          <w:szCs w:val="20"/>
        </w:rPr>
      </w:pPr>
      <w:r>
        <w:rPr>
          <w:rFonts w:hint="eastAsia" w:ascii="Times New Roman" w:hAnsi="Times New Roman" w:cs="Times New Roman"/>
          <w:b/>
          <w:kern w:val="0"/>
          <w:sz w:val="24"/>
          <w:szCs w:val="20"/>
        </w:rPr>
        <w:t>（五）环境风险</w:t>
      </w:r>
    </w:p>
    <w:p>
      <w:pPr>
        <w:pStyle w:val="26"/>
        <w:spacing w:line="400" w:lineRule="exact"/>
        <w:ind w:firstLine="480"/>
        <w:rPr>
          <w:rFonts w:ascii="Times New Roman" w:hAnsi="Times New Roman" w:cs="Times New Roman"/>
          <w:kern w:val="0"/>
          <w:sz w:val="24"/>
          <w:szCs w:val="20"/>
        </w:rPr>
      </w:pPr>
      <w:r>
        <w:rPr>
          <w:rFonts w:hint="eastAsia" w:ascii="Times New Roman" w:hAnsi="Times New Roman" w:cs="Times New Roman"/>
          <w:kern w:val="0"/>
          <w:sz w:val="24"/>
          <w:szCs w:val="20"/>
        </w:rPr>
        <w:t>站场已落实相关风险防范措施，配备相关风险应急物资。</w:t>
      </w:r>
    </w:p>
    <w:p>
      <w:pPr>
        <w:spacing w:line="400" w:lineRule="exact"/>
        <w:ind w:firstLine="482" w:firstLineChars="200"/>
        <w:rPr>
          <w:rFonts w:ascii="Times New Roman" w:hAnsi="Times New Roman" w:cs="Times New Roman"/>
          <w:b/>
          <w:sz w:val="24"/>
          <w:szCs w:val="24"/>
        </w:rPr>
      </w:pPr>
      <w:r>
        <w:rPr>
          <w:rFonts w:hint="eastAsia" w:ascii="Times New Roman" w:hAnsi="Times New Roman" w:cs="Times New Roman"/>
          <w:b/>
          <w:sz w:val="24"/>
          <w:szCs w:val="24"/>
        </w:rPr>
        <w:t>三</w:t>
      </w:r>
      <w:r>
        <w:rPr>
          <w:rFonts w:ascii="Times New Roman" w:hAnsi="Times New Roman" w:cs="Times New Roman"/>
          <w:b/>
          <w:sz w:val="24"/>
          <w:szCs w:val="24"/>
        </w:rPr>
        <w:t>、环境保护设施调试效果</w:t>
      </w:r>
    </w:p>
    <w:p>
      <w:pPr>
        <w:spacing w:line="40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1、废</w:t>
      </w:r>
      <w:r>
        <w:rPr>
          <w:rFonts w:hint="eastAsia" w:ascii="Times New Roman" w:hAnsi="Times New Roman" w:cs="Times New Roman"/>
          <w:bCs/>
          <w:sz w:val="24"/>
          <w:szCs w:val="24"/>
        </w:rPr>
        <w:t>气</w:t>
      </w:r>
      <w:r>
        <w:rPr>
          <w:rFonts w:ascii="Times New Roman" w:hAnsi="Times New Roman" w:cs="Times New Roman"/>
          <w:bCs/>
          <w:sz w:val="24"/>
          <w:szCs w:val="24"/>
        </w:rPr>
        <w:t>：废气</w:t>
      </w:r>
      <w:r>
        <w:rPr>
          <w:rFonts w:hint="eastAsia" w:ascii="Times New Roman" w:hAnsi="Times New Roman" w:cs="Times New Roman"/>
          <w:bCs/>
          <w:sz w:val="24"/>
          <w:szCs w:val="24"/>
        </w:rPr>
        <w:t>排放</w:t>
      </w:r>
      <w:r>
        <w:rPr>
          <w:rFonts w:hint="eastAsia" w:ascii="Times New Roman" w:hAnsi="Times New Roman" w:cs="Times New Roman"/>
          <w:bCs/>
          <w:sz w:val="24"/>
          <w:szCs w:val="24"/>
          <w:lang w:eastAsia="zh-CN"/>
        </w:rPr>
        <w:t>满足</w:t>
      </w:r>
      <w:r>
        <w:rPr>
          <w:rFonts w:hint="eastAsia" w:ascii="Times New Roman" w:hAnsi="Times New Roman" w:cs="Times New Roman"/>
          <w:bCs/>
          <w:sz w:val="24"/>
          <w:szCs w:val="24"/>
        </w:rPr>
        <w:t>《加油站大气污染物排放标准》（GB20952-20</w:t>
      </w:r>
      <w:r>
        <w:rPr>
          <w:rFonts w:hint="eastAsia" w:ascii="Times New Roman" w:hAnsi="Times New Roman" w:cs="Times New Roman"/>
          <w:bCs/>
          <w:sz w:val="24"/>
          <w:szCs w:val="24"/>
          <w:lang w:val="en-US" w:eastAsia="zh-CN"/>
        </w:rPr>
        <w:t>20</w:t>
      </w:r>
      <w:r>
        <w:rPr>
          <w:rFonts w:hint="eastAsia" w:ascii="Times New Roman" w:hAnsi="Times New Roman" w:cs="Times New Roman"/>
          <w:bCs/>
          <w:sz w:val="24"/>
          <w:szCs w:val="24"/>
        </w:rPr>
        <w:t>）标准</w:t>
      </w:r>
      <w:r>
        <w:rPr>
          <w:rFonts w:hint="eastAsia" w:ascii="Times New Roman" w:hAnsi="Times New Roman" w:cs="Times New Roman"/>
          <w:bCs/>
          <w:sz w:val="24"/>
          <w:szCs w:val="24"/>
          <w:lang w:eastAsia="zh-CN"/>
        </w:rPr>
        <w:t>限值要求，厂区内非甲烷总烃排放执行《挥发性有机物无组织排放控制标准》（GB37822-2019）中相关规定</w:t>
      </w:r>
      <w:r>
        <w:rPr>
          <w:rFonts w:hint="eastAsia" w:ascii="Times New Roman" w:hAnsi="Times New Roman" w:cs="Times New Roman"/>
          <w:bCs/>
          <w:sz w:val="24"/>
          <w:szCs w:val="24"/>
        </w:rPr>
        <w:t>。</w:t>
      </w:r>
    </w:p>
    <w:p>
      <w:pPr>
        <w:widowControl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cs="Times New Roman"/>
          <w:bCs/>
          <w:sz w:val="24"/>
          <w:szCs w:val="24"/>
          <w:lang w:val="en-US" w:eastAsia="zh-CN"/>
        </w:rPr>
        <w:t>2、废水：地面冲洗废水、初期雨水经油水分离池处理后汇同生活污水经化粪池预处理后定期请掏，用于周边农业施肥不外排</w:t>
      </w:r>
      <w:r>
        <w:rPr>
          <w:rFonts w:hint="default" w:ascii="Times New Roman" w:hAnsi="Times New Roman" w:cs="Times New Roman"/>
          <w:color w:val="auto"/>
          <w:kern w:val="2"/>
          <w:sz w:val="24"/>
          <w:szCs w:val="24"/>
          <w:lang w:val="en-US"/>
        </w:rPr>
        <w:t>。</w:t>
      </w:r>
    </w:p>
    <w:p>
      <w:pPr>
        <w:spacing w:line="400" w:lineRule="exact"/>
        <w:ind w:firstLine="480" w:firstLineChars="200"/>
        <w:rPr>
          <w:rFonts w:ascii="Times New Roman" w:hAnsi="Times New Roman" w:cs="Times New Roman"/>
          <w:bCs/>
          <w:sz w:val="24"/>
          <w:szCs w:val="24"/>
        </w:rPr>
      </w:pPr>
      <w:r>
        <w:rPr>
          <w:rFonts w:hint="eastAsia" w:ascii="Times New Roman" w:hAnsi="Times New Roman" w:cs="Times New Roman"/>
          <w:bCs/>
          <w:sz w:val="24"/>
          <w:szCs w:val="24"/>
          <w:lang w:val="en-US" w:eastAsia="zh-CN"/>
        </w:rPr>
        <w:t>3</w:t>
      </w:r>
      <w:r>
        <w:rPr>
          <w:rFonts w:ascii="Times New Roman" w:hAnsi="Times New Roman" w:cs="Times New Roman"/>
          <w:bCs/>
          <w:sz w:val="24"/>
          <w:szCs w:val="24"/>
        </w:rPr>
        <w:t>、噪声：验收监测期间，项目</w:t>
      </w:r>
      <w:r>
        <w:rPr>
          <w:rFonts w:hint="eastAsia" w:ascii="Times New Roman" w:hAnsi="Times New Roman" w:cs="Times New Roman"/>
          <w:bCs/>
          <w:sz w:val="24"/>
          <w:szCs w:val="24"/>
          <w:lang w:eastAsia="zh-CN"/>
        </w:rPr>
        <w:t>沿</w:t>
      </w:r>
      <w:r>
        <w:rPr>
          <w:rFonts w:hint="eastAsia" w:ascii="Times New Roman" w:hAnsi="Times New Roman" w:cs="Times New Roman"/>
          <w:bCs/>
          <w:sz w:val="24"/>
          <w:szCs w:val="24"/>
          <w:lang w:val="en-US" w:eastAsia="zh-CN"/>
        </w:rPr>
        <w:t>快速通道</w:t>
      </w:r>
      <w:r>
        <w:rPr>
          <w:rFonts w:hint="eastAsia" w:ascii="Times New Roman" w:hAnsi="Times New Roman" w:cs="Times New Roman"/>
          <w:bCs/>
          <w:sz w:val="24"/>
          <w:szCs w:val="24"/>
          <w:lang w:eastAsia="zh-CN"/>
        </w:rPr>
        <w:t>侧厂界噪声排放满足</w:t>
      </w:r>
      <w:r>
        <w:rPr>
          <w:rFonts w:ascii="Times New Roman" w:hAnsi="Times New Roman" w:cs="Times New Roman"/>
          <w:bCs/>
          <w:sz w:val="24"/>
          <w:szCs w:val="24"/>
        </w:rPr>
        <w:t>《工业企业厂界环境噪声排放标准》（GB12348-2008）</w:t>
      </w:r>
      <w:r>
        <w:rPr>
          <w:rFonts w:hint="eastAsia" w:ascii="Times New Roman" w:hAnsi="Times New Roman" w:cs="Times New Roman"/>
          <w:bCs/>
          <w:sz w:val="24"/>
          <w:szCs w:val="24"/>
          <w:lang w:val="en-US" w:eastAsia="zh-CN"/>
        </w:rPr>
        <w:t>4</w:t>
      </w:r>
      <w:r>
        <w:rPr>
          <w:rFonts w:ascii="Times New Roman" w:hAnsi="Times New Roman" w:cs="Times New Roman"/>
          <w:bCs/>
          <w:sz w:val="24"/>
          <w:szCs w:val="24"/>
        </w:rPr>
        <w:t>类限值要求，</w:t>
      </w:r>
      <w:r>
        <w:rPr>
          <w:rFonts w:hint="eastAsia" w:ascii="Times New Roman" w:hAnsi="Times New Roman" w:cs="Times New Roman"/>
          <w:bCs/>
          <w:sz w:val="24"/>
          <w:szCs w:val="24"/>
          <w:lang w:eastAsia="zh-CN"/>
        </w:rPr>
        <w:t>其余厂界噪声</w:t>
      </w:r>
      <w:r>
        <w:rPr>
          <w:rFonts w:ascii="Times New Roman" w:hAnsi="Times New Roman" w:cs="Times New Roman"/>
          <w:bCs/>
          <w:sz w:val="24"/>
          <w:szCs w:val="24"/>
        </w:rPr>
        <w:t>满足《工业企业厂界环境噪声排放标准》（GB12348-2008）</w:t>
      </w:r>
      <w:r>
        <w:rPr>
          <w:rFonts w:hint="eastAsia" w:ascii="Times New Roman" w:hAnsi="Times New Roman" w:cs="Times New Roman"/>
          <w:bCs/>
          <w:sz w:val="24"/>
          <w:szCs w:val="24"/>
          <w:lang w:val="en-US" w:eastAsia="zh-CN"/>
        </w:rPr>
        <w:t>2</w:t>
      </w:r>
      <w:r>
        <w:rPr>
          <w:rFonts w:ascii="Times New Roman" w:hAnsi="Times New Roman" w:cs="Times New Roman"/>
          <w:bCs/>
          <w:sz w:val="24"/>
          <w:szCs w:val="24"/>
        </w:rPr>
        <w:t>类限值要求。</w:t>
      </w:r>
    </w:p>
    <w:p>
      <w:pPr>
        <w:spacing w:line="400" w:lineRule="exact"/>
        <w:ind w:firstLine="480" w:firstLineChars="200"/>
        <w:rPr>
          <w:rFonts w:ascii="Times New Roman" w:hAnsi="Times New Roman" w:cs="Times New Roman"/>
          <w:bCs/>
          <w:sz w:val="24"/>
          <w:szCs w:val="24"/>
        </w:rPr>
      </w:pPr>
      <w:r>
        <w:rPr>
          <w:rFonts w:hint="eastAsia" w:ascii="Times New Roman" w:hAnsi="Times New Roman" w:cs="Times New Roman"/>
          <w:bCs/>
          <w:sz w:val="24"/>
          <w:szCs w:val="24"/>
          <w:lang w:val="en-US" w:eastAsia="zh-CN"/>
        </w:rPr>
        <w:t>4</w:t>
      </w:r>
      <w:r>
        <w:rPr>
          <w:rFonts w:ascii="Times New Roman" w:hAnsi="Times New Roman" w:cs="Times New Roman"/>
          <w:bCs/>
          <w:sz w:val="24"/>
          <w:szCs w:val="24"/>
        </w:rPr>
        <w:t>、固体废物：生活垃圾集中后集中处置</w:t>
      </w:r>
      <w:r>
        <w:rPr>
          <w:rFonts w:hint="eastAsia" w:ascii="Times New Roman" w:hAnsi="Times New Roman" w:cs="Times New Roman"/>
          <w:bCs/>
          <w:sz w:val="24"/>
          <w:szCs w:val="24"/>
        </w:rPr>
        <w:t>，清罐</w:t>
      </w:r>
      <w:r>
        <w:rPr>
          <w:rFonts w:ascii="Times New Roman" w:hAnsi="Times New Roman" w:cs="Times New Roman"/>
          <w:kern w:val="0"/>
          <w:sz w:val="24"/>
          <w:szCs w:val="20"/>
        </w:rPr>
        <w:t>废渣</w:t>
      </w:r>
      <w:r>
        <w:rPr>
          <w:rFonts w:hint="eastAsia" w:ascii="Times New Roman" w:hAnsi="Times New Roman" w:cs="Times New Roman"/>
          <w:kern w:val="0"/>
          <w:sz w:val="24"/>
          <w:szCs w:val="20"/>
        </w:rPr>
        <w:t>委托有资质单位处置</w:t>
      </w:r>
      <w:r>
        <w:rPr>
          <w:rFonts w:ascii="Times New Roman" w:hAnsi="Times New Roman" w:cs="Times New Roman"/>
          <w:bCs/>
          <w:sz w:val="24"/>
          <w:szCs w:val="24"/>
        </w:rPr>
        <w:t>。</w:t>
      </w:r>
    </w:p>
    <w:p>
      <w:pPr>
        <w:pStyle w:val="8"/>
        <w:spacing w:before="0" w:beforeAutospacing="0" w:after="0" w:afterAutospacing="0" w:line="400" w:lineRule="exact"/>
        <w:ind w:firstLine="482" w:firstLineChars="200"/>
        <w:rPr>
          <w:rFonts w:ascii="Times New Roman" w:hAnsi="Times New Roman" w:cs="Times New Roman"/>
          <w:b/>
          <w:kern w:val="2"/>
        </w:rPr>
      </w:pPr>
      <w:r>
        <w:rPr>
          <w:rFonts w:hint="eastAsia" w:ascii="Times New Roman" w:hAnsi="Times New Roman" w:cs="Times New Roman"/>
          <w:b/>
          <w:kern w:val="2"/>
          <w:lang w:eastAsia="zh-CN"/>
        </w:rPr>
        <w:t>四</w:t>
      </w:r>
      <w:r>
        <w:rPr>
          <w:rFonts w:ascii="Times New Roman" w:hAnsi="Times New Roman" w:cs="Times New Roman"/>
          <w:b/>
          <w:kern w:val="2"/>
        </w:rPr>
        <w:t>、工程建设对环境的影响</w:t>
      </w:r>
    </w:p>
    <w:p>
      <w:pPr>
        <w:pStyle w:val="8"/>
        <w:spacing w:before="0" w:beforeAutospacing="0" w:after="0" w:afterAutospacing="0" w:line="400" w:lineRule="exact"/>
        <w:ind w:firstLine="480" w:firstLineChars="200"/>
        <w:rPr>
          <w:rFonts w:ascii="Times New Roman" w:hAnsi="Times New Roman" w:cs="Times New Roman"/>
          <w:b/>
          <w:bCs/>
        </w:rPr>
      </w:pPr>
      <w:r>
        <w:rPr>
          <w:rFonts w:ascii="Times New Roman" w:hAnsi="Times New Roman" w:cs="Times New Roman"/>
          <w:bCs/>
          <w:kern w:val="2"/>
        </w:rPr>
        <w:t>根据</w:t>
      </w:r>
      <w:r>
        <w:rPr>
          <w:rFonts w:hint="eastAsia" w:ascii="Times New Roman" w:hAnsi="Times New Roman" w:cs="Times New Roman"/>
          <w:color w:val="000000"/>
        </w:rPr>
        <w:t>项目</w:t>
      </w:r>
      <w:r>
        <w:rPr>
          <w:rFonts w:ascii="Times New Roman" w:hAnsi="Times New Roman" w:cs="Times New Roman"/>
          <w:bCs/>
          <w:kern w:val="2"/>
        </w:rPr>
        <w:t>竣工环境保护验收监测报告表中监测结果，项目排放的废气</w:t>
      </w:r>
      <w:r>
        <w:rPr>
          <w:rFonts w:hint="eastAsia" w:ascii="Times New Roman" w:hAnsi="Times New Roman" w:cs="Times New Roman"/>
          <w:bCs/>
          <w:kern w:val="2"/>
          <w:lang w:eastAsia="zh-CN"/>
        </w:rPr>
        <w:t>、废水</w:t>
      </w:r>
      <w:r>
        <w:rPr>
          <w:rFonts w:ascii="Times New Roman" w:hAnsi="Times New Roman" w:cs="Times New Roman"/>
          <w:bCs/>
          <w:kern w:val="2"/>
        </w:rPr>
        <w:t>、噪声、固体废物均达到验收标准，工程建设对外环境的影响</w:t>
      </w:r>
      <w:r>
        <w:rPr>
          <w:rFonts w:hint="eastAsia" w:ascii="Times New Roman" w:hAnsi="Times New Roman" w:cs="Times New Roman"/>
          <w:bCs/>
          <w:kern w:val="2"/>
          <w:lang w:eastAsia="zh-CN"/>
        </w:rPr>
        <w:t>可接受</w:t>
      </w:r>
      <w:r>
        <w:rPr>
          <w:rFonts w:ascii="Times New Roman" w:hAnsi="Times New Roman" w:cs="Times New Roman"/>
          <w:bCs/>
          <w:kern w:val="2"/>
        </w:rPr>
        <w:t>。</w:t>
      </w:r>
    </w:p>
    <w:p>
      <w:pPr>
        <w:pStyle w:val="8"/>
        <w:spacing w:before="0" w:beforeAutospacing="0" w:after="0" w:afterAutospacing="0" w:line="400" w:lineRule="exact"/>
        <w:ind w:firstLine="482" w:firstLineChars="200"/>
        <w:rPr>
          <w:rFonts w:ascii="Times New Roman" w:hAnsi="Times New Roman" w:cs="Times New Roman"/>
          <w:b/>
          <w:kern w:val="2"/>
        </w:rPr>
      </w:pPr>
      <w:r>
        <w:rPr>
          <w:rFonts w:hint="eastAsia" w:ascii="Times New Roman" w:hAnsi="Times New Roman" w:cs="Times New Roman"/>
          <w:b/>
          <w:kern w:val="2"/>
          <w:lang w:eastAsia="zh-CN"/>
        </w:rPr>
        <w:t>五</w:t>
      </w:r>
      <w:r>
        <w:rPr>
          <w:rFonts w:ascii="Times New Roman" w:hAnsi="Times New Roman" w:cs="Times New Roman"/>
          <w:b/>
          <w:kern w:val="2"/>
        </w:rPr>
        <w:t>、验收结论</w:t>
      </w:r>
    </w:p>
    <w:p>
      <w:pPr>
        <w:pStyle w:val="8"/>
        <w:spacing w:before="0" w:beforeAutospacing="0" w:after="0" w:afterAutospacing="0" w:line="400" w:lineRule="exact"/>
        <w:ind w:firstLine="477" w:firstLineChars="199"/>
        <w:rPr>
          <w:rFonts w:ascii="Times New Roman" w:hAnsi="Times New Roman" w:cs="Times New Roman"/>
          <w:color w:val="000000"/>
        </w:rPr>
      </w:pPr>
      <w:r>
        <w:rPr>
          <w:rFonts w:ascii="Times New Roman" w:hAnsi="Times New Roman" w:cs="Times New Roman"/>
          <w:bCs/>
          <w:kern w:val="2"/>
        </w:rPr>
        <w:t>验收组经现场检查并审阅有关资料，经认真讨论，认为</w:t>
      </w:r>
      <w:r>
        <w:rPr>
          <w:rFonts w:hint="eastAsia" w:ascii="Times New Roman" w:hAnsi="Times New Roman" w:cs="Times New Roman"/>
          <w:bCs/>
          <w:color w:val="000000"/>
        </w:rPr>
        <w:t>本</w:t>
      </w:r>
      <w:r>
        <w:rPr>
          <w:rFonts w:hint="eastAsia" w:ascii="Times New Roman" w:hAnsi="Times New Roman" w:cs="Times New Roman"/>
          <w:color w:val="000000"/>
        </w:rPr>
        <w:t>项目</w:t>
      </w:r>
      <w:r>
        <w:rPr>
          <w:rFonts w:ascii="Times New Roman" w:hAnsi="Times New Roman" w:cs="Times New Roman"/>
          <w:bCs/>
          <w:kern w:val="2"/>
        </w:rPr>
        <w:t>环评审批手续齐全，主要污染防治设施均能实现达标排放，具备</w:t>
      </w:r>
      <w:r>
        <w:rPr>
          <w:rFonts w:hint="eastAsia" w:ascii="Times New Roman" w:hAnsi="Times New Roman" w:cs="Times New Roman"/>
          <w:bCs/>
          <w:kern w:val="2"/>
        </w:rPr>
        <w:t>了</w:t>
      </w:r>
      <w:r>
        <w:rPr>
          <w:rFonts w:ascii="Times New Roman" w:hAnsi="Times New Roman" w:cs="Times New Roman"/>
          <w:bCs/>
          <w:kern w:val="2"/>
        </w:rPr>
        <w:t>竣工环保验收条件，</w:t>
      </w:r>
      <w:r>
        <w:rPr>
          <w:rFonts w:ascii="Times New Roman" w:hAnsi="Times New Roman" w:cs="Times New Roman"/>
          <w:color w:val="000000"/>
        </w:rPr>
        <w:t>建议通过竣工环境保护验收。</w:t>
      </w:r>
    </w:p>
    <w:p>
      <w:pPr>
        <w:pStyle w:val="8"/>
        <w:spacing w:before="0" w:beforeAutospacing="0" w:after="0" w:afterAutospacing="0" w:line="400" w:lineRule="exact"/>
        <w:ind w:firstLine="482" w:firstLineChars="200"/>
        <w:rPr>
          <w:rFonts w:ascii="Times New Roman" w:hAnsi="Times New Roman" w:cs="Calibri"/>
          <w:b/>
          <w:kern w:val="2"/>
        </w:rPr>
      </w:pPr>
      <w:r>
        <w:rPr>
          <w:rFonts w:hint="eastAsia" w:ascii="Times New Roman" w:hAnsi="Times New Roman" w:cs="Calibri"/>
          <w:b/>
          <w:kern w:val="2"/>
          <w:lang w:eastAsia="zh-CN"/>
        </w:rPr>
        <w:t>六</w:t>
      </w:r>
      <w:r>
        <w:rPr>
          <w:rFonts w:hint="eastAsia" w:ascii="Times New Roman" w:hAnsi="Times New Roman" w:cs="Calibri"/>
          <w:b/>
          <w:kern w:val="2"/>
        </w:rPr>
        <w:t>、后续要求</w:t>
      </w:r>
    </w:p>
    <w:p>
      <w:pPr>
        <w:pStyle w:val="8"/>
        <w:spacing w:before="0" w:beforeAutospacing="0" w:after="0" w:afterAutospacing="0" w:line="400" w:lineRule="exact"/>
        <w:ind w:firstLine="480" w:firstLineChars="200"/>
        <w:rPr>
          <w:rFonts w:ascii="Times New Roman" w:hAnsi="Times New Roman" w:cs="Times New Roman"/>
          <w:bCs/>
          <w:kern w:val="2"/>
        </w:rPr>
      </w:pPr>
      <w:r>
        <w:rPr>
          <w:rFonts w:hint="eastAsia" w:ascii="Times New Roman" w:hAnsi="Times New Roman" w:cs="Calibri"/>
          <w:kern w:val="2"/>
        </w:rPr>
        <w:t>1、</w:t>
      </w:r>
      <w:r>
        <w:rPr>
          <w:rFonts w:hint="eastAsia" w:ascii="Times New Roman" w:hAnsi="Times New Roman" w:cs="Calibri"/>
          <w:kern w:val="2"/>
          <w:lang w:eastAsia="zh-CN"/>
        </w:rPr>
        <w:t>做好各类环境保护设施的运行管理和维护，确保污染物各类稳定达标排放；</w:t>
      </w:r>
      <w:r>
        <w:rPr>
          <w:rFonts w:hint="eastAsia" w:ascii="Times New Roman" w:hAnsi="Times New Roman" w:cs="Calibri"/>
          <w:kern w:val="2"/>
          <w:lang w:val="en-US" w:eastAsia="zh-CN"/>
        </w:rPr>
        <w:t>规范各类固废收集、暂存及转移</w:t>
      </w:r>
      <w:r>
        <w:rPr>
          <w:rFonts w:ascii="Times New Roman" w:hAnsi="Times New Roman" w:cs="Times New Roman"/>
          <w:bCs/>
          <w:kern w:val="2"/>
        </w:rPr>
        <w:t>。</w:t>
      </w:r>
    </w:p>
    <w:p>
      <w:pPr>
        <w:pStyle w:val="8"/>
        <w:spacing w:before="0" w:beforeAutospacing="0" w:after="0" w:afterAutospacing="0" w:line="400" w:lineRule="exact"/>
        <w:ind w:firstLine="477" w:firstLineChars="199"/>
        <w:rPr>
          <w:rFonts w:hint="eastAsia" w:ascii="Times New Roman" w:hAnsi="Times New Roman" w:eastAsia="宋体" w:cs="Times New Roman"/>
          <w:bCs/>
          <w:kern w:val="2"/>
          <w:lang w:val="en-US" w:eastAsia="zh-CN"/>
        </w:rPr>
      </w:pPr>
      <w:r>
        <w:rPr>
          <w:rFonts w:hint="eastAsia" w:ascii="Times New Roman" w:hAnsi="Times New Roman" w:cs="Times New Roman"/>
          <w:bCs/>
          <w:kern w:val="2"/>
          <w:lang w:val="en-US" w:eastAsia="zh-CN"/>
        </w:rPr>
        <w:t>2、根据排污许可管理要求，做好后续环境管理台账、例行监测等工作。</w:t>
      </w:r>
    </w:p>
    <w:p>
      <w:pPr>
        <w:pStyle w:val="8"/>
        <w:spacing w:before="0" w:beforeAutospacing="0" w:after="0" w:afterAutospacing="0" w:line="400" w:lineRule="exact"/>
        <w:ind w:firstLine="477" w:firstLineChars="199"/>
        <w:rPr>
          <w:rFonts w:hint="eastAsia" w:ascii="Times New Roman" w:hAnsi="Times New Roman" w:cs="Calibri"/>
          <w:b/>
          <w:kern w:val="2"/>
          <w:lang w:val="en-US" w:eastAsia="zh-CN"/>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、依据环保部《建设项目竣工环境保护验收暂行办法》（国环规环评【2017】4号）完善网上填报等工作。</w:t>
      </w:r>
    </w:p>
    <w:p>
      <w:pPr>
        <w:pStyle w:val="8"/>
        <w:spacing w:before="0" w:beforeAutospacing="0" w:after="0" w:afterAutospacing="0" w:line="240" w:lineRule="auto"/>
        <w:ind w:firstLine="479" w:firstLineChars="199"/>
        <w:rPr>
          <w:rFonts w:hint="eastAsia" w:ascii="Times New Roman" w:hAnsi="Times New Roman" w:cs="Calibri"/>
          <w:b/>
          <w:kern w:val="2"/>
          <w:lang w:val="en-US" w:eastAsia="zh-CN"/>
        </w:rPr>
      </w:pPr>
    </w:p>
    <w:p>
      <w:pPr>
        <w:keepNext w:val="0"/>
        <w:keepLines w:val="0"/>
        <w:widowControl/>
        <w:suppressLineNumbers w:val="0"/>
        <w:jc w:val="left"/>
      </w:pPr>
    </w:p>
    <w:p>
      <w:pPr>
        <w:spacing w:line="400" w:lineRule="exact"/>
        <w:jc w:val="right"/>
        <w:rPr>
          <w:rFonts w:hint="default" w:ascii="Times New Roman" w:hAnsi="Times New Roman" w:eastAsia="宋体" w:cs="Times New Roman"/>
          <w:b/>
          <w:bCs/>
          <w:color w:val="333333"/>
          <w:sz w:val="24"/>
          <w:szCs w:val="24"/>
          <w:lang w:val="en-US" w:eastAsia="zh-CN"/>
        </w:rPr>
      </w:pPr>
      <w:r>
        <w:rPr>
          <w:rFonts w:hint="eastAsia" w:ascii="Times New Roman" w:hAnsi="Times New Roman" w:cs="Times New Roman"/>
          <w:b/>
          <w:bCs/>
          <w:color w:val="333333"/>
          <w:sz w:val="24"/>
          <w:szCs w:val="24"/>
          <w:lang w:val="en-US" w:eastAsia="zh-CN"/>
        </w:rPr>
        <w:t>2022年10月26</w:t>
      </w:r>
      <w:bookmarkStart w:id="0" w:name="_GoBack"/>
      <w:bookmarkEnd w:id="0"/>
      <w:r>
        <w:rPr>
          <w:rFonts w:hint="eastAsia" w:ascii="Times New Roman" w:hAnsi="Times New Roman" w:cs="Times New Roman"/>
          <w:b/>
          <w:bCs/>
          <w:color w:val="333333"/>
          <w:sz w:val="24"/>
          <w:szCs w:val="24"/>
          <w:lang w:val="en-US" w:eastAsia="zh-CN"/>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12ADE7"/>
    <w:multiLevelType w:val="singleLevel"/>
    <w:tmpl w:val="5B12ADE7"/>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kwMTJkNDQxZTUyY2I2MjU4ZTRjNTJjZmEyNjQ4MWE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A77CE"/>
    <w:rsid w:val="009C2B0D"/>
    <w:rsid w:val="00A03C00"/>
    <w:rsid w:val="00A164C4"/>
    <w:rsid w:val="00A2401B"/>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CD4DCB"/>
    <w:rsid w:val="02180607"/>
    <w:rsid w:val="0229047B"/>
    <w:rsid w:val="03787B69"/>
    <w:rsid w:val="05C328E7"/>
    <w:rsid w:val="05FF6A0E"/>
    <w:rsid w:val="06157824"/>
    <w:rsid w:val="06424590"/>
    <w:rsid w:val="06894973"/>
    <w:rsid w:val="08B86BF8"/>
    <w:rsid w:val="08CD5DC8"/>
    <w:rsid w:val="09C47E9B"/>
    <w:rsid w:val="0A4F0835"/>
    <w:rsid w:val="0A6838A3"/>
    <w:rsid w:val="0BEC4461"/>
    <w:rsid w:val="0F010B87"/>
    <w:rsid w:val="10053432"/>
    <w:rsid w:val="1161204D"/>
    <w:rsid w:val="11CC14DD"/>
    <w:rsid w:val="126B360C"/>
    <w:rsid w:val="12A26054"/>
    <w:rsid w:val="12D70FDC"/>
    <w:rsid w:val="12E10BBD"/>
    <w:rsid w:val="13917C64"/>
    <w:rsid w:val="13FA6363"/>
    <w:rsid w:val="142371A4"/>
    <w:rsid w:val="14AC792B"/>
    <w:rsid w:val="16F60F71"/>
    <w:rsid w:val="17D47670"/>
    <w:rsid w:val="1AE84B1D"/>
    <w:rsid w:val="1BDB1132"/>
    <w:rsid w:val="1F497C89"/>
    <w:rsid w:val="1FB64BEF"/>
    <w:rsid w:val="207B3166"/>
    <w:rsid w:val="20F07544"/>
    <w:rsid w:val="21475E11"/>
    <w:rsid w:val="25575222"/>
    <w:rsid w:val="26054E2E"/>
    <w:rsid w:val="26324060"/>
    <w:rsid w:val="287D03CF"/>
    <w:rsid w:val="2898565F"/>
    <w:rsid w:val="29B46415"/>
    <w:rsid w:val="2A92112B"/>
    <w:rsid w:val="2B416155"/>
    <w:rsid w:val="2C7B60D8"/>
    <w:rsid w:val="2CF72479"/>
    <w:rsid w:val="2D2C1294"/>
    <w:rsid w:val="2DA04B7C"/>
    <w:rsid w:val="2EC16732"/>
    <w:rsid w:val="2EFB5E58"/>
    <w:rsid w:val="2F483138"/>
    <w:rsid w:val="2F4B28BF"/>
    <w:rsid w:val="2FC36797"/>
    <w:rsid w:val="3181145E"/>
    <w:rsid w:val="33E252B2"/>
    <w:rsid w:val="346D73B8"/>
    <w:rsid w:val="34B76208"/>
    <w:rsid w:val="355D45F6"/>
    <w:rsid w:val="355E6EF4"/>
    <w:rsid w:val="3664694B"/>
    <w:rsid w:val="38136CAE"/>
    <w:rsid w:val="3817416F"/>
    <w:rsid w:val="38F2184B"/>
    <w:rsid w:val="3A5E5D9F"/>
    <w:rsid w:val="3A5F71A4"/>
    <w:rsid w:val="3A7F31F0"/>
    <w:rsid w:val="3C482453"/>
    <w:rsid w:val="3DC444BC"/>
    <w:rsid w:val="3DD118A2"/>
    <w:rsid w:val="3E020A1D"/>
    <w:rsid w:val="3E5F25B6"/>
    <w:rsid w:val="3F172905"/>
    <w:rsid w:val="3F83347A"/>
    <w:rsid w:val="3FB46E4E"/>
    <w:rsid w:val="3FE44883"/>
    <w:rsid w:val="40C54D99"/>
    <w:rsid w:val="41BD2F8C"/>
    <w:rsid w:val="432D2FB8"/>
    <w:rsid w:val="43F73880"/>
    <w:rsid w:val="44DD642E"/>
    <w:rsid w:val="463C2A54"/>
    <w:rsid w:val="477B1FC1"/>
    <w:rsid w:val="49DB000F"/>
    <w:rsid w:val="4AFA7526"/>
    <w:rsid w:val="4BB625B4"/>
    <w:rsid w:val="4BCC6B77"/>
    <w:rsid w:val="4D2447BE"/>
    <w:rsid w:val="4EA01217"/>
    <w:rsid w:val="4FBA6A23"/>
    <w:rsid w:val="51BF74C3"/>
    <w:rsid w:val="52565645"/>
    <w:rsid w:val="52832F44"/>
    <w:rsid w:val="52F64C90"/>
    <w:rsid w:val="53C25F60"/>
    <w:rsid w:val="540911E9"/>
    <w:rsid w:val="55B5023A"/>
    <w:rsid w:val="567C174B"/>
    <w:rsid w:val="570E6DB7"/>
    <w:rsid w:val="57AD2BD4"/>
    <w:rsid w:val="57C417B3"/>
    <w:rsid w:val="588A41F7"/>
    <w:rsid w:val="58BC051F"/>
    <w:rsid w:val="59022082"/>
    <w:rsid w:val="59BE2633"/>
    <w:rsid w:val="5A0D7886"/>
    <w:rsid w:val="5C0F3166"/>
    <w:rsid w:val="5E455327"/>
    <w:rsid w:val="5FE432E2"/>
    <w:rsid w:val="60D55C14"/>
    <w:rsid w:val="615F033C"/>
    <w:rsid w:val="61867D84"/>
    <w:rsid w:val="61EB13C1"/>
    <w:rsid w:val="631D5D54"/>
    <w:rsid w:val="63372B78"/>
    <w:rsid w:val="63954224"/>
    <w:rsid w:val="64A76966"/>
    <w:rsid w:val="64FF302C"/>
    <w:rsid w:val="66361340"/>
    <w:rsid w:val="66775637"/>
    <w:rsid w:val="670A426C"/>
    <w:rsid w:val="67443D5C"/>
    <w:rsid w:val="69465AD2"/>
    <w:rsid w:val="69611BE9"/>
    <w:rsid w:val="6A077F36"/>
    <w:rsid w:val="6ADB1E90"/>
    <w:rsid w:val="6B466C79"/>
    <w:rsid w:val="6C2D05E5"/>
    <w:rsid w:val="6C9E6DBD"/>
    <w:rsid w:val="6D07312B"/>
    <w:rsid w:val="6DD514EF"/>
    <w:rsid w:val="6ECE52F9"/>
    <w:rsid w:val="702C2621"/>
    <w:rsid w:val="70904FD7"/>
    <w:rsid w:val="71040869"/>
    <w:rsid w:val="728272C5"/>
    <w:rsid w:val="72E66380"/>
    <w:rsid w:val="73003007"/>
    <w:rsid w:val="737C6E6A"/>
    <w:rsid w:val="74EB663F"/>
    <w:rsid w:val="770B11F1"/>
    <w:rsid w:val="7733241D"/>
    <w:rsid w:val="7A005AB3"/>
    <w:rsid w:val="7DFE4DAE"/>
    <w:rsid w:val="7E8A6BE4"/>
    <w:rsid w:val="7EB56C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0"/>
    <w:qFormat/>
    <w:uiPriority w:val="99"/>
    <w:rPr>
      <w:sz w:val="24"/>
      <w:szCs w:val="24"/>
    </w:rPr>
  </w:style>
  <w:style w:type="paragraph" w:styleId="3">
    <w:name w:val="Document Map"/>
    <w:basedOn w:val="1"/>
    <w:link w:val="24"/>
    <w:unhideWhenUsed/>
    <w:qFormat/>
    <w:uiPriority w:val="99"/>
    <w:rPr>
      <w:rFonts w:ascii="宋体"/>
      <w:sz w:val="18"/>
      <w:szCs w:val="18"/>
    </w:rPr>
  </w:style>
  <w:style w:type="paragraph" w:styleId="4">
    <w:name w:val="Date"/>
    <w:basedOn w:val="1"/>
    <w:next w:val="1"/>
    <w:link w:val="25"/>
    <w:unhideWhenUsed/>
    <w:qFormat/>
    <w:uiPriority w:val="99"/>
    <w:pPr>
      <w:ind w:left="100" w:leftChars="2500"/>
    </w:pPr>
  </w:style>
  <w:style w:type="paragraph" w:styleId="5">
    <w:name w:val="Balloon Text"/>
    <w:basedOn w:val="1"/>
    <w:link w:val="21"/>
    <w:semiHidden/>
    <w:qFormat/>
    <w:uiPriority w:val="99"/>
    <w:rPr>
      <w:sz w:val="18"/>
      <w:szCs w:val="18"/>
    </w:rPr>
  </w:style>
  <w:style w:type="paragraph" w:styleId="6">
    <w:name w:val="footer"/>
    <w:basedOn w:val="1"/>
    <w:link w:val="23"/>
    <w:qFormat/>
    <w:uiPriority w:val="99"/>
    <w:pPr>
      <w:tabs>
        <w:tab w:val="center" w:pos="4153"/>
        <w:tab w:val="right" w:pos="8306"/>
      </w:tabs>
      <w:snapToGrid w:val="0"/>
      <w:jc w:val="left"/>
    </w:pPr>
    <w:rPr>
      <w:sz w:val="18"/>
      <w:szCs w:val="18"/>
    </w:rPr>
  </w:style>
  <w:style w:type="paragraph" w:styleId="7">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99"/>
    <w:rPr>
      <w:b/>
      <w:bCs/>
    </w:rPr>
  </w:style>
  <w:style w:type="character" w:styleId="13">
    <w:name w:val="page number"/>
    <w:basedOn w:val="11"/>
    <w:qFormat/>
    <w:uiPriority w:val="99"/>
  </w:style>
  <w:style w:type="character" w:styleId="14">
    <w:name w:val="Hyperlink"/>
    <w:basedOn w:val="11"/>
    <w:qFormat/>
    <w:uiPriority w:val="99"/>
    <w:rPr>
      <w:color w:val="0000FF"/>
      <w:u w:val="single"/>
    </w:rPr>
  </w:style>
  <w:style w:type="paragraph" w:customStyle="1" w:styleId="15">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16">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17">
    <w:name w:val="正文01"/>
    <w:basedOn w:val="1"/>
    <w:qFormat/>
    <w:uiPriority w:val="99"/>
    <w:pPr>
      <w:spacing w:before="60" w:line="460" w:lineRule="exact"/>
      <w:ind w:firstLine="200" w:firstLineChars="200"/>
    </w:pPr>
    <w:rPr>
      <w:sz w:val="24"/>
      <w:szCs w:val="24"/>
    </w:rPr>
  </w:style>
  <w:style w:type="paragraph" w:customStyle="1" w:styleId="18">
    <w:name w:val="普通(网站)1"/>
    <w:basedOn w:val="1"/>
    <w:qFormat/>
    <w:uiPriority w:val="0"/>
    <w:pPr>
      <w:spacing w:beforeAutospacing="1" w:afterAutospacing="1"/>
    </w:pPr>
    <w:rPr>
      <w:rFonts w:ascii="宋体" w:hAnsi="宋体" w:cs="宋体"/>
      <w:sz w:val="24"/>
      <w:szCs w:val="24"/>
    </w:rPr>
  </w:style>
  <w:style w:type="paragraph" w:customStyle="1" w:styleId="19">
    <w:name w:val="p0"/>
    <w:qFormat/>
    <w:uiPriority w:val="0"/>
    <w:rPr>
      <w:rFonts w:ascii="Times New Roman" w:hAnsi="Times New Roman" w:eastAsia="宋体" w:cs="Times New Roman"/>
      <w:szCs w:val="21"/>
      <w:lang w:val="en-US" w:eastAsia="zh-CN" w:bidi="ar-SA"/>
    </w:rPr>
  </w:style>
  <w:style w:type="character" w:customStyle="1" w:styleId="20">
    <w:name w:val="正文文本 Char"/>
    <w:basedOn w:val="11"/>
    <w:link w:val="2"/>
    <w:semiHidden/>
    <w:qFormat/>
    <w:locked/>
    <w:uiPriority w:val="99"/>
    <w:rPr>
      <w:rFonts w:ascii="Calibri" w:hAnsi="Calibri" w:cs="Calibri"/>
      <w:sz w:val="21"/>
      <w:szCs w:val="21"/>
    </w:rPr>
  </w:style>
  <w:style w:type="character" w:customStyle="1" w:styleId="21">
    <w:name w:val="批注框文本 Char"/>
    <w:basedOn w:val="11"/>
    <w:link w:val="5"/>
    <w:semiHidden/>
    <w:qFormat/>
    <w:locked/>
    <w:uiPriority w:val="99"/>
    <w:rPr>
      <w:sz w:val="18"/>
      <w:szCs w:val="18"/>
    </w:rPr>
  </w:style>
  <w:style w:type="character" w:customStyle="1" w:styleId="22">
    <w:name w:val="页眉 Char"/>
    <w:basedOn w:val="11"/>
    <w:link w:val="7"/>
    <w:qFormat/>
    <w:locked/>
    <w:uiPriority w:val="99"/>
    <w:rPr>
      <w:rFonts w:ascii="Calibri" w:hAnsi="Calibri" w:cs="Calibri"/>
      <w:kern w:val="2"/>
      <w:sz w:val="18"/>
      <w:szCs w:val="18"/>
    </w:rPr>
  </w:style>
  <w:style w:type="character" w:customStyle="1" w:styleId="23">
    <w:name w:val="页脚 Char"/>
    <w:basedOn w:val="11"/>
    <w:link w:val="6"/>
    <w:qFormat/>
    <w:locked/>
    <w:uiPriority w:val="99"/>
    <w:rPr>
      <w:rFonts w:ascii="Calibri" w:hAnsi="Calibri" w:cs="Calibri"/>
      <w:kern w:val="2"/>
      <w:sz w:val="18"/>
      <w:szCs w:val="18"/>
    </w:rPr>
  </w:style>
  <w:style w:type="character" w:customStyle="1" w:styleId="24">
    <w:name w:val="文档结构图 Char"/>
    <w:basedOn w:val="11"/>
    <w:link w:val="3"/>
    <w:semiHidden/>
    <w:qFormat/>
    <w:uiPriority w:val="99"/>
    <w:rPr>
      <w:rFonts w:ascii="宋体" w:hAnsi="Calibri" w:cs="Calibri"/>
      <w:kern w:val="2"/>
      <w:sz w:val="18"/>
      <w:szCs w:val="18"/>
    </w:rPr>
  </w:style>
  <w:style w:type="character" w:customStyle="1" w:styleId="25">
    <w:name w:val="日期 Char"/>
    <w:basedOn w:val="11"/>
    <w:link w:val="4"/>
    <w:semiHidden/>
    <w:qFormat/>
    <w:uiPriority w:val="99"/>
    <w:rPr>
      <w:rFonts w:ascii="Calibri" w:hAnsi="Calibri" w:cs="Calibri"/>
      <w:kern w:val="2"/>
      <w:sz w:val="21"/>
      <w:szCs w:val="21"/>
    </w:rPr>
  </w:style>
  <w:style w:type="paragraph" w:styleId="2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1355</Words>
  <Characters>1458</Characters>
  <Lines>10</Lines>
  <Paragraphs>2</Paragraphs>
  <TotalTime>1</TotalTime>
  <ScaleCrop>false</ScaleCrop>
  <LinksUpToDate>false</LinksUpToDate>
  <CharactersWithSpaces>1460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J.</cp:lastModifiedBy>
  <cp:lastPrinted>2019-06-04T01:48:00Z</cp:lastPrinted>
  <dcterms:modified xsi:type="dcterms:W3CDTF">2022-10-25T08:23:41Z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8F15506AE7EA46809CE22D4BA3039768</vt:lpwstr>
  </property>
</Properties>
</file>