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default" w:ascii="Times New Roman" w:hAnsi="Times New Roman" w:cs="Times New Roman"/>
          <w:b/>
          <w:sz w:val="44"/>
          <w:szCs w:val="44"/>
        </w:rPr>
      </w:pPr>
    </w:p>
    <w:p>
      <w:pPr>
        <w:jc w:val="center"/>
        <w:rPr>
          <w:rFonts w:hint="default" w:ascii="Times New Roman" w:hAnsi="Times New Roman" w:cs="Times New Roman"/>
          <w:b/>
          <w:sz w:val="44"/>
          <w:szCs w:val="44"/>
        </w:rPr>
      </w:pPr>
    </w:p>
    <w:p>
      <w:pPr>
        <w:jc w:val="center"/>
        <w:rPr>
          <w:rFonts w:hint="default" w:ascii="Times New Roman" w:hAnsi="Times New Roman" w:eastAsia="黑体" w:cs="Times New Roman"/>
          <w:b/>
          <w:sz w:val="32"/>
          <w:szCs w:val="32"/>
        </w:rPr>
      </w:pPr>
    </w:p>
    <w:p>
      <w:pPr>
        <w:pStyle w:val="8"/>
        <w:rPr>
          <w:rFonts w:hint="default" w:ascii="Times New Roman" w:hAnsi="Times New Roman" w:cs="Times New Roman"/>
        </w:rPr>
      </w:pPr>
    </w:p>
    <w:p>
      <w:pPr>
        <w:jc w:val="center"/>
        <w:rPr>
          <w:rFonts w:hint="default" w:ascii="Times New Roman" w:hAnsi="Times New Roman" w:eastAsia="黑体" w:cs="Times New Roman"/>
          <w:b/>
          <w:sz w:val="32"/>
          <w:szCs w:val="32"/>
        </w:rPr>
      </w:pPr>
    </w:p>
    <w:p>
      <w:pPr>
        <w:jc w:val="center"/>
        <w:rPr>
          <w:rFonts w:hint="default" w:ascii="Times New Roman" w:hAnsi="Times New Roman" w:eastAsia="黑体" w:cs="Times New Roman"/>
          <w:b/>
          <w:sz w:val="32"/>
          <w:szCs w:val="32"/>
          <w:lang w:eastAsia="zh-CN"/>
        </w:rPr>
      </w:pPr>
      <w:r>
        <w:rPr>
          <w:rFonts w:hint="default" w:ascii="Times New Roman" w:hAnsi="Times New Roman" w:eastAsia="黑体" w:cs="Times New Roman"/>
          <w:b/>
          <w:sz w:val="32"/>
          <w:szCs w:val="32"/>
          <w:lang w:eastAsia="zh-CN"/>
        </w:rPr>
        <w:t>安徽源昇新型材料有限公司</w:t>
      </w:r>
    </w:p>
    <w:p>
      <w:pPr>
        <w:jc w:val="center"/>
        <w:rPr>
          <w:rFonts w:hint="default" w:ascii="Times New Roman" w:hAnsi="Times New Roman" w:eastAsia="黑体" w:cs="Times New Roman"/>
          <w:b/>
          <w:sz w:val="44"/>
          <w:szCs w:val="44"/>
        </w:rPr>
      </w:pPr>
      <w:r>
        <w:rPr>
          <w:rFonts w:hint="default" w:ascii="Times New Roman" w:hAnsi="Times New Roman" w:eastAsia="黑体" w:cs="Times New Roman"/>
          <w:b/>
          <w:sz w:val="32"/>
          <w:szCs w:val="32"/>
          <w:lang w:val="en-US" w:eastAsia="zh-CN"/>
        </w:rPr>
        <w:t>铝模板后期加工项目</w:t>
      </w:r>
    </w:p>
    <w:p>
      <w:pPr>
        <w:jc w:val="center"/>
        <w:rPr>
          <w:rFonts w:hint="default" w:ascii="Times New Roman" w:hAnsi="Times New Roman" w:cs="Times New Roman"/>
          <w:b/>
          <w:sz w:val="44"/>
          <w:szCs w:val="44"/>
        </w:rPr>
      </w:pPr>
      <w:r>
        <w:rPr>
          <w:rFonts w:hint="default" w:ascii="Times New Roman" w:hAnsi="Times New Roman" w:eastAsia="黑体" w:cs="Times New Roman"/>
          <w:b/>
          <w:sz w:val="44"/>
          <w:szCs w:val="44"/>
        </w:rPr>
        <w:t>竣工环境保护验收报告</w:t>
      </w:r>
    </w:p>
    <w:p>
      <w:pPr>
        <w:jc w:val="center"/>
        <w:rPr>
          <w:rFonts w:hint="default" w:ascii="Times New Roman" w:hAnsi="Times New Roman" w:cs="Times New Roman"/>
          <w:b/>
          <w:sz w:val="44"/>
          <w:szCs w:val="44"/>
        </w:rPr>
      </w:pPr>
    </w:p>
    <w:p>
      <w:pPr>
        <w:jc w:val="center"/>
        <w:rPr>
          <w:rFonts w:hint="default" w:ascii="Times New Roman" w:hAnsi="Times New Roman" w:cs="Times New Roman"/>
          <w:b/>
          <w:sz w:val="44"/>
          <w:szCs w:val="44"/>
        </w:rPr>
      </w:pPr>
    </w:p>
    <w:p>
      <w:pPr>
        <w:jc w:val="center"/>
        <w:rPr>
          <w:rFonts w:hint="default" w:ascii="Times New Roman" w:hAnsi="Times New Roman" w:cs="Times New Roman"/>
          <w:b/>
          <w:sz w:val="44"/>
          <w:szCs w:val="44"/>
        </w:rPr>
      </w:pPr>
    </w:p>
    <w:p>
      <w:pPr>
        <w:jc w:val="center"/>
        <w:rPr>
          <w:rFonts w:hint="default" w:ascii="Times New Roman" w:hAnsi="Times New Roman" w:cs="Times New Roman"/>
          <w:b/>
          <w:sz w:val="28"/>
          <w:szCs w:val="28"/>
        </w:rPr>
      </w:pPr>
    </w:p>
    <w:p>
      <w:pPr>
        <w:jc w:val="center"/>
        <w:rPr>
          <w:rFonts w:hint="default" w:ascii="Times New Roman" w:hAnsi="Times New Roman" w:cs="Times New Roman"/>
          <w:b/>
          <w:sz w:val="28"/>
          <w:szCs w:val="28"/>
        </w:rPr>
      </w:pPr>
    </w:p>
    <w:p>
      <w:pPr>
        <w:jc w:val="center"/>
        <w:rPr>
          <w:rFonts w:hint="default" w:ascii="Times New Roman" w:hAnsi="Times New Roman" w:cs="Times New Roman"/>
          <w:b/>
          <w:sz w:val="28"/>
          <w:szCs w:val="28"/>
        </w:rPr>
      </w:pPr>
    </w:p>
    <w:p>
      <w:pPr>
        <w:jc w:val="center"/>
        <w:rPr>
          <w:rFonts w:hint="default" w:ascii="Times New Roman" w:hAnsi="Times New Roman" w:cs="Times New Roman"/>
          <w:b/>
          <w:sz w:val="28"/>
          <w:szCs w:val="28"/>
        </w:rPr>
      </w:pPr>
    </w:p>
    <w:p>
      <w:pPr>
        <w:jc w:val="center"/>
        <w:rPr>
          <w:rFonts w:hint="default" w:ascii="Times New Roman" w:hAnsi="Times New Roman" w:cs="Times New Roman"/>
          <w:b/>
          <w:sz w:val="28"/>
          <w:szCs w:val="28"/>
        </w:rPr>
      </w:pPr>
    </w:p>
    <w:p>
      <w:pPr>
        <w:pStyle w:val="8"/>
        <w:rPr>
          <w:rFonts w:hint="default" w:ascii="Times New Roman" w:hAnsi="Times New Roman" w:cs="Times New Roman"/>
          <w:b/>
          <w:sz w:val="28"/>
          <w:szCs w:val="28"/>
        </w:rPr>
      </w:pPr>
    </w:p>
    <w:p>
      <w:pPr>
        <w:pStyle w:val="2"/>
        <w:rPr>
          <w:rFonts w:hint="default" w:ascii="Times New Roman" w:hAnsi="Times New Roman" w:cs="Times New Roman"/>
        </w:rPr>
      </w:pPr>
    </w:p>
    <w:p>
      <w:pPr>
        <w:widowControl/>
        <w:jc w:val="center"/>
        <w:rPr>
          <w:rFonts w:hint="default" w:ascii="Times New Roman" w:hAnsi="Times New Roman" w:eastAsia="仿宋" w:cs="Times New Roman"/>
          <w:b/>
          <w:sz w:val="32"/>
          <w:szCs w:val="32"/>
          <w:lang w:eastAsia="zh-CN"/>
        </w:rPr>
      </w:pPr>
      <w:r>
        <w:rPr>
          <w:rFonts w:hint="default" w:ascii="Times New Roman" w:hAnsi="Times New Roman" w:eastAsia="仿宋" w:cs="Times New Roman"/>
          <w:b/>
          <w:sz w:val="32"/>
          <w:szCs w:val="32"/>
          <w:lang w:eastAsia="zh-CN"/>
        </w:rPr>
        <w:t>安徽源昇新型材料有限公司</w:t>
      </w:r>
    </w:p>
    <w:p>
      <w:pPr>
        <w:widowControl/>
        <w:jc w:val="center"/>
        <w:rPr>
          <w:rFonts w:hint="default" w:ascii="Times New Roman" w:hAnsi="Times New Roman" w:eastAsia="仿宋" w:cs="Times New Roman"/>
          <w:b/>
          <w:sz w:val="32"/>
          <w:szCs w:val="32"/>
        </w:rPr>
      </w:pPr>
      <w:r>
        <w:rPr>
          <w:rFonts w:hint="default" w:ascii="Times New Roman" w:hAnsi="Times New Roman" w:eastAsia="仿宋" w:cs="Times New Roman"/>
          <w:b/>
          <w:sz w:val="32"/>
          <w:szCs w:val="32"/>
        </w:rPr>
        <w:t>202</w:t>
      </w:r>
      <w:r>
        <w:rPr>
          <w:rFonts w:hint="eastAsia" w:eastAsia="仿宋" w:cs="Times New Roman"/>
          <w:b/>
          <w:sz w:val="32"/>
          <w:szCs w:val="32"/>
          <w:lang w:val="en-US" w:eastAsia="zh-CN"/>
        </w:rPr>
        <w:t>3</w:t>
      </w:r>
      <w:r>
        <w:rPr>
          <w:rFonts w:hint="default" w:ascii="Times New Roman" w:hAnsi="Times New Roman" w:eastAsia="仿宋" w:cs="Times New Roman"/>
          <w:b/>
          <w:sz w:val="32"/>
          <w:szCs w:val="32"/>
        </w:rPr>
        <w:t>年</w:t>
      </w:r>
      <w:r>
        <w:rPr>
          <w:rFonts w:hint="default" w:ascii="Times New Roman" w:hAnsi="Times New Roman" w:eastAsia="仿宋" w:cs="Times New Roman"/>
          <w:b/>
          <w:sz w:val="32"/>
          <w:szCs w:val="32"/>
          <w:lang w:val="en-US" w:eastAsia="zh-CN"/>
        </w:rPr>
        <w:t>1</w:t>
      </w:r>
      <w:r>
        <w:rPr>
          <w:rFonts w:hint="default" w:ascii="Times New Roman" w:hAnsi="Times New Roman" w:eastAsia="仿宋" w:cs="Times New Roman"/>
          <w:b/>
          <w:sz w:val="32"/>
          <w:szCs w:val="32"/>
        </w:rPr>
        <w:t>月</w:t>
      </w:r>
    </w:p>
    <w:p>
      <w:pPr>
        <w:jc w:val="center"/>
        <w:rPr>
          <w:rFonts w:hint="default" w:ascii="Times New Roman" w:hAnsi="Times New Roman" w:cs="Times New Roman"/>
          <w:b/>
          <w:sz w:val="28"/>
          <w:szCs w:val="28"/>
        </w:rPr>
      </w:pPr>
    </w:p>
    <w:p>
      <w:pPr>
        <w:jc w:val="center"/>
        <w:rPr>
          <w:rFonts w:hint="default" w:ascii="Times New Roman" w:hAnsi="Times New Roman" w:cs="Times New Roman"/>
          <w:b/>
          <w:sz w:val="28"/>
          <w:szCs w:val="28"/>
        </w:rPr>
      </w:pPr>
    </w:p>
    <w:p>
      <w:pPr>
        <w:pStyle w:val="8"/>
        <w:rPr>
          <w:rFonts w:hint="default" w:ascii="Times New Roman" w:hAnsi="Times New Roman" w:cs="Times New Roman"/>
        </w:rPr>
      </w:pP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建设单位法人代表：            （签字）</w:t>
      </w:r>
    </w:p>
    <w:p>
      <w:pPr>
        <w:widowControl/>
        <w:jc w:val="left"/>
        <w:rPr>
          <w:rFonts w:hint="default" w:ascii="Times New Roman" w:hAnsi="Times New Roman" w:cs="Times New Roman" w:eastAsiaTheme="minorEastAsia"/>
          <w:b/>
          <w:sz w:val="28"/>
          <w:szCs w:val="28"/>
          <w:lang w:eastAsia="zh-CN"/>
        </w:rPr>
      </w:pPr>
      <w:r>
        <w:rPr>
          <w:rFonts w:hint="default" w:ascii="Times New Roman" w:hAnsi="Times New Roman" w:cs="Times New Roman"/>
          <w:b/>
          <w:sz w:val="28"/>
          <w:szCs w:val="28"/>
        </w:rPr>
        <w:t>项目负责人：</w:t>
      </w:r>
    </w:p>
    <w:p>
      <w:pPr>
        <w:widowControl/>
        <w:jc w:val="left"/>
        <w:rPr>
          <w:rFonts w:hint="default" w:ascii="Times New Roman" w:hAnsi="Times New Roman" w:cs="Times New Roman" w:eastAsiaTheme="minorEastAsia"/>
          <w:b/>
          <w:sz w:val="28"/>
          <w:szCs w:val="28"/>
          <w:lang w:eastAsia="zh-CN"/>
        </w:rPr>
      </w:pPr>
      <w:r>
        <w:rPr>
          <w:rFonts w:hint="default" w:ascii="Times New Roman" w:hAnsi="Times New Roman" w:cs="Times New Roman"/>
          <w:b/>
          <w:sz w:val="28"/>
          <w:szCs w:val="28"/>
        </w:rPr>
        <w:t>填  表  人：</w:t>
      </w: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 xml:space="preserve">        </w:t>
      </w:r>
    </w:p>
    <w:tbl>
      <w:tblPr>
        <w:tblStyle w:val="17"/>
        <w:tblpPr w:leftFromText="180" w:rightFromText="180" w:vertAnchor="text" w:horzAnchor="page" w:tblpX="1592" w:tblpY="4235"/>
        <w:tblOverlap w:val="never"/>
        <w:tblW w:w="8175" w:type="dxa"/>
        <w:tblInd w:w="0" w:type="dxa"/>
        <w:tblLayout w:type="fixed"/>
        <w:tblCellMar>
          <w:top w:w="0" w:type="dxa"/>
          <w:left w:w="108" w:type="dxa"/>
          <w:bottom w:w="0" w:type="dxa"/>
          <w:right w:w="108" w:type="dxa"/>
        </w:tblCellMar>
      </w:tblPr>
      <w:tblGrid>
        <w:gridCol w:w="8175"/>
      </w:tblGrid>
      <w:tr>
        <w:tblPrEx>
          <w:tblCellMar>
            <w:top w:w="0" w:type="dxa"/>
            <w:left w:w="108" w:type="dxa"/>
            <w:bottom w:w="0" w:type="dxa"/>
            <w:right w:w="108" w:type="dxa"/>
          </w:tblCellMar>
        </w:tblPrEx>
        <w:trPr>
          <w:trHeight w:val="603" w:hRule="atLeast"/>
        </w:trPr>
        <w:tc>
          <w:tcPr>
            <w:tcW w:w="8175" w:type="dxa"/>
          </w:tcPr>
          <w:p>
            <w:pPr>
              <w:rPr>
                <w:rFonts w:hint="default" w:ascii="Times New Roman" w:hAnsi="Times New Roman" w:cs="Times New Roman"/>
                <w:b/>
                <w:sz w:val="28"/>
                <w:szCs w:val="28"/>
              </w:rPr>
            </w:pPr>
            <w:r>
              <w:rPr>
                <w:rFonts w:hint="default" w:ascii="Times New Roman" w:hAnsi="Times New Roman" w:cs="Times New Roman"/>
                <w:b/>
                <w:sz w:val="28"/>
                <w:szCs w:val="28"/>
              </w:rPr>
              <w:t>建设单位：</w:t>
            </w:r>
            <w:r>
              <w:rPr>
                <w:rFonts w:hint="default" w:ascii="Times New Roman" w:hAnsi="Times New Roman" w:cs="Times New Roman"/>
                <w:b w:val="0"/>
                <w:bCs/>
                <w:sz w:val="28"/>
                <w:szCs w:val="28"/>
                <w:lang w:eastAsia="zh-CN"/>
              </w:rPr>
              <w:t>安徽源昇新型材料有限公司</w:t>
            </w:r>
            <w:r>
              <w:rPr>
                <w:rFonts w:hint="default" w:ascii="Times New Roman" w:hAnsi="Times New Roman" w:cs="Times New Roman"/>
                <w:bCs/>
                <w:sz w:val="24"/>
              </w:rPr>
              <w:t>（盖章）</w:t>
            </w:r>
          </w:p>
        </w:tc>
      </w:tr>
      <w:tr>
        <w:tblPrEx>
          <w:tblCellMar>
            <w:top w:w="0" w:type="dxa"/>
            <w:left w:w="108" w:type="dxa"/>
            <w:bottom w:w="0" w:type="dxa"/>
            <w:right w:w="108" w:type="dxa"/>
          </w:tblCellMar>
        </w:tblPrEx>
        <w:trPr>
          <w:trHeight w:val="617" w:hRule="atLeast"/>
        </w:trPr>
        <w:tc>
          <w:tcPr>
            <w:tcW w:w="8175" w:type="dxa"/>
          </w:tcPr>
          <w:p>
            <w:pPr>
              <w:widowControl/>
              <w:jc w:val="left"/>
              <w:rPr>
                <w:rFonts w:hint="default" w:ascii="Times New Roman" w:hAnsi="Times New Roman" w:cs="Times New Roman" w:eastAsiaTheme="minorEastAsia"/>
                <w:b/>
                <w:sz w:val="28"/>
                <w:szCs w:val="28"/>
                <w:lang w:val="en-US" w:eastAsia="zh-CN"/>
              </w:rPr>
            </w:pPr>
            <w:r>
              <w:rPr>
                <w:rFonts w:hint="default" w:ascii="Times New Roman" w:hAnsi="Times New Roman" w:cs="Times New Roman"/>
                <w:b/>
                <w:sz w:val="28"/>
                <w:szCs w:val="28"/>
              </w:rPr>
              <w:t>电话：</w:t>
            </w:r>
            <w:r>
              <w:rPr>
                <w:rFonts w:hint="default" w:ascii="Times New Roman" w:hAnsi="Times New Roman" w:cs="Times New Roman"/>
                <w:b w:val="0"/>
                <w:bCs/>
                <w:sz w:val="28"/>
                <w:szCs w:val="28"/>
              </w:rPr>
              <w:t>15950981158</w:t>
            </w:r>
          </w:p>
        </w:tc>
      </w:tr>
      <w:tr>
        <w:tblPrEx>
          <w:tblCellMar>
            <w:top w:w="0" w:type="dxa"/>
            <w:left w:w="108" w:type="dxa"/>
            <w:bottom w:w="0" w:type="dxa"/>
            <w:right w:w="108" w:type="dxa"/>
          </w:tblCellMar>
        </w:tblPrEx>
        <w:trPr>
          <w:trHeight w:val="617" w:hRule="atLeast"/>
        </w:trPr>
        <w:tc>
          <w:tcPr>
            <w:tcW w:w="8175" w:type="dxa"/>
          </w:tcPr>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传真：/</w:t>
            </w:r>
          </w:p>
        </w:tc>
      </w:tr>
      <w:tr>
        <w:tblPrEx>
          <w:tblCellMar>
            <w:top w:w="0" w:type="dxa"/>
            <w:left w:w="108" w:type="dxa"/>
            <w:bottom w:w="0" w:type="dxa"/>
            <w:right w:w="108" w:type="dxa"/>
          </w:tblCellMar>
        </w:tblPrEx>
        <w:trPr>
          <w:trHeight w:val="617" w:hRule="atLeast"/>
        </w:trPr>
        <w:tc>
          <w:tcPr>
            <w:tcW w:w="8175" w:type="dxa"/>
          </w:tcPr>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邮编：/</w:t>
            </w:r>
          </w:p>
        </w:tc>
      </w:tr>
      <w:tr>
        <w:tblPrEx>
          <w:tblCellMar>
            <w:top w:w="0" w:type="dxa"/>
            <w:left w:w="108" w:type="dxa"/>
            <w:bottom w:w="0" w:type="dxa"/>
            <w:right w:w="108" w:type="dxa"/>
          </w:tblCellMar>
        </w:tblPrEx>
        <w:trPr>
          <w:trHeight w:val="617" w:hRule="atLeast"/>
        </w:trPr>
        <w:tc>
          <w:tcPr>
            <w:tcW w:w="8175" w:type="dxa"/>
          </w:tcPr>
          <w:p>
            <w:pPr>
              <w:widowControl/>
              <w:ind w:left="843" w:hanging="843" w:hangingChars="300"/>
              <w:jc w:val="left"/>
              <w:rPr>
                <w:rFonts w:hint="default" w:ascii="Times New Roman" w:hAnsi="Times New Roman" w:cs="Times New Roman" w:eastAsiaTheme="minorEastAsia"/>
                <w:b/>
                <w:sz w:val="28"/>
                <w:szCs w:val="28"/>
                <w:lang w:eastAsia="zh-CN"/>
              </w:rPr>
            </w:pPr>
            <w:r>
              <w:rPr>
                <w:rFonts w:hint="default" w:ascii="Times New Roman" w:hAnsi="Times New Roman" w:cs="Times New Roman"/>
                <w:b/>
                <w:sz w:val="28"/>
                <w:szCs w:val="28"/>
              </w:rPr>
              <w:t>地址：</w:t>
            </w:r>
            <w:r>
              <w:rPr>
                <w:rFonts w:hint="default" w:ascii="Times New Roman" w:hAnsi="Times New Roman" w:cs="Times New Roman"/>
                <w:b w:val="0"/>
                <w:bCs/>
                <w:sz w:val="28"/>
                <w:szCs w:val="28"/>
              </w:rPr>
              <w:t>舒城县千人桥镇</w:t>
            </w:r>
            <w:r>
              <w:rPr>
                <w:rFonts w:hint="default" w:ascii="Times New Roman" w:hAnsi="Times New Roman" w:cs="Times New Roman"/>
                <w:b w:val="0"/>
                <w:bCs/>
                <w:sz w:val="28"/>
                <w:szCs w:val="28"/>
                <w:lang w:eastAsia="zh-CN"/>
              </w:rPr>
              <w:t>重阳村</w:t>
            </w:r>
          </w:p>
        </w:tc>
      </w:tr>
    </w:tbl>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 xml:space="preserve">     </w:t>
      </w:r>
    </w:p>
    <w:p>
      <w:pPr>
        <w:widowControl/>
        <w:jc w:val="left"/>
        <w:rPr>
          <w:rFonts w:hint="default" w:ascii="Times New Roman" w:hAnsi="Times New Roman" w:cs="Times New Roman"/>
          <w:b/>
          <w:sz w:val="28"/>
          <w:szCs w:val="28"/>
        </w:rPr>
        <w:sectPr>
          <w:pgSz w:w="11906" w:h="16838"/>
          <w:pgMar w:top="1440" w:right="1417" w:bottom="1440" w:left="1417" w:header="851" w:footer="992" w:gutter="0"/>
          <w:pgBorders>
            <w:top w:val="none" w:sz="0" w:space="0"/>
            <w:left w:val="none" w:sz="0" w:space="0"/>
            <w:bottom w:val="none" w:sz="0" w:space="0"/>
            <w:right w:val="none" w:sz="0" w:space="0"/>
          </w:pgBorders>
          <w:cols w:space="0" w:num="1"/>
          <w:docGrid w:type="lines" w:linePitch="312" w:charSpace="0"/>
        </w:sectPr>
      </w:pP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表一 建设项目基本情况</w:t>
      </w:r>
    </w:p>
    <w:tbl>
      <w:tblPr>
        <w:tblStyle w:val="17"/>
        <w:tblW w:w="987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10"/>
        <w:gridCol w:w="1826"/>
        <w:gridCol w:w="2093"/>
        <w:gridCol w:w="1543"/>
        <w:gridCol w:w="289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9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建设项目名称</w:t>
            </w:r>
          </w:p>
        </w:tc>
        <w:tc>
          <w:tcPr>
            <w:tcW w:w="8175" w:type="dxa"/>
            <w:gridSpan w:val="4"/>
            <w:vAlign w:val="center"/>
          </w:tcPr>
          <w:p>
            <w:pPr>
              <w:widowControl/>
              <w:spacing w:line="360" w:lineRule="auto"/>
              <w:jc w:val="center"/>
              <w:rPr>
                <w:rFonts w:hint="default" w:ascii="Times New Roman" w:hAnsi="Times New Roman" w:cs="Times New Roman" w:eastAsiaTheme="minorEastAsia"/>
                <w:sz w:val="24"/>
                <w:lang w:eastAsia="zh-CN"/>
              </w:rPr>
            </w:pPr>
            <w:r>
              <w:rPr>
                <w:rFonts w:hint="default" w:ascii="Times New Roman" w:hAnsi="Times New Roman" w:cs="Times New Roman"/>
                <w:sz w:val="24"/>
                <w:lang w:val="en-US" w:eastAsia="zh-CN"/>
              </w:rPr>
              <w:t>铝模板后期加工项目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9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建设单位名称</w:t>
            </w:r>
          </w:p>
        </w:tc>
        <w:tc>
          <w:tcPr>
            <w:tcW w:w="8175" w:type="dxa"/>
            <w:gridSpan w:val="4"/>
            <w:vAlign w:val="center"/>
          </w:tcPr>
          <w:p>
            <w:pPr>
              <w:widowControl/>
              <w:spacing w:line="360" w:lineRule="auto"/>
              <w:jc w:val="center"/>
              <w:rPr>
                <w:rFonts w:hint="default" w:ascii="Times New Roman" w:hAnsi="Times New Roman" w:cs="Times New Roman"/>
                <w:lang w:val="en-US" w:eastAsia="zh-CN"/>
              </w:rPr>
            </w:pPr>
            <w:r>
              <w:rPr>
                <w:rFonts w:hint="default" w:ascii="Times New Roman" w:hAnsi="Times New Roman" w:cs="Times New Roman"/>
                <w:sz w:val="24"/>
                <w:szCs w:val="32"/>
                <w:lang w:val="en-US" w:eastAsia="zh-CN"/>
              </w:rPr>
              <w:t>安徽源昇新型材料有限公司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9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建设项目性质</w:t>
            </w:r>
          </w:p>
        </w:tc>
        <w:tc>
          <w:tcPr>
            <w:tcW w:w="8175" w:type="dxa"/>
            <w:gridSpan w:val="4"/>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新建  ●改、扩建  技术改造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9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建设地点</w:t>
            </w:r>
          </w:p>
        </w:tc>
        <w:tc>
          <w:tcPr>
            <w:tcW w:w="8175" w:type="dxa"/>
            <w:gridSpan w:val="4"/>
            <w:vAlign w:val="center"/>
          </w:tcPr>
          <w:p>
            <w:pPr>
              <w:widowControl/>
              <w:spacing w:line="360" w:lineRule="auto"/>
              <w:jc w:val="center"/>
              <w:rPr>
                <w:rFonts w:hint="default" w:ascii="Times New Roman" w:hAnsi="Times New Roman" w:cs="Times New Roman" w:eastAsiaTheme="minorEastAsia"/>
                <w:sz w:val="24"/>
                <w:lang w:eastAsia="zh-CN"/>
              </w:rPr>
            </w:pPr>
            <w:r>
              <w:rPr>
                <w:rFonts w:hint="default" w:ascii="Times New Roman" w:hAnsi="Times New Roman" w:cs="Times New Roman" w:eastAsiaTheme="minorEastAsia"/>
                <w:sz w:val="24"/>
                <w:lang w:eastAsia="zh-CN"/>
              </w:rPr>
              <w:t>六安市舒城县千人桥镇重阳村安徽瑞翔石英制品有限公司厂房内</w:t>
            </w:r>
          </w:p>
          <w:p>
            <w:pPr>
              <w:widowControl/>
              <w:spacing w:line="360" w:lineRule="auto"/>
              <w:jc w:val="center"/>
              <w:rPr>
                <w:rFonts w:hint="default" w:ascii="Times New Roman" w:hAnsi="Times New Roman" w:cs="Times New Roman" w:eastAsiaTheme="minorEastAsia"/>
                <w:sz w:val="24"/>
                <w:lang w:eastAsia="zh-CN"/>
              </w:rPr>
            </w:pPr>
            <w:r>
              <w:rPr>
                <w:rFonts w:hint="default" w:ascii="Times New Roman" w:hAnsi="Times New Roman" w:cs="Times New Roman" w:eastAsiaTheme="minorEastAsia"/>
                <w:sz w:val="24"/>
                <w:lang w:eastAsia="zh-CN"/>
              </w:rPr>
              <w:t>中心地理坐标为：117.078356°E，31.486720°N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69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主要产品名称</w:t>
            </w:r>
          </w:p>
        </w:tc>
        <w:tc>
          <w:tcPr>
            <w:tcW w:w="8175" w:type="dxa"/>
            <w:gridSpan w:val="4"/>
            <w:vAlign w:val="center"/>
          </w:tcPr>
          <w:p>
            <w:pPr>
              <w:widowControl/>
              <w:spacing w:line="360" w:lineRule="auto"/>
              <w:jc w:val="center"/>
              <w:rPr>
                <w:rFonts w:hint="default" w:ascii="Times New Roman" w:hAnsi="Times New Roman" w:cs="Times New Roman" w:eastAsiaTheme="minorEastAsia"/>
                <w:sz w:val="24"/>
                <w:lang w:eastAsia="zh-CN"/>
              </w:rPr>
            </w:pPr>
            <w:r>
              <w:rPr>
                <w:rFonts w:hint="default" w:ascii="Times New Roman" w:hAnsi="Times New Roman" w:cs="Times New Roman" w:eastAsiaTheme="minorEastAsia"/>
                <w:sz w:val="24"/>
                <w:lang w:eastAsia="zh-CN"/>
              </w:rPr>
              <w:t>翻新铝合金模板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69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设计生产能力</w:t>
            </w:r>
          </w:p>
        </w:tc>
        <w:tc>
          <w:tcPr>
            <w:tcW w:w="8175" w:type="dxa"/>
            <w:gridSpan w:val="4"/>
            <w:vAlign w:val="center"/>
          </w:tcPr>
          <w:p>
            <w:pPr>
              <w:widowControl/>
              <w:spacing w:line="360" w:lineRule="auto"/>
              <w:jc w:val="center"/>
              <w:rPr>
                <w:rFonts w:hint="default" w:ascii="Times New Roman" w:hAnsi="Times New Roman" w:cs="Times New Roman" w:eastAsiaTheme="minorEastAsia"/>
                <w:sz w:val="24"/>
                <w:lang w:val="en-US" w:eastAsia="zh-CN"/>
              </w:rPr>
            </w:pPr>
            <w:r>
              <w:rPr>
                <w:rFonts w:hint="default" w:ascii="Times New Roman" w:hAnsi="Times New Roman" w:cs="Times New Roman" w:eastAsiaTheme="minorEastAsia"/>
                <w:sz w:val="24"/>
                <w:lang w:val="en-US" w:eastAsia="zh-CN"/>
              </w:rPr>
              <w:t>年翻新加工新模板5000m</w:t>
            </w:r>
            <w:r>
              <w:rPr>
                <w:rFonts w:hint="default" w:ascii="Times New Roman" w:hAnsi="Times New Roman" w:cs="Times New Roman" w:eastAsiaTheme="minorEastAsia"/>
                <w:sz w:val="24"/>
                <w:vertAlign w:val="superscript"/>
                <w:lang w:val="en-US" w:eastAsia="zh-CN"/>
              </w:rPr>
              <w:t>2</w:t>
            </w:r>
            <w:r>
              <w:rPr>
                <w:rFonts w:hint="default" w:ascii="Times New Roman" w:hAnsi="Times New Roman" w:cs="Times New Roman" w:eastAsiaTheme="minorEastAsia"/>
                <w:sz w:val="24"/>
                <w:lang w:val="en-US" w:eastAsia="zh-CN"/>
              </w:rPr>
              <w:t>的生产能力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1695" w:type="dxa"/>
            <w:vAlign w:val="center"/>
          </w:tcPr>
          <w:p>
            <w:pPr>
              <w:widowControl/>
              <w:spacing w:line="360" w:lineRule="auto"/>
              <w:jc w:val="center"/>
              <w:rPr>
                <w:rFonts w:hint="default" w:ascii="Times New Roman" w:hAnsi="Times New Roman" w:cs="Times New Roman"/>
                <w:color w:val="FF0000"/>
                <w:sz w:val="24"/>
              </w:rPr>
            </w:pPr>
            <w:r>
              <w:rPr>
                <w:rFonts w:hint="default" w:ascii="Times New Roman" w:hAnsi="Times New Roman" w:cs="Times New Roman"/>
                <w:color w:val="000000" w:themeColor="text1"/>
                <w:sz w:val="24"/>
              </w:rPr>
              <w:t>实际生产能力</w:t>
            </w:r>
          </w:p>
        </w:tc>
        <w:tc>
          <w:tcPr>
            <w:tcW w:w="8175" w:type="dxa"/>
            <w:gridSpan w:val="4"/>
            <w:vAlign w:val="center"/>
          </w:tcPr>
          <w:p>
            <w:pPr>
              <w:widowControl/>
              <w:spacing w:line="360" w:lineRule="auto"/>
              <w:jc w:val="center"/>
              <w:rPr>
                <w:rFonts w:hint="default" w:ascii="Times New Roman" w:hAnsi="Times New Roman" w:cs="Times New Roman" w:eastAsiaTheme="minorEastAsia"/>
                <w:color w:val="FF0000"/>
                <w:sz w:val="24"/>
                <w:lang w:val="en-US" w:eastAsia="zh-CN"/>
              </w:rPr>
            </w:pPr>
            <w:r>
              <w:rPr>
                <w:rFonts w:hint="default" w:ascii="Times New Roman" w:hAnsi="Times New Roman" w:cs="Times New Roman" w:eastAsiaTheme="minorEastAsia"/>
                <w:sz w:val="24"/>
                <w:lang w:val="en-US" w:eastAsia="zh-CN"/>
              </w:rPr>
              <w:t>年翻新加工新模板5000m</w:t>
            </w:r>
            <w:r>
              <w:rPr>
                <w:rFonts w:hint="default" w:ascii="Times New Roman" w:hAnsi="Times New Roman" w:cs="Times New Roman" w:eastAsiaTheme="minorEastAsia"/>
                <w:sz w:val="24"/>
                <w:vertAlign w:val="superscript"/>
                <w:lang w:val="en-US" w:eastAsia="zh-CN"/>
              </w:rPr>
              <w:t>2</w:t>
            </w:r>
            <w:r>
              <w:rPr>
                <w:rFonts w:hint="default" w:ascii="Times New Roman" w:hAnsi="Times New Roman" w:cs="Times New Roman" w:eastAsiaTheme="minorEastAsia"/>
                <w:sz w:val="24"/>
                <w:lang w:val="en-US" w:eastAsia="zh-CN"/>
              </w:rPr>
              <w:t>的生产能力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69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建设项目环评时间</w:t>
            </w:r>
          </w:p>
        </w:tc>
        <w:tc>
          <w:tcPr>
            <w:tcW w:w="1649" w:type="dxa"/>
            <w:vAlign w:val="center"/>
          </w:tcPr>
          <w:p>
            <w:pPr>
              <w:widowControl/>
              <w:spacing w:line="360" w:lineRule="auto"/>
              <w:jc w:val="center"/>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20</w:t>
            </w:r>
            <w:r>
              <w:rPr>
                <w:rFonts w:hint="default" w:ascii="Times New Roman" w:hAnsi="Times New Roman" w:cs="Times New Roman"/>
                <w:color w:val="000000" w:themeColor="text1"/>
                <w:sz w:val="24"/>
                <w:lang w:val="en-US" w:eastAsia="zh-CN"/>
              </w:rPr>
              <w:t>20</w:t>
            </w:r>
            <w:r>
              <w:rPr>
                <w:rFonts w:hint="default" w:ascii="Times New Roman" w:hAnsi="Times New Roman" w:cs="Times New Roman"/>
                <w:color w:val="000000" w:themeColor="text1"/>
                <w:sz w:val="24"/>
              </w:rPr>
              <w:t>年</w:t>
            </w:r>
            <w:r>
              <w:rPr>
                <w:rFonts w:hint="default" w:ascii="Times New Roman" w:hAnsi="Times New Roman" w:cs="Times New Roman"/>
                <w:color w:val="000000" w:themeColor="text1"/>
                <w:sz w:val="24"/>
                <w:lang w:val="en-US" w:eastAsia="zh-CN"/>
              </w:rPr>
              <w:t>11</w:t>
            </w:r>
            <w:r>
              <w:rPr>
                <w:rFonts w:hint="default" w:ascii="Times New Roman" w:hAnsi="Times New Roman" w:cs="Times New Roman"/>
                <w:color w:val="000000" w:themeColor="text1"/>
                <w:sz w:val="24"/>
              </w:rPr>
              <w:t>月</w:t>
            </w:r>
          </w:p>
        </w:tc>
        <w:tc>
          <w:tcPr>
            <w:tcW w:w="2114" w:type="dxa"/>
            <w:vAlign w:val="center"/>
          </w:tcPr>
          <w:p>
            <w:pPr>
              <w:widowControl/>
              <w:spacing w:line="360" w:lineRule="auto"/>
              <w:jc w:val="center"/>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开工建设时间</w:t>
            </w:r>
          </w:p>
        </w:tc>
        <w:tc>
          <w:tcPr>
            <w:tcW w:w="4412" w:type="dxa"/>
            <w:gridSpan w:val="2"/>
            <w:vAlign w:val="center"/>
          </w:tcPr>
          <w:p>
            <w:pPr>
              <w:widowControl/>
              <w:spacing w:line="360" w:lineRule="auto"/>
              <w:jc w:val="center"/>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20</w:t>
            </w:r>
            <w:r>
              <w:rPr>
                <w:rFonts w:hint="default" w:ascii="Times New Roman" w:hAnsi="Times New Roman" w:cs="Times New Roman"/>
                <w:color w:val="000000" w:themeColor="text1"/>
                <w:sz w:val="24"/>
                <w:lang w:val="en-US" w:eastAsia="zh-CN"/>
              </w:rPr>
              <w:t>21</w:t>
            </w:r>
            <w:r>
              <w:rPr>
                <w:rFonts w:hint="default" w:ascii="Times New Roman" w:hAnsi="Times New Roman" w:cs="Times New Roman"/>
                <w:color w:val="000000" w:themeColor="text1"/>
                <w:sz w:val="24"/>
              </w:rPr>
              <w:t>年</w:t>
            </w:r>
            <w:r>
              <w:rPr>
                <w:rFonts w:hint="default" w:ascii="Times New Roman" w:hAnsi="Times New Roman" w:cs="Times New Roman"/>
                <w:color w:val="000000" w:themeColor="text1"/>
                <w:sz w:val="24"/>
                <w:lang w:val="en-US" w:eastAsia="zh-CN"/>
              </w:rPr>
              <w:t>1</w:t>
            </w:r>
            <w:r>
              <w:rPr>
                <w:rFonts w:hint="default" w:ascii="Times New Roman" w:hAnsi="Times New Roman" w:cs="Times New Roman"/>
                <w:color w:val="000000" w:themeColor="text1"/>
                <w:sz w:val="24"/>
              </w:rPr>
              <w:t>月</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18" w:hRule="atLeast"/>
          <w:jc w:val="center"/>
        </w:trPr>
        <w:tc>
          <w:tcPr>
            <w:tcW w:w="169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调试时间</w:t>
            </w:r>
          </w:p>
        </w:tc>
        <w:tc>
          <w:tcPr>
            <w:tcW w:w="1649" w:type="dxa"/>
            <w:vAlign w:val="center"/>
          </w:tcPr>
          <w:p>
            <w:pPr>
              <w:widowControl/>
              <w:spacing w:line="360" w:lineRule="auto"/>
              <w:jc w:val="center"/>
              <w:rPr>
                <w:rFonts w:hint="default" w:ascii="Times New Roman" w:hAnsi="Times New Roman" w:cs="Times New Roman"/>
                <w:color w:val="000000" w:themeColor="text1"/>
                <w:sz w:val="24"/>
              </w:rPr>
            </w:pPr>
            <w:r>
              <w:rPr>
                <w:rStyle w:val="20"/>
                <w:rFonts w:hint="default" w:ascii="Times New Roman" w:hAnsi="Times New Roman" w:cs="Times New Roman"/>
                <w:sz w:val="24"/>
                <w:szCs w:val="24"/>
              </w:rPr>
              <w:t>202</w:t>
            </w:r>
            <w:r>
              <w:rPr>
                <w:rStyle w:val="20"/>
                <w:rFonts w:hint="default" w:ascii="Times New Roman" w:hAnsi="Times New Roman" w:cs="Times New Roman"/>
                <w:sz w:val="24"/>
                <w:szCs w:val="24"/>
                <w:lang w:val="en-US" w:eastAsia="zh-CN"/>
              </w:rPr>
              <w:t>2</w:t>
            </w:r>
            <w:r>
              <w:rPr>
                <w:rStyle w:val="20"/>
                <w:rFonts w:hint="default" w:ascii="Times New Roman" w:hAnsi="Times New Roman" w:cs="Times New Roman"/>
                <w:sz w:val="24"/>
                <w:szCs w:val="24"/>
              </w:rPr>
              <w:t>年</w:t>
            </w:r>
            <w:r>
              <w:rPr>
                <w:rStyle w:val="20"/>
                <w:rFonts w:hint="default" w:ascii="Times New Roman" w:hAnsi="Times New Roman" w:cs="Times New Roman"/>
                <w:sz w:val="24"/>
                <w:szCs w:val="24"/>
                <w:lang w:val="en-US" w:eastAsia="zh-CN"/>
              </w:rPr>
              <w:t>1</w:t>
            </w:r>
            <w:r>
              <w:rPr>
                <w:rStyle w:val="20"/>
                <w:rFonts w:hint="eastAsia" w:cs="Times New Roman"/>
                <w:sz w:val="24"/>
                <w:szCs w:val="24"/>
                <w:lang w:val="en-US" w:eastAsia="zh-CN"/>
              </w:rPr>
              <w:t>1</w:t>
            </w:r>
            <w:r>
              <w:rPr>
                <w:rStyle w:val="20"/>
                <w:rFonts w:hint="default" w:ascii="Times New Roman" w:hAnsi="Times New Roman" w:cs="Times New Roman"/>
                <w:sz w:val="24"/>
                <w:szCs w:val="24"/>
              </w:rPr>
              <w:t>月</w:t>
            </w:r>
          </w:p>
        </w:tc>
        <w:tc>
          <w:tcPr>
            <w:tcW w:w="2114" w:type="dxa"/>
            <w:vAlign w:val="center"/>
          </w:tcPr>
          <w:p>
            <w:pPr>
              <w:widowControl/>
              <w:spacing w:line="360" w:lineRule="auto"/>
              <w:jc w:val="center"/>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验收现场监测时间</w:t>
            </w:r>
          </w:p>
        </w:tc>
        <w:tc>
          <w:tcPr>
            <w:tcW w:w="4412" w:type="dxa"/>
            <w:gridSpan w:val="2"/>
            <w:vAlign w:val="center"/>
          </w:tcPr>
          <w:p>
            <w:pPr>
              <w:widowControl/>
              <w:spacing w:line="360" w:lineRule="auto"/>
              <w:jc w:val="center"/>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202</w:t>
            </w:r>
            <w:r>
              <w:rPr>
                <w:rFonts w:hint="default" w:ascii="Times New Roman" w:hAnsi="Times New Roman" w:cs="Times New Roman"/>
                <w:color w:val="000000" w:themeColor="text1"/>
                <w:sz w:val="24"/>
                <w:lang w:val="en-US" w:eastAsia="zh-CN"/>
              </w:rPr>
              <w:t>2</w:t>
            </w:r>
            <w:r>
              <w:rPr>
                <w:rFonts w:hint="default" w:ascii="Times New Roman" w:hAnsi="Times New Roman" w:cs="Times New Roman"/>
                <w:color w:val="000000" w:themeColor="text1"/>
                <w:sz w:val="24"/>
              </w:rPr>
              <w:t>年</w:t>
            </w:r>
            <w:r>
              <w:rPr>
                <w:rFonts w:hint="eastAsia" w:cs="Times New Roman"/>
                <w:color w:val="000000" w:themeColor="text1"/>
                <w:sz w:val="24"/>
                <w:lang w:val="en-US" w:eastAsia="zh-CN"/>
              </w:rPr>
              <w:t>11</w:t>
            </w:r>
            <w:r>
              <w:rPr>
                <w:rFonts w:hint="default" w:ascii="Times New Roman" w:hAnsi="Times New Roman" w:cs="Times New Roman"/>
                <w:color w:val="000000" w:themeColor="text1"/>
                <w:sz w:val="24"/>
              </w:rPr>
              <w:t>月</w:t>
            </w:r>
            <w:r>
              <w:rPr>
                <w:rFonts w:hint="eastAsia" w:cs="Times New Roman"/>
                <w:color w:val="000000" w:themeColor="text1"/>
                <w:sz w:val="24"/>
                <w:lang w:val="en-US" w:eastAsia="zh-CN"/>
              </w:rPr>
              <w:t>15</w:t>
            </w:r>
            <w:r>
              <w:rPr>
                <w:rFonts w:hint="default" w:ascii="Times New Roman" w:hAnsi="Times New Roman" w:cs="Times New Roman"/>
                <w:color w:val="000000" w:themeColor="text1"/>
                <w:sz w:val="24"/>
              </w:rPr>
              <w:t>日-</w:t>
            </w:r>
            <w:r>
              <w:rPr>
                <w:rFonts w:hint="eastAsia" w:cs="Times New Roman"/>
                <w:color w:val="000000" w:themeColor="text1"/>
                <w:sz w:val="24"/>
                <w:lang w:val="en-US" w:eastAsia="zh-CN"/>
              </w:rPr>
              <w:t>16</w:t>
            </w:r>
            <w:r>
              <w:rPr>
                <w:rFonts w:hint="default" w:ascii="Times New Roman" w:hAnsi="Times New Roman" w:cs="Times New Roman"/>
                <w:color w:val="000000" w:themeColor="text1"/>
                <w:sz w:val="24"/>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1051" w:hRule="atLeast"/>
          <w:jc w:val="center"/>
        </w:trPr>
        <w:tc>
          <w:tcPr>
            <w:tcW w:w="169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环评报告表</w:t>
            </w:r>
          </w:p>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审批部门</w:t>
            </w:r>
          </w:p>
        </w:tc>
        <w:tc>
          <w:tcPr>
            <w:tcW w:w="1649"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lang w:eastAsia="zh-CN"/>
              </w:rPr>
              <w:t>六安市舒城县</w:t>
            </w:r>
            <w:r>
              <w:rPr>
                <w:rFonts w:hint="default" w:ascii="Times New Roman" w:hAnsi="Times New Roman" w:cs="Times New Roman"/>
                <w:sz w:val="24"/>
              </w:rPr>
              <w:t>生态环境分局</w:t>
            </w:r>
          </w:p>
        </w:tc>
        <w:tc>
          <w:tcPr>
            <w:tcW w:w="211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环评报告表</w:t>
            </w:r>
          </w:p>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编制单位</w:t>
            </w:r>
          </w:p>
        </w:tc>
        <w:tc>
          <w:tcPr>
            <w:tcW w:w="4412" w:type="dxa"/>
            <w:gridSpan w:val="2"/>
            <w:vAlign w:val="center"/>
          </w:tcPr>
          <w:p>
            <w:pPr>
              <w:widowControl/>
              <w:spacing w:line="360" w:lineRule="auto"/>
              <w:jc w:val="center"/>
              <w:rPr>
                <w:rFonts w:hint="default" w:ascii="Times New Roman" w:hAnsi="Times New Roman" w:cs="Times New Roman" w:eastAsiaTheme="minorEastAsia"/>
                <w:color w:val="000000" w:themeColor="text1"/>
                <w:sz w:val="24"/>
                <w:lang w:eastAsia="zh-CN"/>
              </w:rPr>
            </w:pPr>
            <w:r>
              <w:rPr>
                <w:rFonts w:hint="default" w:ascii="Times New Roman" w:hAnsi="Times New Roman" w:cs="Times New Roman"/>
                <w:color w:val="000000" w:themeColor="text1"/>
                <w:sz w:val="24"/>
                <w:lang w:eastAsia="zh-CN"/>
              </w:rPr>
              <w:t>安徽锦环环境科技有限公司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8" w:hRule="atLeast"/>
          <w:jc w:val="center"/>
        </w:trPr>
        <w:tc>
          <w:tcPr>
            <w:tcW w:w="169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环保设施设计单位</w:t>
            </w:r>
          </w:p>
        </w:tc>
        <w:tc>
          <w:tcPr>
            <w:tcW w:w="1649"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w:t>
            </w:r>
          </w:p>
        </w:tc>
        <w:tc>
          <w:tcPr>
            <w:tcW w:w="211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环保设施施工单位</w:t>
            </w:r>
          </w:p>
        </w:tc>
        <w:tc>
          <w:tcPr>
            <w:tcW w:w="4412" w:type="dxa"/>
            <w:gridSpan w:val="2"/>
            <w:vAlign w:val="center"/>
          </w:tcPr>
          <w:p>
            <w:pPr>
              <w:widowControl/>
              <w:spacing w:line="360" w:lineRule="auto"/>
              <w:jc w:val="center"/>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91" w:hRule="atLeast"/>
          <w:jc w:val="center"/>
        </w:trPr>
        <w:tc>
          <w:tcPr>
            <w:tcW w:w="169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投资总概算</w:t>
            </w:r>
          </w:p>
        </w:tc>
        <w:tc>
          <w:tcPr>
            <w:tcW w:w="1649" w:type="dxa"/>
            <w:vAlign w:val="center"/>
          </w:tcPr>
          <w:p>
            <w:pPr>
              <w:widowControl/>
              <w:spacing w:line="360" w:lineRule="auto"/>
              <w:jc w:val="center"/>
              <w:rPr>
                <w:rFonts w:hint="default" w:ascii="Times New Roman" w:hAnsi="Times New Roman" w:cs="Times New Roman" w:eastAsiaTheme="minorEastAsia"/>
                <w:sz w:val="24"/>
                <w:lang w:val="en-US" w:eastAsia="zh-CN"/>
              </w:rPr>
            </w:pPr>
            <w:r>
              <w:rPr>
                <w:rFonts w:hint="default" w:ascii="Times New Roman" w:hAnsi="Times New Roman" w:cs="Times New Roman"/>
                <w:sz w:val="24"/>
                <w:lang w:val="en-US" w:eastAsia="zh-CN"/>
              </w:rPr>
              <w:t>200</w:t>
            </w:r>
          </w:p>
        </w:tc>
        <w:tc>
          <w:tcPr>
            <w:tcW w:w="2114"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环保投资总概算</w:t>
            </w:r>
          </w:p>
        </w:tc>
        <w:tc>
          <w:tcPr>
            <w:tcW w:w="1525" w:type="dxa"/>
            <w:vAlign w:val="center"/>
          </w:tcPr>
          <w:p>
            <w:pPr>
              <w:widowControl/>
              <w:spacing w:line="360" w:lineRule="auto"/>
              <w:jc w:val="center"/>
              <w:rPr>
                <w:rFonts w:hint="default" w:ascii="Times New Roman" w:hAnsi="Times New Roman" w:cs="Times New Roman" w:eastAsiaTheme="minorEastAsia"/>
                <w:color w:val="000000" w:themeColor="text1"/>
                <w:sz w:val="24"/>
                <w:lang w:val="en-US" w:eastAsia="zh-CN"/>
              </w:rPr>
            </w:pPr>
            <w:r>
              <w:rPr>
                <w:rFonts w:hint="default" w:ascii="Times New Roman" w:hAnsi="Times New Roman" w:cs="Times New Roman"/>
                <w:color w:val="000000" w:themeColor="text1"/>
                <w:sz w:val="24"/>
                <w:lang w:val="en-US" w:eastAsia="zh-CN"/>
              </w:rPr>
              <w:t>40</w:t>
            </w:r>
          </w:p>
        </w:tc>
        <w:tc>
          <w:tcPr>
            <w:tcW w:w="2887" w:type="dxa"/>
            <w:vAlign w:val="center"/>
          </w:tcPr>
          <w:p>
            <w:pPr>
              <w:widowControl/>
              <w:spacing w:line="360" w:lineRule="auto"/>
              <w:jc w:val="center"/>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lang w:val="en-US" w:eastAsia="zh-CN"/>
              </w:rPr>
              <w:t>20</w:t>
            </w:r>
            <w:r>
              <w:rPr>
                <w:rFonts w:hint="default" w:ascii="Times New Roman" w:hAnsi="Times New Roman" w:cs="Times New Roman"/>
                <w:color w:val="000000" w:themeColor="text1"/>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8" w:hRule="atLeast"/>
          <w:jc w:val="center"/>
        </w:trPr>
        <w:tc>
          <w:tcPr>
            <w:tcW w:w="169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实际总概算</w:t>
            </w:r>
          </w:p>
        </w:tc>
        <w:tc>
          <w:tcPr>
            <w:tcW w:w="1649" w:type="dxa"/>
            <w:vAlign w:val="center"/>
          </w:tcPr>
          <w:p>
            <w:pPr>
              <w:widowControl/>
              <w:spacing w:line="360" w:lineRule="auto"/>
              <w:jc w:val="center"/>
              <w:rPr>
                <w:rFonts w:hint="default" w:ascii="Times New Roman" w:hAnsi="Times New Roman" w:cs="Times New Roman" w:eastAsiaTheme="minorEastAsia"/>
                <w:color w:val="auto"/>
                <w:sz w:val="24"/>
                <w:lang w:val="en-US" w:eastAsia="zh-CN"/>
              </w:rPr>
            </w:pPr>
            <w:r>
              <w:rPr>
                <w:rFonts w:hint="default" w:ascii="Times New Roman" w:hAnsi="Times New Roman" w:cs="Times New Roman"/>
                <w:color w:val="auto"/>
                <w:sz w:val="24"/>
                <w:lang w:val="en-US" w:eastAsia="zh-CN"/>
              </w:rPr>
              <w:t>200</w:t>
            </w:r>
          </w:p>
        </w:tc>
        <w:tc>
          <w:tcPr>
            <w:tcW w:w="2114" w:type="dxa"/>
            <w:vAlign w:val="center"/>
          </w:tcPr>
          <w:p>
            <w:pPr>
              <w:widowControl/>
              <w:spacing w:line="360" w:lineRule="auto"/>
              <w:jc w:val="center"/>
              <w:rPr>
                <w:rFonts w:hint="default" w:ascii="Times New Roman" w:hAnsi="Times New Roman" w:cs="Times New Roman"/>
                <w:color w:val="auto"/>
                <w:sz w:val="24"/>
              </w:rPr>
            </w:pPr>
            <w:r>
              <w:rPr>
                <w:rFonts w:hint="default" w:ascii="Times New Roman" w:hAnsi="Times New Roman" w:cs="Times New Roman"/>
                <w:color w:val="auto"/>
                <w:sz w:val="24"/>
              </w:rPr>
              <w:t>环保投资</w:t>
            </w:r>
          </w:p>
        </w:tc>
        <w:tc>
          <w:tcPr>
            <w:tcW w:w="1525" w:type="dxa"/>
            <w:vAlign w:val="center"/>
          </w:tcPr>
          <w:p>
            <w:pPr>
              <w:widowControl/>
              <w:spacing w:line="360" w:lineRule="auto"/>
              <w:jc w:val="center"/>
              <w:rPr>
                <w:rFonts w:hint="default" w:ascii="Times New Roman" w:hAnsi="Times New Roman" w:cs="Times New Roman" w:eastAsiaTheme="minorEastAsia"/>
                <w:color w:val="000000" w:themeColor="text1"/>
                <w:sz w:val="24"/>
                <w:lang w:val="en-US" w:eastAsia="zh-CN"/>
              </w:rPr>
            </w:pPr>
            <w:r>
              <w:rPr>
                <w:rFonts w:hint="eastAsia" w:cs="Times New Roman"/>
                <w:color w:val="000000" w:themeColor="text1"/>
                <w:sz w:val="24"/>
                <w:lang w:val="en-US" w:eastAsia="zh-CN"/>
              </w:rPr>
              <w:t>43</w:t>
            </w:r>
          </w:p>
        </w:tc>
        <w:tc>
          <w:tcPr>
            <w:tcW w:w="2887" w:type="dxa"/>
            <w:vAlign w:val="center"/>
          </w:tcPr>
          <w:p>
            <w:pPr>
              <w:widowControl/>
              <w:spacing w:line="360" w:lineRule="auto"/>
              <w:jc w:val="center"/>
              <w:rPr>
                <w:rFonts w:hint="default" w:ascii="Times New Roman" w:hAnsi="Times New Roman" w:cs="Times New Roman"/>
                <w:color w:val="000000" w:themeColor="text1"/>
                <w:sz w:val="24"/>
              </w:rPr>
            </w:pPr>
            <w:r>
              <w:rPr>
                <w:rFonts w:hint="eastAsia" w:cs="Times New Roman"/>
                <w:color w:val="000000" w:themeColor="text1"/>
                <w:sz w:val="24"/>
                <w:lang w:val="en-US" w:eastAsia="zh-CN"/>
              </w:rPr>
              <w:t>21.5</w:t>
            </w:r>
            <w:r>
              <w:rPr>
                <w:rFonts w:hint="default" w:ascii="Times New Roman" w:hAnsi="Times New Roman" w:cs="Times New Roman"/>
                <w:color w:val="000000" w:themeColor="text1"/>
                <w:sz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18" w:hRule="atLeast"/>
          <w:jc w:val="center"/>
        </w:trPr>
        <w:tc>
          <w:tcPr>
            <w:tcW w:w="169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验收监测依据</w:t>
            </w:r>
          </w:p>
        </w:tc>
        <w:tc>
          <w:tcPr>
            <w:tcW w:w="8175" w:type="dxa"/>
            <w:gridSpan w:val="4"/>
            <w:vAlign w:val="center"/>
          </w:tcPr>
          <w:p>
            <w:pPr>
              <w:widowControl/>
              <w:spacing w:line="360" w:lineRule="auto"/>
              <w:rPr>
                <w:rFonts w:hint="default" w:ascii="Times New Roman" w:hAnsi="Times New Roman" w:cs="Times New Roman"/>
                <w:b/>
                <w:bCs/>
                <w:sz w:val="24"/>
              </w:rPr>
            </w:pPr>
            <w:r>
              <w:rPr>
                <w:rFonts w:hint="default" w:ascii="Times New Roman" w:hAnsi="Times New Roman" w:cs="Times New Roman"/>
                <w:b/>
                <w:bCs/>
                <w:sz w:val="24"/>
              </w:rPr>
              <w:t>1、环境保护国家相关法律法规</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（1）《中华人民共和国大气污染防治法》；</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（2）《中华人民共和国水污染防治法》；</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（3）《中华人民共和国环境噪声污染防治法》；</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（4）《中华人民共和国固体废物污染环境防治法》。</w:t>
            </w:r>
          </w:p>
          <w:p>
            <w:pPr>
              <w:widowControl/>
              <w:spacing w:line="360" w:lineRule="auto"/>
              <w:rPr>
                <w:rFonts w:hint="default" w:ascii="Times New Roman" w:hAnsi="Times New Roman" w:cs="Times New Roman"/>
                <w:b/>
                <w:bCs/>
                <w:sz w:val="24"/>
              </w:rPr>
            </w:pPr>
            <w:r>
              <w:rPr>
                <w:rFonts w:hint="default" w:ascii="Times New Roman" w:hAnsi="Times New Roman" w:cs="Times New Roman"/>
                <w:b/>
                <w:bCs/>
                <w:sz w:val="24"/>
              </w:rPr>
              <w:t>2、验收相关文件、条例、通知等</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（1）国务院第682号令《建设项目环境保护管理条例》；</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（2）环境保护部文件国环规环评[2017]4号《关于发布建设项目竣工环境保护验收暂行办法》；</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（3）《建设项目竣工环境保护验收技术部指南 污染影响类》（生态环境部）。</w:t>
            </w:r>
          </w:p>
          <w:p>
            <w:pPr>
              <w:widowControl/>
              <w:spacing w:line="360" w:lineRule="auto"/>
              <w:rPr>
                <w:rFonts w:hint="default" w:ascii="Times New Roman" w:hAnsi="Times New Roman" w:cs="Times New Roman"/>
                <w:b/>
                <w:bCs/>
                <w:sz w:val="24"/>
              </w:rPr>
            </w:pPr>
            <w:r>
              <w:rPr>
                <w:rFonts w:hint="default" w:ascii="Times New Roman" w:hAnsi="Times New Roman" w:cs="Times New Roman"/>
                <w:b/>
                <w:bCs/>
                <w:sz w:val="24"/>
              </w:rPr>
              <w:t>3、开展验收工作相关文件</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（1）</w:t>
            </w:r>
            <w:r>
              <w:rPr>
                <w:rFonts w:hint="default" w:ascii="Times New Roman" w:hAnsi="Times New Roman" w:cs="Times New Roman"/>
                <w:sz w:val="24"/>
                <w:lang w:eastAsia="zh-CN"/>
              </w:rPr>
              <w:t>安徽锦环环境科技有限公司</w:t>
            </w:r>
            <w:r>
              <w:rPr>
                <w:rFonts w:hint="default" w:ascii="Times New Roman" w:hAnsi="Times New Roman" w:cs="Times New Roman"/>
                <w:sz w:val="24"/>
              </w:rPr>
              <w:t>编制的《</w:t>
            </w:r>
            <w:r>
              <w:rPr>
                <w:rFonts w:hint="default" w:ascii="Times New Roman" w:hAnsi="Times New Roman" w:cs="Times New Roman"/>
                <w:sz w:val="24"/>
                <w:lang w:eastAsia="zh-CN"/>
              </w:rPr>
              <w:t>安徽源昇新型材料有限公司</w:t>
            </w:r>
            <w:r>
              <w:rPr>
                <w:rFonts w:hint="default" w:ascii="Times New Roman" w:hAnsi="Times New Roman" w:cs="Times New Roman"/>
                <w:sz w:val="24"/>
                <w:lang w:val="en-US" w:eastAsia="zh-CN"/>
              </w:rPr>
              <w:t>铝模板后期加工项目</w:t>
            </w:r>
            <w:r>
              <w:rPr>
                <w:rFonts w:hint="default" w:ascii="Times New Roman" w:hAnsi="Times New Roman" w:cs="Times New Roman"/>
                <w:sz w:val="24"/>
              </w:rPr>
              <w:t>环境影响报告表》，20</w:t>
            </w:r>
            <w:r>
              <w:rPr>
                <w:rFonts w:hint="default" w:ascii="Times New Roman" w:hAnsi="Times New Roman" w:cs="Times New Roman"/>
                <w:sz w:val="24"/>
                <w:lang w:val="en-US" w:eastAsia="zh-CN"/>
              </w:rPr>
              <w:t>20</w:t>
            </w:r>
            <w:r>
              <w:rPr>
                <w:rFonts w:hint="default" w:ascii="Times New Roman" w:hAnsi="Times New Roman" w:cs="Times New Roman"/>
                <w:sz w:val="24"/>
              </w:rPr>
              <w:t>.</w:t>
            </w:r>
            <w:r>
              <w:rPr>
                <w:rFonts w:hint="default" w:ascii="Times New Roman" w:hAnsi="Times New Roman" w:cs="Times New Roman"/>
                <w:sz w:val="24"/>
                <w:lang w:val="en-US" w:eastAsia="zh-CN"/>
              </w:rPr>
              <w:t>11</w:t>
            </w:r>
            <w:r>
              <w:rPr>
                <w:rFonts w:hint="default" w:ascii="Times New Roman" w:hAnsi="Times New Roman" w:cs="Times New Roman"/>
                <w:sz w:val="24"/>
              </w:rPr>
              <w:t>；</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（2）</w:t>
            </w:r>
            <w:r>
              <w:rPr>
                <w:rFonts w:hint="default" w:ascii="Times New Roman" w:hAnsi="Times New Roman" w:cs="Times New Roman"/>
                <w:sz w:val="24"/>
                <w:lang w:eastAsia="zh-CN"/>
              </w:rPr>
              <w:t>安徽源昇新型材料有限公司</w:t>
            </w:r>
            <w:r>
              <w:rPr>
                <w:rFonts w:hint="default" w:ascii="Times New Roman" w:hAnsi="Times New Roman" w:cs="Times New Roman"/>
                <w:sz w:val="24"/>
                <w:lang w:val="en-US" w:eastAsia="zh-CN"/>
              </w:rPr>
              <w:t>铝模板后期加工项目</w:t>
            </w:r>
            <w:r>
              <w:rPr>
                <w:rFonts w:hint="default" w:ascii="Times New Roman" w:hAnsi="Times New Roman" w:cs="Times New Roman"/>
                <w:sz w:val="24"/>
              </w:rPr>
              <w:t>的批复文件（</w:t>
            </w:r>
            <w:r>
              <w:rPr>
                <w:rFonts w:hint="default" w:ascii="Times New Roman" w:hAnsi="Times New Roman" w:cs="Times New Roman"/>
                <w:sz w:val="24"/>
                <w:lang w:eastAsia="zh-CN"/>
              </w:rPr>
              <w:t>舒环评</w:t>
            </w:r>
            <w:r>
              <w:rPr>
                <w:rFonts w:hint="default" w:ascii="Times New Roman" w:hAnsi="Times New Roman" w:cs="Times New Roman"/>
                <w:sz w:val="24"/>
              </w:rPr>
              <w:t>[20</w:t>
            </w:r>
            <w:r>
              <w:rPr>
                <w:rFonts w:hint="default" w:ascii="Times New Roman" w:hAnsi="Times New Roman" w:cs="Times New Roman"/>
                <w:sz w:val="24"/>
                <w:lang w:val="en-US" w:eastAsia="zh-CN"/>
              </w:rPr>
              <w:t>20</w:t>
            </w:r>
            <w:r>
              <w:rPr>
                <w:rFonts w:hint="default" w:ascii="Times New Roman" w:hAnsi="Times New Roman" w:cs="Times New Roman"/>
                <w:sz w:val="24"/>
              </w:rPr>
              <w:t>]</w:t>
            </w:r>
            <w:r>
              <w:rPr>
                <w:rFonts w:hint="default" w:ascii="Times New Roman" w:hAnsi="Times New Roman" w:cs="Times New Roman"/>
                <w:sz w:val="24"/>
                <w:lang w:val="en-US" w:eastAsia="zh-CN"/>
              </w:rPr>
              <w:t>74</w:t>
            </w:r>
            <w:r>
              <w:rPr>
                <w:rFonts w:hint="default" w:ascii="Times New Roman" w:hAnsi="Times New Roman" w:cs="Times New Roman"/>
                <w:sz w:val="24"/>
              </w:rPr>
              <w:t>号），20</w:t>
            </w:r>
            <w:r>
              <w:rPr>
                <w:rFonts w:hint="default" w:ascii="Times New Roman" w:hAnsi="Times New Roman" w:cs="Times New Roman"/>
                <w:sz w:val="24"/>
                <w:lang w:val="en-US" w:eastAsia="zh-CN"/>
              </w:rPr>
              <w:t>2</w:t>
            </w:r>
            <w:r>
              <w:rPr>
                <w:rFonts w:hint="eastAsia" w:cs="Times New Roman"/>
                <w:sz w:val="24"/>
                <w:lang w:val="en-US" w:eastAsia="zh-CN"/>
              </w:rPr>
              <w:t>0</w:t>
            </w:r>
            <w:r>
              <w:rPr>
                <w:rFonts w:hint="default" w:ascii="Times New Roman" w:hAnsi="Times New Roman" w:cs="Times New Roman"/>
                <w:sz w:val="24"/>
              </w:rPr>
              <w:t>.</w:t>
            </w:r>
            <w:r>
              <w:rPr>
                <w:rFonts w:hint="default" w:ascii="Times New Roman" w:hAnsi="Times New Roman" w:cs="Times New Roman"/>
                <w:sz w:val="24"/>
                <w:lang w:val="en-US" w:eastAsia="zh-CN"/>
              </w:rPr>
              <w:t>11</w:t>
            </w:r>
            <w:r>
              <w:rPr>
                <w:rFonts w:hint="default" w:ascii="Times New Roman" w:hAnsi="Times New Roman" w:cs="Times New Roman"/>
                <w:sz w:val="24"/>
              </w:rPr>
              <w:t>.</w:t>
            </w:r>
            <w:r>
              <w:rPr>
                <w:rFonts w:hint="default" w:ascii="Times New Roman" w:hAnsi="Times New Roman" w:cs="Times New Roman"/>
                <w:sz w:val="24"/>
                <w:lang w:val="en-US" w:eastAsia="zh-CN"/>
              </w:rPr>
              <w:t>16</w:t>
            </w:r>
            <w:r>
              <w:rPr>
                <w:rFonts w:hint="default" w:ascii="Times New Roman" w:hAnsi="Times New Roman" w:cs="Times New Roman"/>
                <w:sz w:val="24"/>
              </w:rPr>
              <w:t>；</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（3）验收监测方案；</w:t>
            </w:r>
          </w:p>
          <w:p>
            <w:pPr>
              <w:widowControl/>
              <w:spacing w:line="360" w:lineRule="auto"/>
              <w:rPr>
                <w:rFonts w:hint="default" w:ascii="Times New Roman" w:hAnsi="Times New Roman" w:cs="Times New Roman"/>
                <w:sz w:val="24"/>
              </w:rPr>
            </w:pPr>
            <w:r>
              <w:rPr>
                <w:rFonts w:hint="default" w:ascii="Times New Roman" w:hAnsi="Times New Roman" w:cs="Times New Roman"/>
                <w:sz w:val="24"/>
              </w:rPr>
              <w:t>（4）验收检测报告—废气、噪声。</w:t>
            </w:r>
          </w:p>
          <w:p>
            <w:pPr>
              <w:spacing w:line="480" w:lineRule="atLeast"/>
              <w:rPr>
                <w:rFonts w:hint="default" w:ascii="Times New Roman" w:hAnsi="Times New Roman" w:eastAsia="宋体" w:cs="Times New Roman"/>
                <w:b/>
                <w:color w:val="000000" w:themeColor="text1"/>
                <w:sz w:val="24"/>
                <w:szCs w:val="24"/>
                <w:lang w:val="en-US" w:eastAsia="zh-CN"/>
              </w:rPr>
            </w:pPr>
            <w:r>
              <w:rPr>
                <w:rFonts w:hint="default" w:ascii="Times New Roman" w:hAnsi="Times New Roman" w:cs="Times New Roman"/>
                <w:b/>
                <w:color w:val="000000" w:themeColor="text1"/>
                <w:sz w:val="24"/>
                <w:szCs w:val="24"/>
                <w:lang w:val="en-US" w:eastAsia="zh-CN"/>
              </w:rPr>
              <w:t>4、</w:t>
            </w:r>
            <w:r>
              <w:rPr>
                <w:rFonts w:hint="default" w:ascii="Times New Roman" w:hAnsi="Times New Roman" w:cs="Times New Roman"/>
                <w:b/>
                <w:color w:val="000000" w:themeColor="text1"/>
                <w:sz w:val="24"/>
                <w:szCs w:val="24"/>
              </w:rPr>
              <w:t>验收</w:t>
            </w:r>
            <w:r>
              <w:rPr>
                <w:rFonts w:hint="default" w:ascii="Times New Roman" w:hAnsi="Times New Roman" w:cs="Times New Roman"/>
                <w:b/>
                <w:color w:val="000000" w:themeColor="text1"/>
                <w:sz w:val="24"/>
                <w:szCs w:val="24"/>
                <w:lang w:val="en-US" w:eastAsia="zh-CN"/>
              </w:rPr>
              <w:t>条件满足性分析</w:t>
            </w:r>
          </w:p>
          <w:p>
            <w:pPr>
              <w:rPr>
                <w:rFonts w:hint="default" w:ascii="Times New Roman" w:hAnsi="Times New Roman" w:cs="Times New Roman"/>
                <w:color w:val="000000" w:themeColor="text1"/>
                <w:kern w:val="0"/>
                <w:sz w:val="24"/>
                <w:szCs w:val="24"/>
              </w:rPr>
            </w:pPr>
          </w:p>
          <w:p>
            <w:pPr>
              <w:jc w:val="center"/>
              <w:rPr>
                <w:rFonts w:hint="default" w:ascii="Times New Roman" w:hAnsi="Times New Roman" w:cs="Times New Roman"/>
                <w:b/>
                <w:bCs/>
                <w:color w:val="000000" w:themeColor="text1"/>
                <w:sz w:val="24"/>
                <w:szCs w:val="24"/>
                <w:lang w:val="en-US" w:eastAsia="zh-CN"/>
              </w:rPr>
            </w:pPr>
            <w:r>
              <w:rPr>
                <w:rFonts w:hint="default" w:ascii="Times New Roman" w:hAnsi="Times New Roman" w:cs="Times New Roman"/>
                <w:b/>
                <w:bCs/>
                <w:color w:val="000000" w:themeColor="text1"/>
                <w:sz w:val="24"/>
                <w:szCs w:val="24"/>
                <w:lang w:val="en-US" w:eastAsia="zh-CN"/>
              </w:rPr>
              <w:t>表1.1 项目满足验收条件情况一览表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65"/>
              <w:gridCol w:w="3458"/>
              <w:gridCol w:w="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90" w:hRule="atLeast"/>
              </w:trPr>
              <w:tc>
                <w:tcPr>
                  <w:tcW w:w="346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eastAsia="宋体" w:cs="Times New Roman"/>
                      <w:b w:val="0"/>
                      <w:bCs w:val="0"/>
                      <w:color w:val="000000" w:themeColor="text1"/>
                      <w:sz w:val="21"/>
                      <w:szCs w:val="21"/>
                      <w:vertAlign w:val="baseline"/>
                      <w:lang w:val="en-US" w:eastAsia="zh-CN"/>
                    </w:rPr>
                    <w:t>关于发布《建设项目竣工环境保护验收暂行办法》的公告</w:t>
                  </w:r>
                  <w:r>
                    <w:rPr>
                      <w:rFonts w:hint="default" w:ascii="Times New Roman" w:hAnsi="Times New Roman" w:cs="Times New Roman"/>
                      <w:b w:val="0"/>
                      <w:bCs w:val="0"/>
                      <w:color w:val="000000" w:themeColor="text1"/>
                      <w:sz w:val="21"/>
                      <w:szCs w:val="21"/>
                      <w:vertAlign w:val="baseline"/>
                      <w:lang w:val="en-US" w:eastAsia="zh-CN"/>
                    </w:rPr>
                    <w:t>（国环规环评〔2017〕4号）中不得提出验收合格意见的情形</w:t>
                  </w:r>
                </w:p>
              </w:tc>
              <w:tc>
                <w:tcPr>
                  <w:tcW w:w="3458"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本项目实际相关情形</w:t>
                  </w:r>
                </w:p>
              </w:tc>
              <w:tc>
                <w:tcPr>
                  <w:tcW w:w="930"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346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（1）</w:t>
                  </w:r>
                  <w:r>
                    <w:rPr>
                      <w:rFonts w:hint="default" w:ascii="Times New Roman" w:hAnsi="Times New Roman" w:eastAsia="宋体" w:cs="Times New Roman"/>
                      <w:b w:val="0"/>
                      <w:bCs w:val="0"/>
                      <w:color w:val="000000" w:themeColor="text1"/>
                      <w:sz w:val="21"/>
                      <w:szCs w:val="21"/>
                      <w:vertAlign w:val="baseline"/>
                      <w:lang w:val="en-US" w:eastAsia="zh-CN"/>
                    </w:rPr>
                    <w:t>未按环境影响报告书（表）及其审批部门审批决定要求建成环境保护设施，或者环境保护设施不能与主体工程同时投产或者使用的</w:t>
                  </w:r>
                </w:p>
              </w:tc>
              <w:tc>
                <w:tcPr>
                  <w:tcW w:w="3458"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已办理环评手续并取得六安市舒城县生态环境分局关于项目环境影响报告表的批复（舒环评[2020]74号），相关环保设施做到了与主体工程同时投产或使用</w:t>
                  </w:r>
                </w:p>
              </w:tc>
              <w:tc>
                <w:tcPr>
                  <w:tcW w:w="930"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7" w:hRule="atLeast"/>
              </w:trPr>
              <w:tc>
                <w:tcPr>
                  <w:tcW w:w="346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（2）</w:t>
                  </w:r>
                  <w:r>
                    <w:rPr>
                      <w:rFonts w:hint="default" w:ascii="Times New Roman" w:hAnsi="Times New Roman" w:eastAsia="宋体" w:cs="Times New Roman"/>
                      <w:b w:val="0"/>
                      <w:bCs w:val="0"/>
                      <w:color w:val="000000" w:themeColor="text1"/>
                      <w:sz w:val="21"/>
                      <w:szCs w:val="21"/>
                      <w:vertAlign w:val="baseline"/>
                      <w:lang w:val="en-US" w:eastAsia="zh-CN"/>
                    </w:rPr>
                    <w:t>污染物排放不符合国家和地方相关标准、环境影响报告书（表）及其审批部门审批决定或者重点污染物排放总量控制指标要求的</w:t>
                  </w:r>
                </w:p>
              </w:tc>
              <w:tc>
                <w:tcPr>
                  <w:tcW w:w="3458"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污染排放满足相关标准和总量控制指标要求</w:t>
                  </w:r>
                </w:p>
              </w:tc>
              <w:tc>
                <w:tcPr>
                  <w:tcW w:w="930"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7" w:hRule="atLeast"/>
              </w:trPr>
              <w:tc>
                <w:tcPr>
                  <w:tcW w:w="346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（3）</w:t>
                  </w:r>
                  <w:r>
                    <w:rPr>
                      <w:rFonts w:hint="default" w:ascii="Times New Roman" w:hAnsi="Times New Roman" w:eastAsia="宋体" w:cs="Times New Roman"/>
                      <w:b w:val="0"/>
                      <w:bCs w:val="0"/>
                      <w:color w:val="000000" w:themeColor="text1"/>
                      <w:sz w:val="21"/>
                      <w:szCs w:val="21"/>
                      <w:vertAlign w:val="baseline"/>
                      <w:lang w:val="en-US" w:eastAsia="zh-CN"/>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3458"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根据《关于印发&lt;污染影响类建设项目重大变动清单（试行）&gt;的通知》（环办环评函〔2020〕688号），项目不涉及重大变动</w:t>
                  </w:r>
                </w:p>
              </w:tc>
              <w:tc>
                <w:tcPr>
                  <w:tcW w:w="930"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346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（4）建设过程中造成重大环境污染未治理完成，或者造成重大生态破坏未恢复的</w:t>
                  </w:r>
                </w:p>
              </w:tc>
              <w:tc>
                <w:tcPr>
                  <w:tcW w:w="3458"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不涉及</w:t>
                  </w:r>
                </w:p>
              </w:tc>
              <w:tc>
                <w:tcPr>
                  <w:tcW w:w="930"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trPr>
              <w:tc>
                <w:tcPr>
                  <w:tcW w:w="346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（5）纳入排污许可管理的建设项目，无证排污或者不按证排污的</w:t>
                  </w:r>
                </w:p>
              </w:tc>
              <w:tc>
                <w:tcPr>
                  <w:tcW w:w="3458"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根据《固定污染源排污许可分类名录》（2019年版），项目属于简化管理类，</w:t>
                  </w:r>
                  <w:r>
                    <w:rPr>
                      <w:rFonts w:hint="eastAsia" w:ascii="Times New Roman" w:hAnsi="Times New Roman" w:cs="Times New Roman"/>
                      <w:b w:val="0"/>
                      <w:bCs w:val="0"/>
                      <w:color w:val="auto"/>
                      <w:sz w:val="21"/>
                      <w:szCs w:val="21"/>
                      <w:vertAlign w:val="baseline"/>
                      <w:lang w:val="en-US" w:eastAsia="zh-CN"/>
                    </w:rPr>
                    <w:t>已</w:t>
                  </w:r>
                  <w:r>
                    <w:rPr>
                      <w:rFonts w:hint="default" w:ascii="Times New Roman" w:hAnsi="Times New Roman" w:cs="Times New Roman"/>
                      <w:b w:val="0"/>
                      <w:bCs w:val="0"/>
                      <w:color w:val="auto"/>
                      <w:sz w:val="21"/>
                      <w:szCs w:val="21"/>
                      <w:vertAlign w:val="baseline"/>
                      <w:lang w:val="en-US" w:eastAsia="zh-CN"/>
                    </w:rPr>
                    <w:t>在</w:t>
                  </w:r>
                  <w:r>
                    <w:rPr>
                      <w:rFonts w:hint="default" w:ascii="Times New Roman" w:hAnsi="Times New Roman" w:eastAsia="宋体" w:cs="Times New Roman"/>
                      <w:b w:val="0"/>
                      <w:bCs w:val="0"/>
                      <w:color w:val="auto"/>
                      <w:sz w:val="21"/>
                      <w:szCs w:val="21"/>
                      <w:vertAlign w:val="baseline"/>
                      <w:lang w:val="en-US" w:eastAsia="zh-CN"/>
                    </w:rPr>
                    <w:t>排污许可证信息管理平台</w:t>
                  </w:r>
                  <w:r>
                    <w:rPr>
                      <w:rFonts w:hint="default" w:ascii="Times New Roman" w:hAnsi="Times New Roman" w:cs="Times New Roman"/>
                      <w:b w:val="0"/>
                      <w:bCs w:val="0"/>
                      <w:color w:val="auto"/>
                      <w:sz w:val="21"/>
                      <w:szCs w:val="21"/>
                      <w:vertAlign w:val="baseline"/>
                      <w:lang w:val="en-US" w:eastAsia="zh-CN"/>
                    </w:rPr>
                    <w:t>进行填报</w:t>
                  </w:r>
                </w:p>
              </w:tc>
              <w:tc>
                <w:tcPr>
                  <w:tcW w:w="930"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3" w:hRule="atLeast"/>
              </w:trPr>
              <w:tc>
                <w:tcPr>
                  <w:tcW w:w="346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（6）分期建设、分期投入生产或者使用依法应当分期验收的建设项目，其分期建设、分期投入生产或者使用的环境保护设施防治环境污染和生态破坏的能力不能满足其相应主体工程需要的</w:t>
                  </w:r>
                </w:p>
              </w:tc>
              <w:tc>
                <w:tcPr>
                  <w:tcW w:w="3458"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不涉及</w:t>
                  </w:r>
                </w:p>
              </w:tc>
              <w:tc>
                <w:tcPr>
                  <w:tcW w:w="930"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1" w:hRule="atLeast"/>
              </w:trPr>
              <w:tc>
                <w:tcPr>
                  <w:tcW w:w="346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（7）建设单位因该建设项目违反国家和地方环境保护法律法规受到处罚，被责令改正，尚未改正完成的</w:t>
                  </w:r>
                </w:p>
              </w:tc>
              <w:tc>
                <w:tcPr>
                  <w:tcW w:w="3458"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不涉及</w:t>
                  </w:r>
                </w:p>
              </w:tc>
              <w:tc>
                <w:tcPr>
                  <w:tcW w:w="930"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9" w:hRule="atLeast"/>
              </w:trPr>
              <w:tc>
                <w:tcPr>
                  <w:tcW w:w="346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（8）验收报告的基础资料数据明显不实，内容存在重大缺项、遗漏，或者验收结论不明确、不合理的</w:t>
                  </w:r>
                </w:p>
              </w:tc>
              <w:tc>
                <w:tcPr>
                  <w:tcW w:w="3458"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验收报告基础资料、监测数据真实，无重大缺项、遗漏，结论明确</w:t>
                  </w:r>
                </w:p>
              </w:tc>
              <w:tc>
                <w:tcPr>
                  <w:tcW w:w="930"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46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（9）其他环境保护法律法规规章等规定不得通过环境保护验收的</w:t>
                  </w:r>
                </w:p>
              </w:tc>
              <w:tc>
                <w:tcPr>
                  <w:tcW w:w="3458"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不涉及</w:t>
                  </w:r>
                </w:p>
              </w:tc>
              <w:tc>
                <w:tcPr>
                  <w:tcW w:w="930"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000000" w:themeColor="text1"/>
                      <w:sz w:val="21"/>
                      <w:szCs w:val="21"/>
                      <w:vertAlign w:val="baseline"/>
                      <w:lang w:val="en-US" w:eastAsia="zh-CN"/>
                    </w:rPr>
                  </w:pPr>
                  <w:r>
                    <w:rPr>
                      <w:rFonts w:hint="default" w:ascii="Times New Roman" w:hAnsi="Times New Roman" w:cs="Times New Roman"/>
                      <w:b w:val="0"/>
                      <w:bCs w:val="0"/>
                      <w:color w:val="000000" w:themeColor="text1"/>
                      <w:sz w:val="21"/>
                      <w:szCs w:val="21"/>
                      <w:vertAlign w:val="baseline"/>
                      <w:lang w:val="en-US" w:eastAsia="zh-CN"/>
                    </w:rPr>
                    <w:t>合格</w:t>
                  </w:r>
                </w:p>
              </w:tc>
            </w:tr>
          </w:tbl>
          <w:p>
            <w:pPr>
              <w:widowControl/>
              <w:spacing w:line="360" w:lineRule="auto"/>
              <w:rPr>
                <w:rFonts w:hint="default" w:ascii="Times New Roman" w:hAnsi="Times New Roman" w:cs="Times New Roman" w:eastAsiaTheme="minorEastAsia"/>
                <w:sz w:val="24"/>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70" w:hRule="atLeast"/>
          <w:jc w:val="center"/>
        </w:trPr>
        <w:tc>
          <w:tcPr>
            <w:tcW w:w="1695" w:type="dxa"/>
            <w:vAlign w:val="center"/>
          </w:tcPr>
          <w:p>
            <w:pPr>
              <w:widowControl/>
              <w:spacing w:line="360" w:lineRule="auto"/>
              <w:jc w:val="center"/>
              <w:rPr>
                <w:rFonts w:hint="default" w:ascii="Times New Roman" w:hAnsi="Times New Roman" w:cs="Times New Roman"/>
                <w:sz w:val="24"/>
              </w:rPr>
            </w:pPr>
            <w:r>
              <w:rPr>
                <w:rFonts w:hint="default" w:ascii="Times New Roman" w:hAnsi="Times New Roman" w:cs="Times New Roman"/>
                <w:sz w:val="24"/>
              </w:rPr>
              <w:t>验收监测评价标准、标号、级别、限值</w:t>
            </w:r>
          </w:p>
        </w:tc>
        <w:tc>
          <w:tcPr>
            <w:tcW w:w="8175" w:type="dxa"/>
            <w:gridSpan w:val="4"/>
            <w:vAlign w:val="center"/>
          </w:tcPr>
          <w:p>
            <w:pPr>
              <w:widowControl/>
              <w:spacing w:line="360" w:lineRule="auto"/>
              <w:rPr>
                <w:rFonts w:hint="default" w:ascii="Times New Roman" w:hAnsi="Times New Roman" w:cs="Times New Roman"/>
                <w:b/>
                <w:sz w:val="24"/>
              </w:rPr>
            </w:pPr>
            <w:r>
              <w:rPr>
                <w:rFonts w:hint="default" w:ascii="Times New Roman" w:hAnsi="Times New Roman" w:cs="Times New Roman"/>
                <w:b/>
                <w:sz w:val="24"/>
              </w:rPr>
              <w:t>1、环境质量标准：</w:t>
            </w:r>
          </w:p>
          <w:p>
            <w:pPr>
              <w:widowControl/>
              <w:spacing w:line="360" w:lineRule="auto"/>
              <w:ind w:firstLine="480" w:firstLineChars="200"/>
              <w:rPr>
                <w:rFonts w:hint="default" w:ascii="Times New Roman" w:hAnsi="Times New Roman" w:cs="Times New Roman"/>
                <w:bCs/>
                <w:sz w:val="24"/>
              </w:rPr>
            </w:pPr>
            <w:r>
              <w:rPr>
                <w:rFonts w:hint="default" w:ascii="Times New Roman" w:hAnsi="Times New Roman" w:cs="Times New Roman"/>
                <w:bCs/>
                <w:sz w:val="24"/>
              </w:rPr>
              <w:t>（1）大气环境</w:t>
            </w:r>
          </w:p>
          <w:p>
            <w:pPr>
              <w:widowControl/>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区域空气环境质量执行《环境空气质量标准》（GB3095-2012）及2018年修改单中二级标准，标准值详见下表：</w:t>
            </w:r>
          </w:p>
          <w:p>
            <w:pPr>
              <w:spacing w:line="360" w:lineRule="auto"/>
              <w:ind w:firstLine="2168" w:firstLineChars="900"/>
              <w:jc w:val="right"/>
              <w:rPr>
                <w:rFonts w:hint="default" w:ascii="Times New Roman" w:hAnsi="Times New Roman" w:cs="Times New Roman"/>
                <w:bCs/>
                <w:sz w:val="24"/>
              </w:rPr>
            </w:pPr>
            <w:r>
              <w:rPr>
                <w:rFonts w:hint="default" w:ascii="Times New Roman" w:hAnsi="Times New Roman" w:cs="Times New Roman"/>
                <w:b/>
                <w:sz w:val="24"/>
              </w:rPr>
              <w:t xml:space="preserve">表1.1 大气环境质量标准       </w:t>
            </w:r>
            <w:r>
              <w:rPr>
                <w:rFonts w:hint="default" w:ascii="Times New Roman" w:hAnsi="Times New Roman" w:cs="Times New Roman"/>
                <w:bCs/>
                <w:sz w:val="24"/>
              </w:rPr>
              <w:t>单位：μg/m</w:t>
            </w:r>
            <w:r>
              <w:rPr>
                <w:rFonts w:hint="default" w:ascii="Times New Roman" w:hAnsi="Times New Roman" w:cs="Times New Roman"/>
                <w:bCs/>
                <w:sz w:val="24"/>
                <w:vertAlign w:val="superscript"/>
              </w:rPr>
              <w:t>3</w:t>
            </w:r>
          </w:p>
          <w:tbl>
            <w:tblPr>
              <w:tblStyle w:val="17"/>
              <w:tblW w:w="804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57" w:type="dxa"/>
                <w:bottom w:w="0" w:type="dxa"/>
                <w:right w:w="57" w:type="dxa"/>
              </w:tblCellMar>
            </w:tblPr>
            <w:tblGrid>
              <w:gridCol w:w="1281"/>
              <w:gridCol w:w="2076"/>
              <w:gridCol w:w="1629"/>
              <w:gridCol w:w="30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286" w:hRule="atLeast"/>
              </w:trPr>
              <w:tc>
                <w:tcPr>
                  <w:tcW w:w="1281" w:type="dxa"/>
                  <w:tcBorders>
                    <w:top w:val="single" w:color="auto" w:sz="4" w:space="0"/>
                    <w:left w:val="single" w:color="auto" w:sz="4" w:space="0"/>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污染物名称</w:t>
                  </w:r>
                </w:p>
              </w:tc>
              <w:tc>
                <w:tcPr>
                  <w:tcW w:w="2076"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取值时间</w:t>
                  </w:r>
                </w:p>
              </w:tc>
              <w:tc>
                <w:tcPr>
                  <w:tcW w:w="1629"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浓度限值</w:t>
                  </w:r>
                </w:p>
              </w:tc>
              <w:tc>
                <w:tcPr>
                  <w:tcW w:w="3056"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标准来源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50" w:hRule="atLeast"/>
              </w:trPr>
              <w:tc>
                <w:tcPr>
                  <w:tcW w:w="1281" w:type="dxa"/>
                  <w:vMerge w:val="restart"/>
                  <w:tcBorders>
                    <w:top w:val="nil"/>
                    <w:left w:val="single" w:color="auto" w:sz="4" w:space="0"/>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SO</w:t>
                  </w:r>
                  <w:r>
                    <w:rPr>
                      <w:rFonts w:hint="default" w:ascii="Times New Roman" w:hAnsi="Times New Roman" w:cs="Times New Roman"/>
                      <w:color w:val="000000"/>
                      <w:vertAlign w:val="subscript"/>
                    </w:rPr>
                    <w:t>2</w:t>
                  </w:r>
                </w:p>
              </w:tc>
              <w:tc>
                <w:tcPr>
                  <w:tcW w:w="2076"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日平均</w:t>
                  </w:r>
                </w:p>
              </w:tc>
              <w:tc>
                <w:tcPr>
                  <w:tcW w:w="1629"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150</w:t>
                  </w:r>
                </w:p>
              </w:tc>
              <w:tc>
                <w:tcPr>
                  <w:tcW w:w="3056" w:type="dxa"/>
                  <w:vMerge w:val="restart"/>
                  <w:tcBorders>
                    <w:top w:val="nil"/>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《环境空气质量标准》（GB3095-2012）及2018年修改单中二级标准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continue"/>
                  <w:tcBorders>
                    <w:top w:val="nil"/>
                    <w:left w:val="single" w:color="auto" w:sz="4" w:space="0"/>
                    <w:bottom w:val="single" w:color="auto" w:sz="4" w:space="0"/>
                    <w:right w:val="single" w:color="auto" w:sz="4" w:space="0"/>
                  </w:tcBorders>
                  <w:vAlign w:val="center"/>
                </w:tcPr>
                <w:p>
                  <w:pPr>
                    <w:pStyle w:val="9"/>
                    <w:jc w:val="center"/>
                    <w:rPr>
                      <w:rFonts w:hint="default" w:ascii="Times New Roman" w:hAnsi="Times New Roman" w:cs="Times New Roman"/>
                      <w:color w:val="000000"/>
                    </w:rPr>
                  </w:pPr>
                </w:p>
              </w:tc>
              <w:tc>
                <w:tcPr>
                  <w:tcW w:w="2076"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一小时平均</w:t>
                  </w:r>
                </w:p>
              </w:tc>
              <w:tc>
                <w:tcPr>
                  <w:tcW w:w="1629"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500</w:t>
                  </w:r>
                </w:p>
              </w:tc>
              <w:tc>
                <w:tcPr>
                  <w:tcW w:w="3056" w:type="dxa"/>
                  <w:vMerge w:val="continue"/>
                  <w:tcBorders>
                    <w:top w:val="nil"/>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restart"/>
                  <w:tcBorders>
                    <w:top w:val="nil"/>
                    <w:left w:val="single" w:color="auto" w:sz="4" w:space="0"/>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NO</w:t>
                  </w:r>
                  <w:r>
                    <w:rPr>
                      <w:rFonts w:hint="default" w:ascii="Times New Roman" w:hAnsi="Times New Roman" w:cs="Times New Roman"/>
                      <w:color w:val="000000"/>
                      <w:vertAlign w:val="subscript"/>
                    </w:rPr>
                    <w:t>2</w:t>
                  </w:r>
                </w:p>
              </w:tc>
              <w:tc>
                <w:tcPr>
                  <w:tcW w:w="2076"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日平均</w:t>
                  </w:r>
                </w:p>
              </w:tc>
              <w:tc>
                <w:tcPr>
                  <w:tcW w:w="1629"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80</w:t>
                  </w:r>
                </w:p>
              </w:tc>
              <w:tc>
                <w:tcPr>
                  <w:tcW w:w="3056" w:type="dxa"/>
                  <w:vMerge w:val="continue"/>
                  <w:tcBorders>
                    <w:top w:val="nil"/>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continue"/>
                  <w:tcBorders>
                    <w:top w:val="nil"/>
                    <w:left w:val="single" w:color="auto" w:sz="4" w:space="0"/>
                    <w:bottom w:val="single" w:color="auto" w:sz="4" w:space="0"/>
                    <w:right w:val="single" w:color="auto" w:sz="4" w:space="0"/>
                  </w:tcBorders>
                  <w:vAlign w:val="center"/>
                </w:tcPr>
                <w:p>
                  <w:pPr>
                    <w:pStyle w:val="9"/>
                    <w:jc w:val="center"/>
                    <w:rPr>
                      <w:rFonts w:hint="default" w:ascii="Times New Roman" w:hAnsi="Times New Roman" w:cs="Times New Roman"/>
                      <w:color w:val="000000"/>
                    </w:rPr>
                  </w:pPr>
                </w:p>
              </w:tc>
              <w:tc>
                <w:tcPr>
                  <w:tcW w:w="2076"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一小时平均</w:t>
                  </w:r>
                </w:p>
              </w:tc>
              <w:tc>
                <w:tcPr>
                  <w:tcW w:w="1629"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200</w:t>
                  </w:r>
                </w:p>
              </w:tc>
              <w:tc>
                <w:tcPr>
                  <w:tcW w:w="3056" w:type="dxa"/>
                  <w:vMerge w:val="continue"/>
                  <w:tcBorders>
                    <w:top w:val="nil"/>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restart"/>
                  <w:tcBorders>
                    <w:top w:val="nil"/>
                    <w:left w:val="single" w:color="auto" w:sz="4" w:space="0"/>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TSP</w:t>
                  </w:r>
                </w:p>
              </w:tc>
              <w:tc>
                <w:tcPr>
                  <w:tcW w:w="2076"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年平均</w:t>
                  </w:r>
                </w:p>
              </w:tc>
              <w:tc>
                <w:tcPr>
                  <w:tcW w:w="1629"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200</w:t>
                  </w:r>
                </w:p>
              </w:tc>
              <w:tc>
                <w:tcPr>
                  <w:tcW w:w="3056" w:type="dxa"/>
                  <w:vMerge w:val="continue"/>
                  <w:tcBorders>
                    <w:top w:val="nil"/>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4" w:hRule="atLeast"/>
              </w:trPr>
              <w:tc>
                <w:tcPr>
                  <w:tcW w:w="1281" w:type="dxa"/>
                  <w:vMerge w:val="continue"/>
                  <w:tcBorders>
                    <w:top w:val="nil"/>
                    <w:left w:val="single" w:color="auto" w:sz="4" w:space="0"/>
                    <w:bottom w:val="single" w:color="auto" w:sz="4" w:space="0"/>
                    <w:right w:val="single" w:color="auto" w:sz="4" w:space="0"/>
                  </w:tcBorders>
                  <w:vAlign w:val="center"/>
                </w:tcPr>
                <w:p>
                  <w:pPr>
                    <w:pStyle w:val="9"/>
                    <w:jc w:val="center"/>
                    <w:rPr>
                      <w:rFonts w:hint="default" w:ascii="Times New Roman" w:hAnsi="Times New Roman" w:cs="Times New Roman"/>
                      <w:color w:val="000000"/>
                    </w:rPr>
                  </w:pPr>
                </w:p>
              </w:tc>
              <w:tc>
                <w:tcPr>
                  <w:tcW w:w="2076"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日平均</w:t>
                  </w:r>
                </w:p>
              </w:tc>
              <w:tc>
                <w:tcPr>
                  <w:tcW w:w="1629"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300</w:t>
                  </w:r>
                </w:p>
              </w:tc>
              <w:tc>
                <w:tcPr>
                  <w:tcW w:w="3056" w:type="dxa"/>
                  <w:vMerge w:val="continue"/>
                  <w:tcBorders>
                    <w:top w:val="nil"/>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restart"/>
                  <w:tcBorders>
                    <w:top w:val="nil"/>
                    <w:left w:val="single" w:color="auto" w:sz="4" w:space="0"/>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PM</w:t>
                  </w:r>
                  <w:r>
                    <w:rPr>
                      <w:rFonts w:hint="default" w:ascii="Times New Roman" w:hAnsi="Times New Roman" w:cs="Times New Roman"/>
                      <w:color w:val="000000"/>
                      <w:vertAlign w:val="subscript"/>
                    </w:rPr>
                    <w:t>10</w:t>
                  </w:r>
                </w:p>
              </w:tc>
              <w:tc>
                <w:tcPr>
                  <w:tcW w:w="2076"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年平均</w:t>
                  </w:r>
                </w:p>
              </w:tc>
              <w:tc>
                <w:tcPr>
                  <w:tcW w:w="1629"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70</w:t>
                  </w:r>
                </w:p>
              </w:tc>
              <w:tc>
                <w:tcPr>
                  <w:tcW w:w="3056" w:type="dxa"/>
                  <w:vMerge w:val="continue"/>
                  <w:tcBorders>
                    <w:top w:val="nil"/>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continue"/>
                  <w:tcBorders>
                    <w:top w:val="nil"/>
                    <w:left w:val="single" w:color="auto" w:sz="4" w:space="0"/>
                    <w:bottom w:val="single" w:color="auto" w:sz="4" w:space="0"/>
                    <w:right w:val="single" w:color="auto" w:sz="4" w:space="0"/>
                  </w:tcBorders>
                  <w:vAlign w:val="center"/>
                </w:tcPr>
                <w:p>
                  <w:pPr>
                    <w:pStyle w:val="9"/>
                    <w:jc w:val="center"/>
                    <w:rPr>
                      <w:rFonts w:hint="default" w:ascii="Times New Roman" w:hAnsi="Times New Roman" w:cs="Times New Roman"/>
                      <w:color w:val="000000"/>
                    </w:rPr>
                  </w:pPr>
                </w:p>
              </w:tc>
              <w:tc>
                <w:tcPr>
                  <w:tcW w:w="2076"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日平均</w:t>
                  </w:r>
                </w:p>
              </w:tc>
              <w:tc>
                <w:tcPr>
                  <w:tcW w:w="1629"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150</w:t>
                  </w:r>
                </w:p>
              </w:tc>
              <w:tc>
                <w:tcPr>
                  <w:tcW w:w="3056" w:type="dxa"/>
                  <w:vMerge w:val="continue"/>
                  <w:tcBorders>
                    <w:top w:val="nil"/>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restart"/>
                  <w:tcBorders>
                    <w:top w:val="nil"/>
                    <w:left w:val="single" w:color="auto" w:sz="4" w:space="0"/>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PM</w:t>
                  </w:r>
                  <w:r>
                    <w:rPr>
                      <w:rFonts w:hint="default" w:ascii="Times New Roman" w:hAnsi="Times New Roman" w:cs="Times New Roman"/>
                      <w:color w:val="000000"/>
                      <w:vertAlign w:val="subscript"/>
                    </w:rPr>
                    <w:t>2.5</w:t>
                  </w:r>
                </w:p>
              </w:tc>
              <w:tc>
                <w:tcPr>
                  <w:tcW w:w="2076"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年平均</w:t>
                  </w:r>
                </w:p>
              </w:tc>
              <w:tc>
                <w:tcPr>
                  <w:tcW w:w="1629"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35</w:t>
                  </w:r>
                </w:p>
              </w:tc>
              <w:tc>
                <w:tcPr>
                  <w:tcW w:w="3056" w:type="dxa"/>
                  <w:vMerge w:val="continue"/>
                  <w:tcBorders>
                    <w:top w:val="nil"/>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continue"/>
                  <w:tcBorders>
                    <w:top w:val="nil"/>
                    <w:left w:val="single" w:color="auto" w:sz="4" w:space="0"/>
                    <w:bottom w:val="single" w:color="auto" w:sz="4" w:space="0"/>
                    <w:right w:val="single" w:color="auto" w:sz="4" w:space="0"/>
                  </w:tcBorders>
                  <w:vAlign w:val="center"/>
                </w:tcPr>
                <w:p>
                  <w:pPr>
                    <w:pStyle w:val="9"/>
                    <w:jc w:val="center"/>
                    <w:rPr>
                      <w:rFonts w:hint="default" w:ascii="Times New Roman" w:hAnsi="Times New Roman" w:cs="Times New Roman"/>
                      <w:color w:val="000000"/>
                    </w:rPr>
                  </w:pPr>
                </w:p>
              </w:tc>
              <w:tc>
                <w:tcPr>
                  <w:tcW w:w="2076"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日平均</w:t>
                  </w:r>
                </w:p>
              </w:tc>
              <w:tc>
                <w:tcPr>
                  <w:tcW w:w="1629"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75</w:t>
                  </w:r>
                </w:p>
              </w:tc>
              <w:tc>
                <w:tcPr>
                  <w:tcW w:w="3056" w:type="dxa"/>
                  <w:vMerge w:val="continue"/>
                  <w:tcBorders>
                    <w:top w:val="nil"/>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restart"/>
                  <w:tcBorders>
                    <w:top w:val="nil"/>
                    <w:left w:val="single" w:color="auto" w:sz="4" w:space="0"/>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CO</w:t>
                  </w:r>
                </w:p>
              </w:tc>
              <w:tc>
                <w:tcPr>
                  <w:tcW w:w="2076"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日平均</w:t>
                  </w:r>
                </w:p>
              </w:tc>
              <w:tc>
                <w:tcPr>
                  <w:tcW w:w="1629"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4000</w:t>
                  </w:r>
                </w:p>
              </w:tc>
              <w:tc>
                <w:tcPr>
                  <w:tcW w:w="3056" w:type="dxa"/>
                  <w:vMerge w:val="continue"/>
                  <w:tcBorders>
                    <w:top w:val="nil"/>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continue"/>
                  <w:tcBorders>
                    <w:top w:val="nil"/>
                    <w:left w:val="single" w:color="auto" w:sz="4" w:space="0"/>
                    <w:bottom w:val="single" w:color="auto" w:sz="4" w:space="0"/>
                    <w:right w:val="single" w:color="auto" w:sz="4" w:space="0"/>
                  </w:tcBorders>
                  <w:vAlign w:val="center"/>
                </w:tcPr>
                <w:p>
                  <w:pPr>
                    <w:pStyle w:val="9"/>
                    <w:jc w:val="center"/>
                    <w:rPr>
                      <w:rFonts w:hint="default" w:ascii="Times New Roman" w:hAnsi="Times New Roman" w:cs="Times New Roman"/>
                      <w:color w:val="000000"/>
                    </w:rPr>
                  </w:pPr>
                </w:p>
              </w:tc>
              <w:tc>
                <w:tcPr>
                  <w:tcW w:w="2076"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一小时平均</w:t>
                  </w:r>
                </w:p>
              </w:tc>
              <w:tc>
                <w:tcPr>
                  <w:tcW w:w="1629"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10000</w:t>
                  </w:r>
                </w:p>
              </w:tc>
              <w:tc>
                <w:tcPr>
                  <w:tcW w:w="3056" w:type="dxa"/>
                  <w:vMerge w:val="continue"/>
                  <w:tcBorders>
                    <w:top w:val="nil"/>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1281" w:type="dxa"/>
                  <w:vMerge w:val="restart"/>
                  <w:tcBorders>
                    <w:top w:val="nil"/>
                    <w:left w:val="single" w:color="auto" w:sz="4" w:space="0"/>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O</w:t>
                  </w:r>
                  <w:r>
                    <w:rPr>
                      <w:rFonts w:hint="default" w:ascii="Times New Roman" w:hAnsi="Times New Roman" w:cs="Times New Roman"/>
                      <w:color w:val="000000"/>
                      <w:vertAlign w:val="subscript"/>
                    </w:rPr>
                    <w:t>3</w:t>
                  </w:r>
                </w:p>
              </w:tc>
              <w:tc>
                <w:tcPr>
                  <w:tcW w:w="2076"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日最大8小时平均</w:t>
                  </w:r>
                </w:p>
              </w:tc>
              <w:tc>
                <w:tcPr>
                  <w:tcW w:w="1629"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160</w:t>
                  </w:r>
                </w:p>
              </w:tc>
              <w:tc>
                <w:tcPr>
                  <w:tcW w:w="3056" w:type="dxa"/>
                  <w:vMerge w:val="continue"/>
                  <w:tcBorders>
                    <w:top w:val="nil"/>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1281" w:type="dxa"/>
                  <w:vMerge w:val="continue"/>
                  <w:tcBorders>
                    <w:top w:val="nil"/>
                    <w:left w:val="single" w:color="auto" w:sz="4" w:space="0"/>
                    <w:bottom w:val="single" w:color="auto" w:sz="4" w:space="0"/>
                    <w:right w:val="single" w:color="auto" w:sz="4" w:space="0"/>
                  </w:tcBorders>
                  <w:vAlign w:val="center"/>
                </w:tcPr>
                <w:p>
                  <w:pPr>
                    <w:pStyle w:val="9"/>
                    <w:jc w:val="center"/>
                    <w:rPr>
                      <w:rFonts w:hint="default" w:ascii="Times New Roman" w:hAnsi="Times New Roman" w:cs="Times New Roman"/>
                      <w:color w:val="000000"/>
                    </w:rPr>
                  </w:pPr>
                </w:p>
              </w:tc>
              <w:tc>
                <w:tcPr>
                  <w:tcW w:w="2076"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1小时平均</w:t>
                  </w:r>
                </w:p>
              </w:tc>
              <w:tc>
                <w:tcPr>
                  <w:tcW w:w="1629"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200</w:t>
                  </w:r>
                </w:p>
              </w:tc>
              <w:tc>
                <w:tcPr>
                  <w:tcW w:w="3056" w:type="dxa"/>
                  <w:vMerge w:val="continue"/>
                  <w:tcBorders>
                    <w:top w:val="nil"/>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90" w:hRule="atLeast"/>
              </w:trPr>
              <w:tc>
                <w:tcPr>
                  <w:tcW w:w="1281" w:type="dxa"/>
                  <w:tcBorders>
                    <w:top w:val="nil"/>
                    <w:left w:val="single" w:color="auto" w:sz="4" w:space="0"/>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TVOC</w:t>
                  </w:r>
                </w:p>
              </w:tc>
              <w:tc>
                <w:tcPr>
                  <w:tcW w:w="2076"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1小时平均</w:t>
                  </w:r>
                </w:p>
              </w:tc>
              <w:tc>
                <w:tcPr>
                  <w:tcW w:w="1629" w:type="dxa"/>
                  <w:tcBorders>
                    <w:top w:val="single" w:color="auto" w:sz="4" w:space="0"/>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600</w:t>
                  </w:r>
                </w:p>
              </w:tc>
              <w:tc>
                <w:tcPr>
                  <w:tcW w:w="3056" w:type="dxa"/>
                  <w:tcBorders>
                    <w:top w:val="nil"/>
                    <w:left w:val="nil"/>
                    <w:bottom w:val="single" w:color="auto" w:sz="4" w:space="0"/>
                    <w:right w:val="single" w:color="auto" w:sz="4" w:space="0"/>
                  </w:tcBorders>
                  <w:vAlign w:val="center"/>
                </w:tcPr>
                <w:p>
                  <w:pPr>
                    <w:pStyle w:val="9"/>
                    <w:jc w:val="center"/>
                    <w:rPr>
                      <w:rFonts w:hint="default" w:ascii="Times New Roman" w:hAnsi="Times New Roman" w:cs="Times New Roman"/>
                      <w:color w:val="000000"/>
                    </w:rPr>
                  </w:pPr>
                  <w:r>
                    <w:rPr>
                      <w:rFonts w:hint="default" w:ascii="Times New Roman" w:hAnsi="Times New Roman" w:cs="Times New Roman"/>
                      <w:color w:val="000000"/>
                    </w:rPr>
                    <w:t>《环境影响评价技术导则 大气环境》附录D中浓度限值要求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7" w:type="dxa"/>
                  <w:bottom w:w="0" w:type="dxa"/>
                  <w:right w:w="57" w:type="dxa"/>
                </w:tblCellMar>
              </w:tblPrEx>
              <w:trPr>
                <w:cantSplit/>
                <w:trHeight w:val="286" w:hRule="atLeast"/>
              </w:trPr>
              <w:tc>
                <w:tcPr>
                  <w:tcW w:w="8042" w:type="dxa"/>
                  <w:gridSpan w:val="4"/>
                  <w:tcBorders>
                    <w:top w:val="single" w:color="auto" w:sz="4" w:space="0"/>
                    <w:left w:val="single" w:color="auto" w:sz="4" w:space="0"/>
                    <w:bottom w:val="single" w:color="auto" w:sz="4" w:space="0"/>
                    <w:right w:val="single" w:color="auto" w:sz="4" w:space="0"/>
                  </w:tcBorders>
                  <w:vAlign w:val="center"/>
                </w:tcPr>
                <w:p>
                  <w:pPr>
                    <w:pStyle w:val="9"/>
                    <w:jc w:val="left"/>
                    <w:rPr>
                      <w:rFonts w:hint="default" w:ascii="Times New Roman" w:hAnsi="Times New Roman" w:cs="Times New Roman"/>
                      <w:color w:val="000000"/>
                    </w:rPr>
                  </w:pPr>
                  <w:r>
                    <w:rPr>
                      <w:rFonts w:hint="default" w:ascii="Times New Roman" w:hAnsi="Times New Roman" w:cs="Times New Roman"/>
                      <w:color w:val="000000"/>
                    </w:rPr>
                    <w:t>GB3095-2012标准2018年修改单内容：标准中的二氧化硫、二氧化氮、一氧化碳、臭氧、氮氧化物等气态污染物浓度为参比状态下的浓度。颗粒物（粒径小于等于10μm）、颗粒物（粒径小于等于2.5μm）、总悬浮颗粒物及其组分铅、苯并[α]芘等浓度为监测时大气温度和压力下的浓度。</w:t>
                  </w:r>
                </w:p>
              </w:tc>
            </w:tr>
          </w:tbl>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（2）地表水环境</w:t>
            </w:r>
          </w:p>
          <w:p>
            <w:pPr>
              <w:spacing w:line="360" w:lineRule="auto"/>
              <w:ind w:firstLine="480" w:firstLineChars="200"/>
              <w:rPr>
                <w:rFonts w:hint="default" w:ascii="Times New Roman" w:hAnsi="Times New Roman" w:cs="Times New Roman"/>
                <w:b/>
                <w:sz w:val="24"/>
              </w:rPr>
            </w:pPr>
            <w:r>
              <w:rPr>
                <w:rFonts w:hint="default" w:ascii="Times New Roman" w:hAnsi="Times New Roman" w:cs="Times New Roman"/>
                <w:sz w:val="24"/>
              </w:rPr>
              <w:t>地表水</w:t>
            </w:r>
            <w:r>
              <w:rPr>
                <w:rFonts w:hint="default" w:ascii="Times New Roman" w:hAnsi="Times New Roman" w:cs="Times New Roman"/>
                <w:sz w:val="24"/>
                <w:lang w:eastAsia="zh-CN"/>
              </w:rPr>
              <w:t>杭北干渠</w:t>
            </w:r>
            <w:r>
              <w:rPr>
                <w:rFonts w:hint="default" w:ascii="Times New Roman" w:hAnsi="Times New Roman" w:cs="Times New Roman"/>
                <w:sz w:val="24"/>
              </w:rPr>
              <w:t>水质执行《地表水环境质量标准》（GB3838-2002）中III类标准。</w:t>
            </w:r>
          </w:p>
          <w:p>
            <w:pPr>
              <w:widowControl/>
              <w:spacing w:line="360" w:lineRule="auto"/>
              <w:jc w:val="right"/>
              <w:rPr>
                <w:rFonts w:hint="default" w:ascii="Times New Roman" w:hAnsi="Times New Roman" w:cs="Times New Roman"/>
                <w:b/>
                <w:sz w:val="24"/>
              </w:rPr>
            </w:pPr>
            <w:r>
              <w:rPr>
                <w:rFonts w:hint="default" w:ascii="Times New Roman" w:hAnsi="Times New Roman" w:cs="Times New Roman"/>
                <w:b/>
                <w:sz w:val="24"/>
              </w:rPr>
              <w:t xml:space="preserve">表1. 2   地表水环境质量标准             </w:t>
            </w:r>
            <w:r>
              <w:rPr>
                <w:rFonts w:hint="default" w:ascii="Times New Roman" w:hAnsi="Times New Roman" w:cs="Times New Roman"/>
                <w:bCs/>
                <w:sz w:val="24"/>
              </w:rPr>
              <w:t xml:space="preserve"> 单位：mg/L</w:t>
            </w:r>
          </w:p>
          <w:tbl>
            <w:tblPr>
              <w:tblStyle w:val="17"/>
              <w:tblW w:w="4998" w:type="pct"/>
              <w:jc w:val="center"/>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1654"/>
              <w:gridCol w:w="965"/>
              <w:gridCol w:w="979"/>
              <w:gridCol w:w="1072"/>
              <w:gridCol w:w="1205"/>
              <w:gridCol w:w="1128"/>
              <w:gridCol w:w="1128"/>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153" w:hRule="atLeast"/>
                <w:jc w:val="center"/>
              </w:trPr>
              <w:tc>
                <w:tcPr>
                  <w:tcW w:w="1017" w:type="pct"/>
                  <w:vAlign w:val="center"/>
                </w:tcPr>
                <w:p>
                  <w:pPr>
                    <w:wordWrap w:val="0"/>
                    <w:topLinePunct/>
                    <w:spacing w:line="240" w:lineRule="auto"/>
                    <w:ind w:firstLine="0" w:firstLineChars="0"/>
                    <w:contextualSpacing/>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rPr>
                    <w:t>执行标准类别</w:t>
                  </w:r>
                </w:p>
              </w:tc>
              <w:tc>
                <w:tcPr>
                  <w:tcW w:w="593" w:type="pct"/>
                  <w:vAlign w:val="center"/>
                </w:tcPr>
                <w:p>
                  <w:pPr>
                    <w:wordWrap w:val="0"/>
                    <w:topLinePunct/>
                    <w:spacing w:line="240" w:lineRule="auto"/>
                    <w:ind w:firstLine="0" w:firstLineChars="0"/>
                    <w:contextualSpacing/>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rPr>
                    <w:t>pH</w:t>
                  </w:r>
                </w:p>
              </w:tc>
              <w:tc>
                <w:tcPr>
                  <w:tcW w:w="602" w:type="pct"/>
                  <w:vAlign w:val="center"/>
                </w:tcPr>
                <w:p>
                  <w:pPr>
                    <w:wordWrap w:val="0"/>
                    <w:topLinePunct/>
                    <w:spacing w:line="240" w:lineRule="auto"/>
                    <w:ind w:firstLine="0" w:firstLineChars="0"/>
                    <w:contextualSpacing/>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rPr>
                    <w:t>COD</w:t>
                  </w:r>
                </w:p>
              </w:tc>
              <w:tc>
                <w:tcPr>
                  <w:tcW w:w="659" w:type="pct"/>
                  <w:vAlign w:val="center"/>
                </w:tcPr>
                <w:p>
                  <w:pPr>
                    <w:wordWrap w:val="0"/>
                    <w:topLinePunct/>
                    <w:spacing w:line="240" w:lineRule="auto"/>
                    <w:ind w:firstLine="0" w:firstLineChars="0"/>
                    <w:contextualSpacing/>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rPr>
                    <w:t>BOD</w:t>
                  </w:r>
                  <w:r>
                    <w:rPr>
                      <w:rFonts w:hint="default" w:ascii="Times New Roman" w:hAnsi="Times New Roman" w:cs="Times New Roman"/>
                      <w:sz w:val="21"/>
                      <w:szCs w:val="21"/>
                      <w:vertAlign w:val="subscript"/>
                    </w:rPr>
                    <w:t>5</w:t>
                  </w:r>
                </w:p>
              </w:tc>
              <w:tc>
                <w:tcPr>
                  <w:tcW w:w="741" w:type="pct"/>
                  <w:vAlign w:val="center"/>
                </w:tcPr>
                <w:p>
                  <w:pPr>
                    <w:wordWrap w:val="0"/>
                    <w:topLinePunct/>
                    <w:spacing w:line="240" w:lineRule="auto"/>
                    <w:ind w:firstLine="0" w:firstLineChars="0"/>
                    <w:contextualSpacing/>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rPr>
                    <w:t>NH</w:t>
                  </w:r>
                  <w:r>
                    <w:rPr>
                      <w:rFonts w:hint="default" w:ascii="Times New Roman" w:hAnsi="Times New Roman" w:cs="Times New Roman"/>
                      <w:sz w:val="21"/>
                      <w:szCs w:val="21"/>
                      <w:vertAlign w:val="subscript"/>
                    </w:rPr>
                    <w:t>3</w:t>
                  </w:r>
                  <w:r>
                    <w:rPr>
                      <w:rFonts w:hint="default" w:ascii="Times New Roman" w:hAnsi="Times New Roman" w:cs="Times New Roman"/>
                      <w:sz w:val="21"/>
                      <w:szCs w:val="21"/>
                    </w:rPr>
                    <w:t>-N</w:t>
                  </w:r>
                </w:p>
              </w:tc>
              <w:tc>
                <w:tcPr>
                  <w:tcW w:w="693" w:type="pct"/>
                  <w:vAlign w:val="center"/>
                </w:tcPr>
                <w:p>
                  <w:pPr>
                    <w:wordWrap w:val="0"/>
                    <w:topLinePunct/>
                    <w:spacing w:line="240" w:lineRule="auto"/>
                    <w:ind w:firstLine="0" w:firstLineChars="0"/>
                    <w:contextualSpacing/>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rPr>
                    <w:t>总磷</w:t>
                  </w:r>
                </w:p>
              </w:tc>
              <w:tc>
                <w:tcPr>
                  <w:tcW w:w="693" w:type="pct"/>
                  <w:vAlign w:val="center"/>
                </w:tcPr>
                <w:p>
                  <w:pPr>
                    <w:wordWrap w:val="0"/>
                    <w:topLinePunct/>
                    <w:spacing w:line="240" w:lineRule="auto"/>
                    <w:ind w:firstLine="0" w:firstLineChars="0"/>
                    <w:contextualSpacing/>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rPr>
                    <w:t>总氮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87" w:hRule="atLeast"/>
                <w:jc w:val="center"/>
              </w:trPr>
              <w:tc>
                <w:tcPr>
                  <w:tcW w:w="1017" w:type="pct"/>
                  <w:vAlign w:val="center"/>
                </w:tcPr>
                <w:p>
                  <w:pPr>
                    <w:wordWrap w:val="0"/>
                    <w:topLinePunct/>
                    <w:spacing w:line="240" w:lineRule="auto"/>
                    <w:ind w:firstLine="0" w:firstLineChars="0"/>
                    <w:contextualSpacing/>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rPr>
                    <w:t>III类标准限值</w:t>
                  </w:r>
                </w:p>
              </w:tc>
              <w:tc>
                <w:tcPr>
                  <w:tcW w:w="593" w:type="pct"/>
                  <w:vAlign w:val="center"/>
                </w:tcPr>
                <w:p>
                  <w:pPr>
                    <w:wordWrap w:val="0"/>
                    <w:topLinePunct/>
                    <w:spacing w:line="240" w:lineRule="auto"/>
                    <w:ind w:firstLine="0" w:firstLineChars="0"/>
                    <w:contextualSpacing/>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rPr>
                    <w:t>6～9</w:t>
                  </w:r>
                </w:p>
              </w:tc>
              <w:tc>
                <w:tcPr>
                  <w:tcW w:w="602" w:type="pct"/>
                  <w:vAlign w:val="center"/>
                </w:tcPr>
                <w:p>
                  <w:pPr>
                    <w:wordWrap w:val="0"/>
                    <w:topLinePunct/>
                    <w:spacing w:line="240" w:lineRule="auto"/>
                    <w:ind w:firstLine="0" w:firstLineChars="0"/>
                    <w:contextualSpacing/>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rPr>
                    <w:t>≤20</w:t>
                  </w:r>
                </w:p>
              </w:tc>
              <w:tc>
                <w:tcPr>
                  <w:tcW w:w="659" w:type="pct"/>
                  <w:vAlign w:val="center"/>
                </w:tcPr>
                <w:p>
                  <w:pPr>
                    <w:wordWrap w:val="0"/>
                    <w:topLinePunct/>
                    <w:spacing w:line="240" w:lineRule="auto"/>
                    <w:ind w:firstLine="0" w:firstLineChars="0"/>
                    <w:contextualSpacing/>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rPr>
                    <w:t>≤4</w:t>
                  </w:r>
                </w:p>
              </w:tc>
              <w:tc>
                <w:tcPr>
                  <w:tcW w:w="741" w:type="pct"/>
                  <w:vAlign w:val="center"/>
                </w:tcPr>
                <w:p>
                  <w:pPr>
                    <w:wordWrap w:val="0"/>
                    <w:topLinePunct/>
                    <w:spacing w:line="240" w:lineRule="auto"/>
                    <w:ind w:firstLine="0" w:firstLineChars="0"/>
                    <w:contextualSpacing/>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rPr>
                    <w:t>≤1.0</w:t>
                  </w:r>
                </w:p>
              </w:tc>
              <w:tc>
                <w:tcPr>
                  <w:tcW w:w="693" w:type="pct"/>
                  <w:vAlign w:val="center"/>
                </w:tcPr>
                <w:p>
                  <w:pPr>
                    <w:wordWrap w:val="0"/>
                    <w:topLinePunct/>
                    <w:spacing w:line="240" w:lineRule="auto"/>
                    <w:ind w:firstLine="0" w:firstLineChars="0"/>
                    <w:contextualSpacing/>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rPr>
                    <w:t>≤0.2</w:t>
                  </w:r>
                </w:p>
              </w:tc>
              <w:tc>
                <w:tcPr>
                  <w:tcW w:w="693" w:type="pct"/>
                  <w:vAlign w:val="center"/>
                </w:tcPr>
                <w:p>
                  <w:pPr>
                    <w:wordWrap w:val="0"/>
                    <w:topLinePunct/>
                    <w:spacing w:line="240" w:lineRule="auto"/>
                    <w:ind w:firstLine="0" w:firstLineChars="0"/>
                    <w:contextualSpacing/>
                    <w:jc w:val="center"/>
                    <w:textAlignment w:val="center"/>
                    <w:rPr>
                      <w:rFonts w:hint="default" w:ascii="Times New Roman" w:hAnsi="Times New Roman" w:cs="Times New Roman"/>
                      <w:sz w:val="21"/>
                      <w:szCs w:val="21"/>
                    </w:rPr>
                  </w:pPr>
                  <w:r>
                    <w:rPr>
                      <w:rFonts w:hint="default" w:ascii="Times New Roman" w:hAnsi="Times New Roman" w:cs="Times New Roman"/>
                      <w:sz w:val="21"/>
                      <w:szCs w:val="21"/>
                    </w:rPr>
                    <w:t>≤1.0</w:t>
                  </w:r>
                </w:p>
              </w:tc>
            </w:tr>
          </w:tbl>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（3）声环境质量</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区域声环境质量执行《声环境质量标准》（GB3096-2008）中</w:t>
            </w:r>
            <w:r>
              <w:rPr>
                <w:rFonts w:hint="default" w:ascii="Times New Roman" w:hAnsi="Times New Roman" w:cs="Times New Roman"/>
                <w:sz w:val="24"/>
                <w:lang w:val="en-US" w:eastAsia="zh-CN"/>
              </w:rPr>
              <w:t>2</w:t>
            </w:r>
            <w:r>
              <w:rPr>
                <w:rFonts w:hint="default" w:ascii="Times New Roman" w:hAnsi="Times New Roman" w:cs="Times New Roman"/>
                <w:sz w:val="24"/>
              </w:rPr>
              <w:t>类区标准。</w:t>
            </w:r>
          </w:p>
          <w:p>
            <w:pPr>
              <w:spacing w:line="360" w:lineRule="auto"/>
              <w:ind w:firstLine="2168" w:firstLineChars="900"/>
              <w:jc w:val="left"/>
              <w:rPr>
                <w:rFonts w:hint="default" w:ascii="Times New Roman" w:hAnsi="Times New Roman" w:cs="Times New Roman"/>
                <w:b/>
                <w:sz w:val="24"/>
              </w:rPr>
            </w:pPr>
            <w:r>
              <w:rPr>
                <w:rFonts w:hint="default" w:ascii="Times New Roman" w:hAnsi="Times New Roman" w:cs="Times New Roman"/>
                <w:b/>
                <w:sz w:val="24"/>
              </w:rPr>
              <w:t xml:space="preserve">表1.3 </w:t>
            </w:r>
            <w:r>
              <w:rPr>
                <w:rFonts w:hint="default" w:ascii="Times New Roman" w:hAnsi="Times New Roman" w:cs="Times New Roman"/>
                <w:b/>
                <w:sz w:val="24"/>
                <w:lang w:val="en-US" w:eastAsia="zh-CN"/>
              </w:rPr>
              <w:t xml:space="preserve"> </w:t>
            </w:r>
            <w:r>
              <w:rPr>
                <w:rFonts w:hint="default" w:ascii="Times New Roman" w:hAnsi="Times New Roman" w:cs="Times New Roman"/>
                <w:b/>
                <w:sz w:val="24"/>
              </w:rPr>
              <w:t>声环境质量评价标准</w:t>
            </w:r>
          </w:p>
          <w:tbl>
            <w:tblPr>
              <w:tblStyle w:val="17"/>
              <w:tblW w:w="4998"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800"/>
              <w:gridCol w:w="1440"/>
              <w:gridCol w:w="1387"/>
              <w:gridCol w:w="3509"/>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jc w:val="center"/>
              </w:trPr>
              <w:tc>
                <w:tcPr>
                  <w:tcW w:w="1106" w:type="pct"/>
                  <w:tcBorders>
                    <w:top w:val="single" w:color="auto" w:sz="2" w:space="0"/>
                    <w:left w:val="single" w:color="auto" w:sz="2" w:space="0"/>
                    <w:bottom w:val="single" w:color="auto" w:sz="2" w:space="0"/>
                    <w:right w:val="single" w:color="auto" w:sz="2" w:space="0"/>
                  </w:tcBorders>
                  <w:vAlign w:val="center"/>
                </w:tcPr>
                <w:p>
                  <w:pPr>
                    <w:jc w:val="center"/>
                    <w:rPr>
                      <w:rFonts w:hint="default" w:ascii="Times New Roman" w:hAnsi="Times New Roman" w:cs="Times New Roman"/>
                      <w:bCs/>
                      <w:szCs w:val="21"/>
                    </w:rPr>
                  </w:pPr>
                  <w:r>
                    <w:rPr>
                      <w:rFonts w:hint="default" w:ascii="Times New Roman" w:hAnsi="Times New Roman" w:cs="Times New Roman"/>
                      <w:bCs/>
                      <w:szCs w:val="21"/>
                    </w:rPr>
                    <w:t>功能类别</w:t>
                  </w:r>
                </w:p>
              </w:tc>
              <w:tc>
                <w:tcPr>
                  <w:tcW w:w="1737" w:type="pct"/>
                  <w:gridSpan w:val="2"/>
                  <w:tcBorders>
                    <w:top w:val="single" w:color="auto" w:sz="2" w:space="0"/>
                    <w:left w:val="single" w:color="auto" w:sz="2" w:space="0"/>
                    <w:bottom w:val="single" w:color="auto" w:sz="2" w:space="0"/>
                    <w:right w:val="single" w:color="auto" w:sz="2" w:space="0"/>
                  </w:tcBorders>
                  <w:vAlign w:val="center"/>
                </w:tcPr>
                <w:p>
                  <w:pPr>
                    <w:jc w:val="center"/>
                    <w:rPr>
                      <w:rFonts w:hint="default" w:ascii="Times New Roman" w:hAnsi="Times New Roman" w:cs="Times New Roman"/>
                      <w:bCs/>
                      <w:szCs w:val="21"/>
                    </w:rPr>
                  </w:pPr>
                  <w:r>
                    <w:rPr>
                      <w:rFonts w:hint="default" w:ascii="Times New Roman" w:hAnsi="Times New Roman" w:cs="Times New Roman"/>
                      <w:bCs/>
                      <w:szCs w:val="21"/>
                    </w:rPr>
                    <w:t>标准值</w:t>
                  </w:r>
                </w:p>
              </w:tc>
              <w:tc>
                <w:tcPr>
                  <w:tcW w:w="2156" w:type="pct"/>
                  <w:tcBorders>
                    <w:top w:val="single" w:color="auto" w:sz="2" w:space="0"/>
                    <w:left w:val="single" w:color="auto" w:sz="2" w:space="0"/>
                    <w:bottom w:val="single" w:color="auto" w:sz="2" w:space="0"/>
                    <w:right w:val="single" w:color="auto" w:sz="2" w:space="0"/>
                  </w:tcBorders>
                  <w:vAlign w:val="center"/>
                </w:tcPr>
                <w:p>
                  <w:pPr>
                    <w:jc w:val="center"/>
                    <w:rPr>
                      <w:rFonts w:hint="default" w:ascii="Times New Roman" w:hAnsi="Times New Roman" w:cs="Times New Roman"/>
                      <w:bCs/>
                      <w:szCs w:val="21"/>
                    </w:rPr>
                  </w:pPr>
                  <w:r>
                    <w:rPr>
                      <w:rFonts w:hint="default" w:ascii="Times New Roman" w:hAnsi="Times New Roman" w:cs="Times New Roman"/>
                      <w:bCs/>
                      <w:szCs w:val="21"/>
                    </w:rPr>
                    <w:t>依据</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393" w:hRule="atLeast"/>
                <w:jc w:val="center"/>
              </w:trPr>
              <w:tc>
                <w:tcPr>
                  <w:tcW w:w="1106" w:type="pct"/>
                  <w:tcBorders>
                    <w:top w:val="single" w:color="auto" w:sz="2" w:space="0"/>
                    <w:left w:val="single" w:color="auto" w:sz="2" w:space="0"/>
                    <w:bottom w:val="single" w:color="auto" w:sz="2" w:space="0"/>
                    <w:right w:val="single" w:color="auto" w:sz="2" w:space="0"/>
                  </w:tcBorders>
                  <w:vAlign w:val="center"/>
                </w:tcPr>
                <w:p>
                  <w:pPr>
                    <w:jc w:val="center"/>
                    <w:rPr>
                      <w:rFonts w:hint="default" w:ascii="Times New Roman" w:hAnsi="Times New Roman" w:cs="Times New Roman"/>
                      <w:bCs/>
                      <w:szCs w:val="21"/>
                    </w:rPr>
                  </w:pPr>
                  <w:r>
                    <w:rPr>
                      <w:rFonts w:hint="default" w:ascii="Times New Roman" w:hAnsi="Times New Roman" w:cs="Times New Roman"/>
                      <w:bCs/>
                      <w:szCs w:val="21"/>
                      <w:lang w:val="en-US" w:eastAsia="zh-CN"/>
                    </w:rPr>
                    <w:t>2</w:t>
                  </w:r>
                  <w:r>
                    <w:rPr>
                      <w:rFonts w:hint="default" w:ascii="Times New Roman" w:hAnsi="Times New Roman" w:cs="Times New Roman"/>
                      <w:bCs/>
                      <w:szCs w:val="21"/>
                    </w:rPr>
                    <w:t>类区</w:t>
                  </w:r>
                </w:p>
              </w:tc>
              <w:tc>
                <w:tcPr>
                  <w:tcW w:w="885" w:type="pct"/>
                  <w:tcBorders>
                    <w:top w:val="single" w:color="auto" w:sz="2" w:space="0"/>
                    <w:left w:val="single" w:color="auto" w:sz="2" w:space="0"/>
                    <w:bottom w:val="single" w:color="auto" w:sz="2" w:space="0"/>
                    <w:right w:val="single" w:color="auto" w:sz="2" w:space="0"/>
                  </w:tcBorders>
                  <w:vAlign w:val="center"/>
                </w:tcPr>
                <w:p>
                  <w:pPr>
                    <w:jc w:val="center"/>
                    <w:rPr>
                      <w:rFonts w:hint="default" w:ascii="Times New Roman" w:hAnsi="Times New Roman" w:cs="Times New Roman"/>
                      <w:bCs/>
                      <w:szCs w:val="21"/>
                    </w:rPr>
                  </w:pPr>
                  <w:r>
                    <w:rPr>
                      <w:rFonts w:hint="default" w:ascii="Times New Roman" w:hAnsi="Times New Roman" w:cs="Times New Roman"/>
                      <w:bCs/>
                      <w:szCs w:val="21"/>
                    </w:rPr>
                    <w:t>6</w:t>
                  </w:r>
                  <w:r>
                    <w:rPr>
                      <w:rFonts w:hint="default" w:ascii="Times New Roman" w:hAnsi="Times New Roman" w:cs="Times New Roman"/>
                      <w:bCs/>
                      <w:szCs w:val="21"/>
                      <w:lang w:val="en-US" w:eastAsia="zh-CN"/>
                    </w:rPr>
                    <w:t>0</w:t>
                  </w:r>
                  <w:r>
                    <w:rPr>
                      <w:rFonts w:hint="default" w:ascii="Times New Roman" w:hAnsi="Times New Roman" w:cs="Times New Roman"/>
                      <w:bCs/>
                      <w:szCs w:val="21"/>
                    </w:rPr>
                    <w:t xml:space="preserve"> dB（A）</w:t>
                  </w:r>
                </w:p>
              </w:tc>
              <w:tc>
                <w:tcPr>
                  <w:tcW w:w="852" w:type="pct"/>
                  <w:tcBorders>
                    <w:top w:val="single" w:color="auto" w:sz="2" w:space="0"/>
                    <w:left w:val="single" w:color="auto" w:sz="2" w:space="0"/>
                    <w:bottom w:val="single" w:color="auto" w:sz="2" w:space="0"/>
                    <w:right w:val="single" w:color="auto" w:sz="2" w:space="0"/>
                  </w:tcBorders>
                  <w:vAlign w:val="center"/>
                </w:tcPr>
                <w:p>
                  <w:pPr>
                    <w:jc w:val="center"/>
                    <w:rPr>
                      <w:rFonts w:hint="default" w:ascii="Times New Roman" w:hAnsi="Times New Roman" w:cs="Times New Roman"/>
                      <w:bCs/>
                      <w:szCs w:val="21"/>
                    </w:rPr>
                  </w:pPr>
                  <w:r>
                    <w:rPr>
                      <w:rFonts w:hint="default" w:ascii="Times New Roman" w:hAnsi="Times New Roman" w:cs="Times New Roman"/>
                      <w:bCs/>
                      <w:szCs w:val="21"/>
                    </w:rPr>
                    <w:t>5</w:t>
                  </w:r>
                  <w:r>
                    <w:rPr>
                      <w:rFonts w:hint="default" w:ascii="Times New Roman" w:hAnsi="Times New Roman" w:cs="Times New Roman"/>
                      <w:bCs/>
                      <w:szCs w:val="21"/>
                      <w:lang w:val="en-US" w:eastAsia="zh-CN"/>
                    </w:rPr>
                    <w:t>0</w:t>
                  </w:r>
                  <w:r>
                    <w:rPr>
                      <w:rFonts w:hint="default" w:ascii="Times New Roman" w:hAnsi="Times New Roman" w:cs="Times New Roman"/>
                      <w:bCs/>
                      <w:szCs w:val="21"/>
                    </w:rPr>
                    <w:t xml:space="preserve"> dB（A）</w:t>
                  </w:r>
                </w:p>
              </w:tc>
              <w:tc>
                <w:tcPr>
                  <w:tcW w:w="2156" w:type="pct"/>
                  <w:tcBorders>
                    <w:top w:val="single" w:color="auto" w:sz="2" w:space="0"/>
                    <w:left w:val="single" w:color="auto" w:sz="2" w:space="0"/>
                    <w:right w:val="single" w:color="auto" w:sz="2" w:space="0"/>
                  </w:tcBorders>
                  <w:vAlign w:val="center"/>
                </w:tcPr>
                <w:p>
                  <w:pPr>
                    <w:jc w:val="center"/>
                    <w:rPr>
                      <w:rFonts w:hint="default" w:ascii="Times New Roman" w:hAnsi="Times New Roman" w:cs="Times New Roman"/>
                      <w:bCs/>
                      <w:szCs w:val="21"/>
                    </w:rPr>
                  </w:pPr>
                  <w:r>
                    <w:rPr>
                      <w:rFonts w:hint="default" w:ascii="Times New Roman" w:hAnsi="Times New Roman" w:cs="Times New Roman"/>
                      <w:bCs/>
                      <w:szCs w:val="21"/>
                    </w:rPr>
                    <w:t>GB3096-2008声环境质量标准</w:t>
                  </w:r>
                </w:p>
              </w:tc>
            </w:tr>
          </w:tbl>
          <w:p>
            <w:pPr>
              <w:spacing w:line="360" w:lineRule="auto"/>
              <w:rPr>
                <w:rFonts w:hint="default" w:ascii="Times New Roman" w:hAnsi="Times New Roman" w:cs="Times New Roman"/>
                <w:b/>
                <w:bCs/>
                <w:sz w:val="24"/>
              </w:rPr>
            </w:pPr>
            <w:r>
              <w:rPr>
                <w:rFonts w:hint="default" w:ascii="Times New Roman" w:hAnsi="Times New Roman" w:cs="Times New Roman"/>
                <w:b/>
                <w:bCs/>
                <w:sz w:val="24"/>
              </w:rPr>
              <w:t>2、污染物排放标准</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（1）废水</w:t>
            </w:r>
          </w:p>
          <w:p>
            <w:pPr>
              <w:pStyle w:val="38"/>
              <w:ind w:firstLine="480" w:firstLineChars="200"/>
              <w:rPr>
                <w:rFonts w:hint="default" w:ascii="Times New Roman" w:hAnsi="Times New Roman" w:cs="Times New Roman"/>
                <w:sz w:val="24"/>
              </w:rPr>
            </w:pPr>
            <w:r>
              <w:rPr>
                <w:rFonts w:hint="default" w:ascii="Times New Roman" w:hAnsi="Times New Roman" w:cs="Times New Roman"/>
                <w:sz w:val="24"/>
              </w:rPr>
              <w:t>项目废水</w:t>
            </w:r>
            <w:r>
              <w:rPr>
                <w:rFonts w:hint="default" w:ascii="Times New Roman" w:hAnsi="Times New Roman" w:cs="Times New Roman"/>
                <w:sz w:val="24"/>
                <w:lang w:eastAsia="zh-CN"/>
              </w:rPr>
              <w:t>主要</w:t>
            </w:r>
            <w:r>
              <w:rPr>
                <w:rFonts w:hint="default" w:ascii="Times New Roman" w:hAnsi="Times New Roman" w:cs="Times New Roman"/>
                <w:sz w:val="24"/>
              </w:rPr>
              <w:t>为生活污水，项目生活污水经化粪池处理后定期清掏，用于项目周边农业施肥，综合利用不外排。</w:t>
            </w:r>
          </w:p>
          <w:p>
            <w:pPr>
              <w:pStyle w:val="38"/>
              <w:ind w:firstLine="480" w:firstLineChars="200"/>
              <w:rPr>
                <w:rFonts w:hint="default" w:ascii="Times New Roman" w:hAnsi="Times New Roman" w:cs="Times New Roman"/>
                <w:sz w:val="24"/>
              </w:rPr>
            </w:pPr>
            <w:r>
              <w:rPr>
                <w:rFonts w:hint="default" w:ascii="Times New Roman" w:hAnsi="Times New Roman" w:cs="Times New Roman"/>
                <w:sz w:val="24"/>
              </w:rPr>
              <w:t>（</w:t>
            </w:r>
            <w:r>
              <w:rPr>
                <w:rFonts w:hint="default" w:ascii="Times New Roman" w:hAnsi="Times New Roman" w:cs="Times New Roman"/>
                <w:sz w:val="24"/>
                <w:lang w:val="en-US"/>
              </w:rPr>
              <w:t>2</w:t>
            </w:r>
            <w:r>
              <w:rPr>
                <w:rFonts w:hint="default" w:ascii="Times New Roman" w:hAnsi="Times New Roman" w:cs="Times New Roman"/>
                <w:sz w:val="24"/>
              </w:rPr>
              <w:t>）废气</w:t>
            </w:r>
          </w:p>
          <w:p>
            <w:pPr>
              <w:widowControl w:val="0"/>
              <w:spacing w:line="360" w:lineRule="auto"/>
              <w:ind w:firstLine="480" w:firstLineChars="200"/>
              <w:jc w:val="both"/>
              <w:rPr>
                <w:rFonts w:hint="default" w:ascii="Times New Roman" w:hAnsi="Times New Roman" w:eastAsia="宋体" w:cs="Times New Roman"/>
                <w:b/>
                <w:color w:val="000000" w:themeColor="text1"/>
                <w:kern w:val="2"/>
                <w:sz w:val="24"/>
                <w:szCs w:val="24"/>
                <w:lang w:val="zh-CN" w:eastAsia="zh-CN" w:bidi="ar-SA"/>
              </w:rPr>
            </w:pPr>
            <w:r>
              <w:rPr>
                <w:rFonts w:hint="default" w:ascii="Times New Roman" w:hAnsi="Times New Roman" w:eastAsia="宋体" w:cs="Times New Roman"/>
                <w:color w:val="000000" w:themeColor="text1"/>
                <w:kern w:val="2"/>
                <w:sz w:val="24"/>
                <w:szCs w:val="24"/>
                <w:lang w:val="en-US" w:eastAsia="zh-CN" w:bidi="ar-SA"/>
              </w:rPr>
              <w:t>燃烧产生的废气执行《工业炉窑大气污染物排放标准》（DB31/860-2014）表1中排放限值要求</w:t>
            </w:r>
            <w:r>
              <w:rPr>
                <w:rFonts w:hint="eastAsia" w:eastAsia="宋体" w:cs="Times New Roman"/>
                <w:color w:val="000000" w:themeColor="text1"/>
                <w:kern w:val="2"/>
                <w:sz w:val="24"/>
                <w:szCs w:val="24"/>
                <w:lang w:val="en-US" w:eastAsia="zh-CN" w:bidi="ar-SA"/>
              </w:rPr>
              <w:t>，其中氮氧化物执行</w:t>
            </w:r>
            <w:r>
              <w:rPr>
                <w:rFonts w:hint="default" w:ascii="Times New Roman" w:hAnsi="Times New Roman" w:cs="Times New Roman"/>
                <w:sz w:val="24"/>
              </w:rPr>
              <w:t>《安徽省2020年大气污染防治重点工作任务》(皖大气办[2020]2号)中排放限值要求</w:t>
            </w:r>
            <w:r>
              <w:rPr>
                <w:rFonts w:hint="default" w:ascii="Times New Roman" w:hAnsi="Times New Roman" w:eastAsia="宋体" w:cs="Times New Roman"/>
                <w:color w:val="000000" w:themeColor="text1"/>
                <w:kern w:val="2"/>
                <w:sz w:val="24"/>
                <w:szCs w:val="24"/>
                <w:lang w:val="en-US" w:eastAsia="zh-CN" w:bidi="ar-SA"/>
              </w:rPr>
              <w:t>。</w:t>
            </w:r>
            <w:r>
              <w:rPr>
                <w:rFonts w:hint="default" w:ascii="Times New Roman" w:hAnsi="Times New Roman" w:eastAsia="宋体" w:cs="Times New Roman"/>
                <w:color w:val="000000" w:themeColor="text1"/>
                <w:kern w:val="2"/>
                <w:sz w:val="24"/>
                <w:szCs w:val="20"/>
                <w:lang w:val="en-US" w:eastAsia="zh-CN" w:bidi="ar-SA"/>
              </w:rPr>
              <w:t>抛丸粉尘、高压除尘粉尘、喷塑粉尘、</w:t>
            </w:r>
            <w:r>
              <w:rPr>
                <w:rFonts w:hint="default" w:ascii="Times New Roman" w:hAnsi="Times New Roman" w:eastAsia="宋体" w:cs="Times New Roman"/>
                <w:color w:val="000000" w:themeColor="text1"/>
                <w:kern w:val="2"/>
                <w:sz w:val="24"/>
                <w:szCs w:val="20"/>
                <w:lang w:val="zh-CN" w:eastAsia="zh-CN" w:bidi="ar-SA"/>
              </w:rPr>
              <w:t>非甲烷总烃排放参照执行（</w:t>
            </w:r>
            <w:r>
              <w:rPr>
                <w:rFonts w:hint="default" w:ascii="Times New Roman" w:hAnsi="Times New Roman" w:eastAsia="宋体" w:cs="Times New Roman"/>
                <w:color w:val="000000" w:themeColor="text1"/>
                <w:kern w:val="2"/>
                <w:sz w:val="24"/>
                <w:szCs w:val="20"/>
                <w:lang w:val="en-US" w:eastAsia="zh-CN" w:bidi="ar-SA"/>
              </w:rPr>
              <w:t>上海</w:t>
            </w:r>
            <w:r>
              <w:rPr>
                <w:rFonts w:hint="default" w:ascii="Times New Roman" w:hAnsi="Times New Roman" w:eastAsia="宋体" w:cs="Times New Roman"/>
                <w:color w:val="000000" w:themeColor="text1"/>
                <w:kern w:val="2"/>
                <w:sz w:val="24"/>
                <w:szCs w:val="20"/>
                <w:lang w:val="zh-CN" w:eastAsia="zh-CN" w:bidi="ar-SA"/>
              </w:rPr>
              <w:t>）《</w:t>
            </w:r>
            <w:r>
              <w:rPr>
                <w:rFonts w:hint="default" w:ascii="Times New Roman" w:hAnsi="Times New Roman" w:eastAsia="宋体" w:cs="Times New Roman"/>
                <w:color w:val="000000" w:themeColor="text1"/>
                <w:kern w:val="2"/>
                <w:sz w:val="24"/>
                <w:szCs w:val="20"/>
                <w:lang w:val="en-US" w:eastAsia="zh-CN" w:bidi="ar-SA"/>
              </w:rPr>
              <w:t>大气污染物综合排放标准</w:t>
            </w:r>
            <w:r>
              <w:rPr>
                <w:rFonts w:hint="default" w:ascii="Times New Roman" w:hAnsi="Times New Roman" w:eastAsia="宋体" w:cs="Times New Roman"/>
                <w:color w:val="000000" w:themeColor="text1"/>
                <w:kern w:val="2"/>
                <w:sz w:val="24"/>
                <w:szCs w:val="20"/>
                <w:lang w:val="zh-CN" w:eastAsia="zh-CN" w:bidi="ar-SA"/>
              </w:rPr>
              <w:t>》（DB</w:t>
            </w:r>
            <w:r>
              <w:rPr>
                <w:rFonts w:hint="default" w:ascii="Times New Roman" w:hAnsi="Times New Roman" w:eastAsia="宋体" w:cs="Times New Roman"/>
                <w:color w:val="000000" w:themeColor="text1"/>
                <w:kern w:val="2"/>
                <w:sz w:val="24"/>
                <w:szCs w:val="20"/>
                <w:lang w:val="en-US" w:eastAsia="zh-CN" w:bidi="ar-SA"/>
              </w:rPr>
              <w:t>31/933-2015</w:t>
            </w:r>
            <w:r>
              <w:rPr>
                <w:rFonts w:hint="default" w:ascii="Times New Roman" w:hAnsi="Times New Roman" w:eastAsia="宋体" w:cs="Times New Roman"/>
                <w:color w:val="000000" w:themeColor="text1"/>
                <w:kern w:val="2"/>
                <w:sz w:val="24"/>
                <w:szCs w:val="20"/>
                <w:lang w:val="zh-CN" w:eastAsia="zh-CN" w:bidi="ar-SA"/>
              </w:rPr>
              <w:t>）</w:t>
            </w:r>
            <w:r>
              <w:rPr>
                <w:rFonts w:hint="default" w:ascii="Times New Roman" w:hAnsi="Times New Roman" w:eastAsia="宋体" w:cs="Times New Roman"/>
                <w:color w:val="000000" w:themeColor="text1"/>
                <w:kern w:val="2"/>
                <w:sz w:val="24"/>
                <w:szCs w:val="20"/>
                <w:lang w:val="en-US" w:eastAsia="zh-CN" w:bidi="ar-SA"/>
              </w:rPr>
              <w:t>表1中有组织限值浓度要求及表3中无组织浓度限值要求，厂区内VOCs无组织排放执行《挥发性有机物无组织排放控制标准》（GB37822-2019）相关标准要求。</w:t>
            </w:r>
          </w:p>
          <w:p>
            <w:pPr>
              <w:widowControl w:val="0"/>
              <w:tabs>
                <w:tab w:val="left" w:pos="952"/>
                <w:tab w:val="left" w:pos="2152"/>
              </w:tabs>
              <w:spacing w:line="240" w:lineRule="auto"/>
              <w:ind w:firstLine="482" w:firstLineChars="200"/>
              <w:jc w:val="right"/>
              <w:rPr>
                <w:rFonts w:hint="default" w:ascii="Times New Roman" w:hAnsi="Times New Roman" w:eastAsia="宋体" w:cs="Times New Roman"/>
                <w:color w:val="000000" w:themeColor="text1"/>
                <w:kern w:val="2"/>
                <w:sz w:val="21"/>
                <w:szCs w:val="21"/>
                <w:vertAlign w:val="superscript"/>
                <w:lang w:val="en-US" w:eastAsia="zh-CN" w:bidi="ar-SA"/>
              </w:rPr>
            </w:pPr>
            <w:r>
              <w:rPr>
                <w:rFonts w:hint="default" w:ascii="Times New Roman" w:hAnsi="Times New Roman" w:eastAsia="宋体" w:cs="Times New Roman"/>
                <w:b/>
                <w:bCs/>
                <w:color w:val="000000" w:themeColor="text1"/>
                <w:kern w:val="2"/>
                <w:sz w:val="24"/>
                <w:szCs w:val="24"/>
                <w:lang w:val="en-US" w:eastAsia="zh-CN" w:bidi="ar-SA"/>
              </w:rPr>
              <w:t xml:space="preserve">表1.3 大气污染物排放标准 </w:t>
            </w:r>
            <w:r>
              <w:rPr>
                <w:rFonts w:hint="eastAsia" w:eastAsia="宋体" w:cs="Times New Roman"/>
                <w:b/>
                <w:bCs/>
                <w:color w:val="000000" w:themeColor="text1"/>
                <w:kern w:val="2"/>
                <w:sz w:val="24"/>
                <w:szCs w:val="24"/>
                <w:lang w:val="en-US" w:eastAsia="zh-CN" w:bidi="ar-SA"/>
              </w:rPr>
              <w:t xml:space="preserve">    </w:t>
            </w:r>
            <w:r>
              <w:rPr>
                <w:rFonts w:hint="default" w:ascii="Times New Roman" w:hAnsi="Times New Roman" w:eastAsia="宋体" w:cs="Times New Roman"/>
                <w:b/>
                <w:bCs/>
                <w:color w:val="000000" w:themeColor="text1"/>
                <w:kern w:val="2"/>
                <w:sz w:val="24"/>
                <w:szCs w:val="24"/>
                <w:lang w:val="en-US" w:eastAsia="zh-CN" w:bidi="ar-SA"/>
              </w:rPr>
              <w:t xml:space="preserve">     </w:t>
            </w:r>
            <w:r>
              <w:rPr>
                <w:rFonts w:hint="default" w:ascii="Times New Roman" w:hAnsi="Times New Roman" w:eastAsia="宋体" w:cs="Times New Roman"/>
                <w:color w:val="000000" w:themeColor="text1"/>
                <w:kern w:val="2"/>
                <w:sz w:val="24"/>
                <w:szCs w:val="24"/>
                <w:lang w:val="en-US" w:eastAsia="zh-CN" w:bidi="ar-SA"/>
              </w:rPr>
              <w:t>单位：</w:t>
            </w:r>
            <w:r>
              <w:rPr>
                <w:rFonts w:hint="default" w:ascii="Times New Roman" w:hAnsi="Times New Roman" w:eastAsia="宋体" w:cs="Times New Roman"/>
                <w:color w:val="000000" w:themeColor="text1"/>
                <w:kern w:val="2"/>
                <w:sz w:val="21"/>
                <w:szCs w:val="21"/>
                <w:lang w:val="zh-CN" w:eastAsia="zh-CN" w:bidi="ar-SA"/>
              </w:rPr>
              <w:t>mg/m</w:t>
            </w:r>
            <w:r>
              <w:rPr>
                <w:rFonts w:hint="default" w:ascii="Times New Roman" w:hAnsi="Times New Roman" w:eastAsia="宋体" w:cs="Times New Roman"/>
                <w:color w:val="000000" w:themeColor="text1"/>
                <w:kern w:val="2"/>
                <w:sz w:val="21"/>
                <w:szCs w:val="21"/>
                <w:vertAlign w:val="superscript"/>
                <w:lang w:val="zh-CN" w:eastAsia="zh-CN" w:bidi="ar-SA"/>
              </w:rPr>
              <w:t>3</w:t>
            </w:r>
          </w:p>
          <w:tbl>
            <w:tblPr>
              <w:tblStyle w:val="18"/>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065"/>
              <w:gridCol w:w="4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1" w:hRule="atLeast"/>
                <w:jc w:val="center"/>
              </w:trPr>
              <w:tc>
                <w:tcPr>
                  <w:tcW w:w="2499" w:type="pct"/>
                  <w:vAlign w:val="center"/>
                </w:tcPr>
                <w:p>
                  <w:pPr>
                    <w:widowControl w:val="0"/>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kern w:val="2"/>
                      <w:sz w:val="21"/>
                      <w:szCs w:val="21"/>
                      <w:lang w:val="en-US" w:eastAsia="zh-CN" w:bidi="ar-SA"/>
                    </w:rPr>
                    <w:t>污染物项目</w:t>
                  </w:r>
                </w:p>
              </w:tc>
              <w:tc>
                <w:tcPr>
                  <w:tcW w:w="2500" w:type="pct"/>
                  <w:vAlign w:val="center"/>
                </w:tcPr>
                <w:p>
                  <w:pPr>
                    <w:widowControl w:val="0"/>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kern w:val="2"/>
                      <w:sz w:val="21"/>
                      <w:szCs w:val="21"/>
                      <w:lang w:val="en-US" w:eastAsia="zh-CN" w:bidi="ar-SA"/>
                    </w:rPr>
                    <w:t>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99" w:type="pct"/>
                  <w:vAlign w:val="center"/>
                </w:tcPr>
                <w:p>
                  <w:pPr>
                    <w:widowControl w:val="0"/>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kern w:val="2"/>
                      <w:sz w:val="21"/>
                      <w:szCs w:val="21"/>
                      <w:lang w:val="en-US" w:eastAsia="zh-CN" w:bidi="ar-SA"/>
                    </w:rPr>
                    <w:t>烟尘</w:t>
                  </w:r>
                </w:p>
              </w:tc>
              <w:tc>
                <w:tcPr>
                  <w:tcW w:w="2500" w:type="pct"/>
                  <w:shd w:val="clear" w:color="auto" w:fill="FFFFFF"/>
                  <w:vAlign w:val="center"/>
                </w:tcPr>
                <w:p>
                  <w:pPr>
                    <w:widowControl w:val="0"/>
                    <w:tabs>
                      <w:tab w:val="center" w:pos="697"/>
                    </w:tabs>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kern w:val="2"/>
                      <w:sz w:val="21"/>
                      <w:szCs w:val="21"/>
                      <w:lang w:val="en-US" w:eastAsia="zh-CN" w:bidi="ar-SA"/>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2499" w:type="pct"/>
                  <w:vAlign w:val="center"/>
                </w:tcPr>
                <w:p>
                  <w:pPr>
                    <w:widowControl w:val="0"/>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kern w:val="2"/>
                      <w:sz w:val="21"/>
                      <w:szCs w:val="21"/>
                      <w:lang w:val="en-US" w:eastAsia="zh-CN" w:bidi="ar-SA"/>
                    </w:rPr>
                    <w:t>SO</w:t>
                  </w:r>
                  <w:r>
                    <w:rPr>
                      <w:rFonts w:hint="default" w:ascii="Times New Roman" w:hAnsi="Times New Roman" w:eastAsia="宋体" w:cs="Times New Roman"/>
                      <w:color w:val="000000" w:themeColor="text1"/>
                      <w:kern w:val="2"/>
                      <w:sz w:val="21"/>
                      <w:szCs w:val="21"/>
                      <w:vertAlign w:val="subscript"/>
                      <w:lang w:val="en-US" w:eastAsia="zh-CN" w:bidi="ar-SA"/>
                    </w:rPr>
                    <w:t>2</w:t>
                  </w:r>
                </w:p>
              </w:tc>
              <w:tc>
                <w:tcPr>
                  <w:tcW w:w="2500" w:type="pct"/>
                  <w:shd w:val="clear" w:color="auto" w:fill="FFFFFF"/>
                  <w:vAlign w:val="center"/>
                </w:tcPr>
                <w:p>
                  <w:pPr>
                    <w:widowControl w:val="0"/>
                    <w:tabs>
                      <w:tab w:val="center" w:pos="697"/>
                    </w:tabs>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kern w:val="2"/>
                      <w:sz w:val="21"/>
                      <w:szCs w:val="21"/>
                      <w:lang w:val="en-US" w:eastAsia="zh-CN" w:bidi="ar-SA"/>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499" w:type="pct"/>
                  <w:vAlign w:val="center"/>
                </w:tcPr>
                <w:p>
                  <w:pPr>
                    <w:widowControl w:val="0"/>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kern w:val="2"/>
                      <w:sz w:val="21"/>
                      <w:szCs w:val="21"/>
                      <w:lang w:val="en-US" w:eastAsia="zh-CN" w:bidi="ar-SA"/>
                    </w:rPr>
                    <w:t>烟气黑度（林格曼黑度，级）</w:t>
                  </w:r>
                </w:p>
              </w:tc>
              <w:tc>
                <w:tcPr>
                  <w:tcW w:w="2500" w:type="pct"/>
                  <w:shd w:val="clear" w:color="auto" w:fill="FFFFFF"/>
                  <w:vAlign w:val="center"/>
                </w:tcPr>
                <w:p>
                  <w:pPr>
                    <w:widowControl w:val="0"/>
                    <w:tabs>
                      <w:tab w:val="center" w:pos="697"/>
                    </w:tabs>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kern w:val="2"/>
                      <w:sz w:val="21"/>
                      <w:szCs w:val="21"/>
                      <w:lang w:val="en-US" w:eastAsia="zh-CN" w:bidi="ar-SA"/>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499" w:type="pct"/>
                  <w:vAlign w:val="center"/>
                </w:tcPr>
                <w:p>
                  <w:pPr>
                    <w:widowControl w:val="0"/>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rPr>
                  </w:pPr>
                  <w:r>
                    <w:rPr>
                      <w:rFonts w:hint="default" w:ascii="Times New Roman" w:hAnsi="Times New Roman" w:eastAsia="宋体" w:cs="Times New Roman"/>
                      <w:color w:val="000000" w:themeColor="text1"/>
                      <w:kern w:val="2"/>
                      <w:sz w:val="21"/>
                      <w:szCs w:val="21"/>
                      <w:lang w:val="en-US" w:eastAsia="zh-CN" w:bidi="ar-SA"/>
                    </w:rPr>
                    <w:t>NOx</w:t>
                  </w:r>
                </w:p>
              </w:tc>
              <w:tc>
                <w:tcPr>
                  <w:tcW w:w="2500" w:type="pct"/>
                  <w:shd w:val="clear" w:color="auto" w:fill="FFFFFF"/>
                  <w:vAlign w:val="center"/>
                </w:tcPr>
                <w:p>
                  <w:pPr>
                    <w:widowControl w:val="0"/>
                    <w:tabs>
                      <w:tab w:val="center" w:pos="697"/>
                    </w:tabs>
                    <w:spacing w:line="240" w:lineRule="auto"/>
                    <w:ind w:firstLine="0" w:firstLineChars="0"/>
                    <w:jc w:val="center"/>
                    <w:rPr>
                      <w:rFonts w:hint="default" w:ascii="Times New Roman" w:hAnsi="Times New Roman" w:eastAsia="宋体" w:cs="Times New Roman"/>
                      <w:color w:val="000000" w:themeColor="text1"/>
                      <w:kern w:val="2"/>
                      <w:sz w:val="21"/>
                      <w:szCs w:val="21"/>
                      <w:lang w:val="en-US" w:eastAsia="zh-CN" w:bidi="ar-SA"/>
                    </w:rPr>
                  </w:pPr>
                  <w:r>
                    <w:rPr>
                      <w:rFonts w:hint="eastAsia" w:eastAsia="宋体" w:cs="Times New Roman"/>
                      <w:color w:val="000000" w:themeColor="text1"/>
                      <w:kern w:val="2"/>
                      <w:sz w:val="21"/>
                      <w:szCs w:val="21"/>
                      <w:lang w:val="en-US" w:eastAsia="zh-CN" w:bidi="ar-SA"/>
                    </w:rPr>
                    <w:t>3</w:t>
                  </w:r>
                  <w:r>
                    <w:rPr>
                      <w:rFonts w:hint="default" w:ascii="Times New Roman" w:hAnsi="Times New Roman" w:eastAsia="宋体" w:cs="Times New Roman"/>
                      <w:color w:val="000000" w:themeColor="text1"/>
                      <w:kern w:val="2"/>
                      <w:sz w:val="21"/>
                      <w:szCs w:val="21"/>
                      <w:lang w:val="en-US" w:eastAsia="zh-CN" w:bidi="ar-SA"/>
                    </w:rPr>
                    <w:t>00</w:t>
                  </w:r>
                </w:p>
              </w:tc>
            </w:tr>
          </w:tbl>
          <w:p>
            <w:pPr>
              <w:widowControl w:val="0"/>
              <w:spacing w:line="360" w:lineRule="auto"/>
              <w:ind w:firstLine="482" w:firstLineChars="200"/>
              <w:jc w:val="center"/>
              <w:rPr>
                <w:rFonts w:hint="default" w:ascii="Times New Roman" w:hAnsi="Times New Roman" w:eastAsia="宋体" w:cs="Times New Roman"/>
                <w:b/>
                <w:color w:val="000000"/>
                <w:kern w:val="2"/>
                <w:sz w:val="24"/>
                <w:szCs w:val="20"/>
                <w:lang w:val="en-US" w:eastAsia="zh-CN" w:bidi="ar-SA"/>
              </w:rPr>
            </w:pPr>
            <w:r>
              <w:rPr>
                <w:rFonts w:hint="default" w:ascii="Times New Roman" w:hAnsi="Times New Roman" w:eastAsia="宋体" w:cs="Times New Roman"/>
                <w:b/>
                <w:color w:val="000000"/>
                <w:kern w:val="2"/>
                <w:sz w:val="24"/>
                <w:szCs w:val="20"/>
                <w:lang w:val="zh-CN" w:eastAsia="zh-CN" w:bidi="ar-SA"/>
              </w:rPr>
              <w:t>表</w:t>
            </w:r>
            <w:r>
              <w:rPr>
                <w:rFonts w:hint="default" w:ascii="Times New Roman" w:hAnsi="Times New Roman" w:eastAsia="宋体" w:cs="Times New Roman"/>
                <w:b/>
                <w:color w:val="000000"/>
                <w:kern w:val="2"/>
                <w:sz w:val="24"/>
                <w:szCs w:val="20"/>
                <w:lang w:val="en-US" w:eastAsia="zh-CN" w:bidi="ar-SA"/>
              </w:rPr>
              <w:t>1.4</w:t>
            </w:r>
            <w:r>
              <w:rPr>
                <w:rFonts w:hint="default" w:ascii="Times New Roman" w:hAnsi="Times New Roman" w:eastAsia="宋体" w:cs="Times New Roman"/>
                <w:b/>
                <w:color w:val="000000"/>
                <w:kern w:val="2"/>
                <w:sz w:val="24"/>
                <w:szCs w:val="20"/>
                <w:lang w:val="zh-CN" w:eastAsia="zh-CN" w:bidi="ar-SA"/>
              </w:rPr>
              <w:t xml:space="preserve"> （</w:t>
            </w:r>
            <w:r>
              <w:rPr>
                <w:rFonts w:hint="default" w:ascii="Times New Roman" w:hAnsi="Times New Roman" w:eastAsia="宋体" w:cs="Times New Roman"/>
                <w:b/>
                <w:color w:val="000000"/>
                <w:kern w:val="2"/>
                <w:sz w:val="24"/>
                <w:szCs w:val="20"/>
                <w:lang w:val="en-US" w:eastAsia="zh-CN" w:bidi="ar-SA"/>
              </w:rPr>
              <w:t>上海</w:t>
            </w:r>
            <w:r>
              <w:rPr>
                <w:rFonts w:hint="default" w:ascii="Times New Roman" w:hAnsi="Times New Roman" w:eastAsia="宋体" w:cs="Times New Roman"/>
                <w:b/>
                <w:color w:val="000000"/>
                <w:kern w:val="2"/>
                <w:sz w:val="24"/>
                <w:szCs w:val="20"/>
                <w:lang w:val="zh-CN" w:eastAsia="zh-CN" w:bidi="ar-SA"/>
              </w:rPr>
              <w:t>）</w:t>
            </w:r>
            <w:r>
              <w:rPr>
                <w:rFonts w:hint="default" w:ascii="Times New Roman" w:hAnsi="Times New Roman" w:eastAsia="宋体" w:cs="Times New Roman"/>
                <w:b/>
                <w:kern w:val="2"/>
                <w:sz w:val="24"/>
                <w:szCs w:val="24"/>
                <w:lang w:val="zh-CN" w:eastAsia="zh-CN" w:bidi="ar-SA"/>
              </w:rPr>
              <w:t>大气污染物排放标准限值</w:t>
            </w:r>
          </w:p>
          <w:tbl>
            <w:tblPr>
              <w:tblStyle w:val="17"/>
              <w:tblW w:w="4997" w:type="pct"/>
              <w:jc w:val="center"/>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545"/>
              <w:gridCol w:w="1720"/>
              <w:gridCol w:w="2715"/>
              <w:gridCol w:w="2154"/>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90" w:hRule="atLeast"/>
                <w:jc w:val="center"/>
              </w:trPr>
              <w:tc>
                <w:tcPr>
                  <w:tcW w:w="950" w:type="pct"/>
                  <w:vMerge w:val="restart"/>
                  <w:tcBorders>
                    <w:top w:val="single" w:color="auto" w:sz="2" w:space="0"/>
                    <w:left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b/>
                      <w:color w:val="000000"/>
                      <w:kern w:val="2"/>
                      <w:sz w:val="21"/>
                      <w:szCs w:val="21"/>
                      <w:lang w:val="en-US" w:eastAsia="zh-CN" w:bidi="ar-SA"/>
                    </w:rPr>
                  </w:pPr>
                  <w:r>
                    <w:rPr>
                      <w:rFonts w:hint="default" w:ascii="Times New Roman" w:hAnsi="Times New Roman" w:eastAsia="宋体" w:cs="Times New Roman"/>
                      <w:bCs/>
                      <w:color w:val="000000"/>
                      <w:kern w:val="2"/>
                      <w:sz w:val="21"/>
                      <w:szCs w:val="21"/>
                      <w:lang w:val="en-US" w:eastAsia="zh-CN" w:bidi="ar-SA"/>
                    </w:rPr>
                    <w:t>项目</w:t>
                  </w:r>
                </w:p>
              </w:tc>
              <w:tc>
                <w:tcPr>
                  <w:tcW w:w="1057" w:type="pct"/>
                  <w:vMerge w:val="restart"/>
                  <w:tcBorders>
                    <w:top w:val="single" w:color="auto" w:sz="2" w:space="0"/>
                    <w:left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bCs/>
                      <w:color w:val="000000"/>
                      <w:kern w:val="2"/>
                      <w:sz w:val="21"/>
                      <w:szCs w:val="21"/>
                      <w:lang w:val="en-US" w:eastAsia="zh-CN" w:bidi="ar-SA"/>
                    </w:rPr>
                  </w:pPr>
                  <w:r>
                    <w:rPr>
                      <w:rFonts w:hint="default" w:ascii="Times New Roman" w:hAnsi="Times New Roman" w:eastAsia="宋体" w:cs="Times New Roman"/>
                      <w:bCs/>
                      <w:color w:val="000000"/>
                      <w:kern w:val="2"/>
                      <w:sz w:val="21"/>
                      <w:szCs w:val="21"/>
                      <w:lang w:val="en-US" w:eastAsia="zh-CN" w:bidi="ar-SA"/>
                    </w:rPr>
                    <w:t>最高允许排放浓度（mg/m</w:t>
                  </w:r>
                  <w:r>
                    <w:rPr>
                      <w:rFonts w:hint="default" w:ascii="Times New Roman" w:hAnsi="Times New Roman" w:eastAsia="宋体" w:cs="Times New Roman"/>
                      <w:bCs/>
                      <w:color w:val="000000"/>
                      <w:kern w:val="2"/>
                      <w:sz w:val="21"/>
                      <w:szCs w:val="21"/>
                      <w:vertAlign w:val="superscript"/>
                      <w:lang w:val="en-US" w:eastAsia="zh-CN" w:bidi="ar-SA"/>
                    </w:rPr>
                    <w:t>3</w:t>
                  </w:r>
                  <w:r>
                    <w:rPr>
                      <w:rFonts w:hint="default" w:ascii="Times New Roman" w:hAnsi="Times New Roman" w:eastAsia="宋体" w:cs="Times New Roman"/>
                      <w:bCs/>
                      <w:color w:val="000000"/>
                      <w:kern w:val="2"/>
                      <w:sz w:val="21"/>
                      <w:szCs w:val="21"/>
                      <w:lang w:val="en-US" w:eastAsia="zh-CN" w:bidi="ar-SA"/>
                    </w:rPr>
                    <w:t>）</w:t>
                  </w:r>
                </w:p>
              </w:tc>
              <w:tc>
                <w:tcPr>
                  <w:tcW w:w="1669" w:type="pct"/>
                  <w:tcBorders>
                    <w:top w:val="single" w:color="auto" w:sz="2" w:space="0"/>
                    <w:left w:val="single" w:color="auto" w:sz="2" w:space="0"/>
                    <w:bottom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bCs/>
                      <w:color w:val="000000"/>
                      <w:kern w:val="2"/>
                      <w:sz w:val="21"/>
                      <w:szCs w:val="21"/>
                      <w:lang w:val="en-US" w:eastAsia="zh-CN" w:bidi="ar-SA"/>
                    </w:rPr>
                  </w:pPr>
                  <w:r>
                    <w:rPr>
                      <w:rFonts w:hint="default" w:ascii="Times New Roman" w:hAnsi="Times New Roman" w:eastAsia="宋体" w:cs="Times New Roman"/>
                      <w:bCs/>
                      <w:color w:val="000000"/>
                      <w:kern w:val="2"/>
                      <w:sz w:val="21"/>
                      <w:szCs w:val="21"/>
                      <w:lang w:val="en-US" w:eastAsia="zh-CN" w:bidi="ar-SA"/>
                    </w:rPr>
                    <w:t>最高允许排放速率（kg/h）</w:t>
                  </w:r>
                </w:p>
              </w:tc>
              <w:tc>
                <w:tcPr>
                  <w:tcW w:w="1323" w:type="pct"/>
                  <w:vMerge w:val="restart"/>
                  <w:tcBorders>
                    <w:left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bCs/>
                      <w:color w:val="000000"/>
                      <w:kern w:val="2"/>
                      <w:sz w:val="21"/>
                      <w:szCs w:val="21"/>
                      <w:lang w:val="en-US" w:eastAsia="zh-CN" w:bidi="ar-SA"/>
                    </w:rPr>
                  </w:pPr>
                  <w:r>
                    <w:rPr>
                      <w:rFonts w:hint="default" w:ascii="Times New Roman" w:hAnsi="Times New Roman" w:eastAsia="宋体" w:cs="Times New Roman"/>
                      <w:bCs/>
                      <w:color w:val="000000"/>
                      <w:kern w:val="2"/>
                      <w:sz w:val="21"/>
                      <w:szCs w:val="21"/>
                      <w:lang w:val="en-US" w:eastAsia="zh-CN" w:bidi="ar-SA"/>
                    </w:rPr>
                    <w:t>厂界监控点浓度限值</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90" w:hRule="atLeast"/>
                <w:jc w:val="center"/>
              </w:trPr>
              <w:tc>
                <w:tcPr>
                  <w:tcW w:w="950" w:type="pct"/>
                  <w:vMerge w:val="continue"/>
                  <w:tcBorders>
                    <w:left w:val="single" w:color="auto" w:sz="2" w:space="0"/>
                    <w:bottom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b/>
                      <w:color w:val="000000"/>
                      <w:kern w:val="2"/>
                      <w:sz w:val="21"/>
                      <w:szCs w:val="21"/>
                      <w:lang w:val="en-US" w:eastAsia="zh-CN" w:bidi="ar-SA"/>
                    </w:rPr>
                  </w:pPr>
                </w:p>
              </w:tc>
              <w:tc>
                <w:tcPr>
                  <w:tcW w:w="1057" w:type="pct"/>
                  <w:vMerge w:val="continue"/>
                  <w:tcBorders>
                    <w:left w:val="single" w:color="auto" w:sz="2" w:space="0"/>
                    <w:bottom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bCs/>
                      <w:color w:val="000000"/>
                      <w:kern w:val="2"/>
                      <w:sz w:val="21"/>
                      <w:szCs w:val="21"/>
                      <w:lang w:val="en-US" w:eastAsia="zh-CN" w:bidi="ar-SA"/>
                    </w:rPr>
                  </w:pPr>
                </w:p>
              </w:tc>
              <w:tc>
                <w:tcPr>
                  <w:tcW w:w="1669" w:type="pct"/>
                  <w:tcBorders>
                    <w:top w:val="single" w:color="auto" w:sz="2" w:space="0"/>
                    <w:left w:val="single" w:color="auto" w:sz="2" w:space="0"/>
                    <w:bottom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bCs/>
                      <w:color w:val="000000"/>
                      <w:kern w:val="2"/>
                      <w:sz w:val="21"/>
                      <w:szCs w:val="21"/>
                      <w:lang w:val="en-US" w:eastAsia="zh-CN" w:bidi="ar-SA"/>
                    </w:rPr>
                  </w:pPr>
                  <w:r>
                    <w:rPr>
                      <w:rFonts w:hint="default" w:ascii="Times New Roman" w:hAnsi="Times New Roman" w:eastAsia="宋体" w:cs="Times New Roman"/>
                      <w:bCs/>
                      <w:color w:val="000000"/>
                      <w:kern w:val="2"/>
                      <w:sz w:val="21"/>
                      <w:szCs w:val="21"/>
                      <w:lang w:val="en-US" w:eastAsia="zh-CN" w:bidi="ar-SA"/>
                    </w:rPr>
                    <w:t>15m</w:t>
                  </w:r>
                </w:p>
              </w:tc>
              <w:tc>
                <w:tcPr>
                  <w:tcW w:w="1323" w:type="pct"/>
                  <w:vMerge w:val="continue"/>
                  <w:tcBorders>
                    <w:left w:val="single" w:color="auto" w:sz="2" w:space="0"/>
                    <w:bottom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bCs/>
                      <w:color w:val="000000"/>
                      <w:kern w:val="2"/>
                      <w:sz w:val="21"/>
                      <w:szCs w:val="21"/>
                      <w:lang w:val="en-US" w:eastAsia="zh-CN" w:bidi="ar-SA"/>
                    </w:rPr>
                  </w:pP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90" w:hRule="atLeast"/>
                <w:jc w:val="center"/>
              </w:trPr>
              <w:tc>
                <w:tcPr>
                  <w:tcW w:w="950" w:type="pct"/>
                  <w:tcBorders>
                    <w:top w:val="single" w:color="auto" w:sz="2" w:space="0"/>
                    <w:left w:val="single" w:color="auto" w:sz="2" w:space="0"/>
                    <w:bottom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NMHC</w:t>
                  </w:r>
                </w:p>
              </w:tc>
              <w:tc>
                <w:tcPr>
                  <w:tcW w:w="1057" w:type="pct"/>
                  <w:tcBorders>
                    <w:top w:val="single" w:color="auto" w:sz="2" w:space="0"/>
                    <w:left w:val="single" w:color="auto" w:sz="2" w:space="0"/>
                    <w:bottom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70</w:t>
                  </w:r>
                </w:p>
              </w:tc>
              <w:tc>
                <w:tcPr>
                  <w:tcW w:w="1669" w:type="pct"/>
                  <w:tcBorders>
                    <w:top w:val="single" w:color="auto" w:sz="2" w:space="0"/>
                    <w:left w:val="single" w:color="auto" w:sz="2" w:space="0"/>
                    <w:bottom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color w:val="000000"/>
                      <w:kern w:val="0"/>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3.0</w:t>
                  </w:r>
                </w:p>
              </w:tc>
              <w:tc>
                <w:tcPr>
                  <w:tcW w:w="1323" w:type="pct"/>
                  <w:tcBorders>
                    <w:top w:val="single" w:color="auto" w:sz="2" w:space="0"/>
                    <w:left w:val="single" w:color="auto" w:sz="2" w:space="0"/>
                    <w:bottom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4.0</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90" w:hRule="atLeast"/>
                <w:jc w:val="center"/>
              </w:trPr>
              <w:tc>
                <w:tcPr>
                  <w:tcW w:w="950" w:type="pct"/>
                  <w:tcBorders>
                    <w:top w:val="single" w:color="auto" w:sz="2" w:space="0"/>
                    <w:left w:val="single" w:color="auto" w:sz="2" w:space="0"/>
                    <w:bottom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颗粒物</w:t>
                  </w:r>
                </w:p>
              </w:tc>
              <w:tc>
                <w:tcPr>
                  <w:tcW w:w="1057" w:type="pct"/>
                  <w:tcBorders>
                    <w:top w:val="single" w:color="auto" w:sz="2" w:space="0"/>
                    <w:left w:val="single" w:color="auto" w:sz="2" w:space="0"/>
                    <w:bottom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30</w:t>
                  </w:r>
                </w:p>
              </w:tc>
              <w:tc>
                <w:tcPr>
                  <w:tcW w:w="1669" w:type="pct"/>
                  <w:tcBorders>
                    <w:top w:val="single" w:color="auto" w:sz="2" w:space="0"/>
                    <w:left w:val="single" w:color="auto" w:sz="2" w:space="0"/>
                    <w:bottom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1.5</w:t>
                  </w:r>
                </w:p>
              </w:tc>
              <w:tc>
                <w:tcPr>
                  <w:tcW w:w="1323" w:type="pct"/>
                  <w:tcBorders>
                    <w:top w:val="single" w:color="auto" w:sz="2" w:space="0"/>
                    <w:left w:val="single" w:color="auto" w:sz="2" w:space="0"/>
                    <w:bottom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center"/>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0.5</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PrEx>
              <w:trPr>
                <w:trHeight w:val="340" w:hRule="atLeast"/>
                <w:jc w:val="center"/>
              </w:trPr>
              <w:tc>
                <w:tcPr>
                  <w:tcW w:w="5000" w:type="pct"/>
                  <w:gridSpan w:val="4"/>
                  <w:tcBorders>
                    <w:top w:val="single" w:color="auto" w:sz="2" w:space="0"/>
                    <w:left w:val="single" w:color="auto" w:sz="2" w:space="0"/>
                    <w:bottom w:val="single" w:color="auto" w:sz="2" w:space="0"/>
                    <w:right w:val="single" w:color="auto" w:sz="2" w:space="0"/>
                  </w:tcBorders>
                  <w:vAlign w:val="center"/>
                </w:tcPr>
                <w:p>
                  <w:pPr>
                    <w:widowControl/>
                    <w:topLinePunct/>
                    <w:spacing w:before="0" w:beforeAutospacing="0" w:after="0" w:afterAutospacing="0" w:line="240" w:lineRule="auto"/>
                    <w:ind w:firstLine="0" w:firstLineChars="0"/>
                    <w:jc w:val="left"/>
                    <w:textAlignment w:val="center"/>
                    <w:rPr>
                      <w:rFonts w:hint="default" w:ascii="Times New Roman" w:hAnsi="Times New Roman" w:eastAsia="宋体" w:cs="Times New Roman"/>
                      <w:color w:val="000000"/>
                      <w:kern w:val="2"/>
                      <w:sz w:val="21"/>
                      <w:szCs w:val="21"/>
                      <w:lang w:val="en-US" w:eastAsia="zh-CN" w:bidi="ar-SA"/>
                    </w:rPr>
                  </w:pPr>
                  <w:r>
                    <w:rPr>
                      <w:rFonts w:hint="default" w:ascii="Times New Roman" w:hAnsi="Times New Roman" w:eastAsia="宋体" w:cs="Times New Roman"/>
                      <w:color w:val="000000"/>
                      <w:kern w:val="2"/>
                      <w:sz w:val="21"/>
                      <w:szCs w:val="21"/>
                      <w:lang w:val="en-US" w:eastAsia="zh-CN" w:bidi="ar-SA"/>
                    </w:rPr>
                    <w:t>注：根据</w:t>
                  </w:r>
                  <w:r>
                    <w:rPr>
                      <w:rFonts w:hint="default" w:ascii="Times New Roman" w:hAnsi="Times New Roman" w:eastAsia="宋体" w:cs="Times New Roman"/>
                      <w:color w:val="000000"/>
                      <w:kern w:val="0"/>
                      <w:sz w:val="21"/>
                      <w:szCs w:val="21"/>
                      <w:lang w:val="en-US" w:eastAsia="zh-CN" w:bidi="ar-SA"/>
                    </w:rPr>
                    <w:t>《大气污染物综合排放标准》（DB31/933-2015）3.4挥发性有机物：b）以非甲烷总烃（NMHC）作为排气筒、厂界大气污染物监控、厂区内大气污染物监控点以及污染物控制设施去除效率的挥发性有机物的综合性控制标准</w:t>
                  </w:r>
                </w:p>
              </w:tc>
            </w:tr>
          </w:tbl>
          <w:p>
            <w:pPr>
              <w:wordWrap w:val="0"/>
              <w:topLinePunct/>
              <w:spacing w:line="360" w:lineRule="auto"/>
              <w:ind w:firstLine="482" w:firstLineChars="200"/>
              <w:contextualSpacing/>
              <w:jc w:val="center"/>
              <w:textAlignment w:val="center"/>
              <w:rPr>
                <w:rFonts w:hint="default" w:ascii="Times New Roman" w:hAnsi="Times New Roman" w:eastAsia="宋体" w:cs="Times New Roman"/>
                <w:b/>
                <w:sz w:val="24"/>
              </w:rPr>
            </w:pPr>
            <w:r>
              <w:rPr>
                <w:rFonts w:hint="default" w:ascii="Times New Roman" w:hAnsi="Times New Roman" w:eastAsia="宋体" w:cs="Times New Roman"/>
                <w:b/>
                <w:sz w:val="24"/>
              </w:rPr>
              <w:t>表</w:t>
            </w:r>
            <w:r>
              <w:rPr>
                <w:rFonts w:hint="default" w:ascii="Times New Roman" w:hAnsi="Times New Roman" w:eastAsia="宋体" w:cs="Times New Roman"/>
                <w:b/>
                <w:sz w:val="24"/>
                <w:lang w:val="en-US" w:eastAsia="zh-CN"/>
              </w:rPr>
              <w:t>1.5</w:t>
            </w:r>
            <w:r>
              <w:rPr>
                <w:rFonts w:hint="default" w:ascii="Times New Roman" w:hAnsi="Times New Roman" w:eastAsia="宋体" w:cs="Times New Roman"/>
                <w:b/>
                <w:sz w:val="24"/>
              </w:rPr>
              <w:t xml:space="preserve"> 挥发性有机物无组织排放控制标准</w:t>
            </w: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3"/>
              <w:gridCol w:w="1241"/>
              <w:gridCol w:w="1554"/>
              <w:gridCol w:w="2550"/>
              <w:gridCol w:w="14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03" w:type="dxa"/>
                  <w:shd w:val="clear" w:color="auto" w:fill="auto"/>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污染物项目</w:t>
                  </w:r>
                </w:p>
              </w:tc>
              <w:tc>
                <w:tcPr>
                  <w:tcW w:w="1241" w:type="dxa"/>
                  <w:shd w:val="clear" w:color="auto" w:fill="auto"/>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排放限值</w:t>
                  </w:r>
                </w:p>
              </w:tc>
              <w:tc>
                <w:tcPr>
                  <w:tcW w:w="1554" w:type="dxa"/>
                  <w:shd w:val="clear" w:color="auto" w:fill="D9D9D9"/>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特别排放限值</w:t>
                  </w:r>
                </w:p>
              </w:tc>
              <w:tc>
                <w:tcPr>
                  <w:tcW w:w="2550" w:type="dxa"/>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限值含义</w:t>
                  </w:r>
                </w:p>
              </w:tc>
              <w:tc>
                <w:tcPr>
                  <w:tcW w:w="1486" w:type="dxa"/>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03" w:type="dxa"/>
                  <w:vMerge w:val="restart"/>
                  <w:shd w:val="clear" w:color="auto" w:fill="auto"/>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NMHC</w:t>
                  </w:r>
                </w:p>
              </w:tc>
              <w:tc>
                <w:tcPr>
                  <w:tcW w:w="1241" w:type="dxa"/>
                  <w:shd w:val="clear" w:color="auto" w:fill="auto"/>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10</w:t>
                  </w:r>
                </w:p>
              </w:tc>
              <w:tc>
                <w:tcPr>
                  <w:tcW w:w="1554" w:type="dxa"/>
                  <w:shd w:val="clear" w:color="auto" w:fill="D9D9D9"/>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6</w:t>
                  </w:r>
                </w:p>
              </w:tc>
              <w:tc>
                <w:tcPr>
                  <w:tcW w:w="2550" w:type="dxa"/>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监控点处1h平均浓度值</w:t>
                  </w:r>
                </w:p>
              </w:tc>
              <w:tc>
                <w:tcPr>
                  <w:tcW w:w="1486" w:type="dxa"/>
                  <w:vMerge w:val="restart"/>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303" w:type="dxa"/>
                  <w:vMerge w:val="continue"/>
                  <w:shd w:val="clear" w:color="auto" w:fill="auto"/>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p>
              </w:tc>
              <w:tc>
                <w:tcPr>
                  <w:tcW w:w="1241" w:type="dxa"/>
                  <w:shd w:val="clear" w:color="auto" w:fill="auto"/>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30</w:t>
                  </w:r>
                </w:p>
              </w:tc>
              <w:tc>
                <w:tcPr>
                  <w:tcW w:w="1554" w:type="dxa"/>
                  <w:shd w:val="clear" w:color="auto" w:fill="D9D9D9"/>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20</w:t>
                  </w:r>
                </w:p>
              </w:tc>
              <w:tc>
                <w:tcPr>
                  <w:tcW w:w="2550" w:type="dxa"/>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监控点处任意一次浓度值</w:t>
                  </w:r>
                </w:p>
              </w:tc>
              <w:tc>
                <w:tcPr>
                  <w:tcW w:w="1486" w:type="dxa"/>
                  <w:vMerge w:val="continue"/>
                  <w:vAlign w:val="center"/>
                </w:tcPr>
                <w:p>
                  <w:pPr>
                    <w:widowControl w:val="0"/>
                    <w:autoSpaceDE w:val="0"/>
                    <w:autoSpaceDN w:val="0"/>
                    <w:adjustRightInd w:val="0"/>
                    <w:jc w:val="center"/>
                    <w:rPr>
                      <w:rFonts w:hint="default" w:ascii="Times New Roman" w:hAnsi="Times New Roman" w:eastAsia="宋体" w:cs="Times New Roman"/>
                      <w:color w:val="auto"/>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134" w:type="dxa"/>
                  <w:gridSpan w:val="5"/>
                  <w:vAlign w:val="center"/>
                </w:tcPr>
                <w:p>
                  <w:pPr>
                    <w:widowControl w:val="0"/>
                    <w:autoSpaceDE w:val="0"/>
                    <w:autoSpaceDN w:val="0"/>
                    <w:adjustRightInd w:val="0"/>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注：（1）根据标准11.1条款，企业边界及周边VOCs监控要求执行GB16297或相关行业排放标准的规定，根据11.2条款，对厂区内VOCs无组织排放状况进行监控执行本表相关限值。</w:t>
                  </w:r>
                </w:p>
                <w:p>
                  <w:pPr>
                    <w:widowControl w:val="0"/>
                    <w:autoSpaceDE w:val="0"/>
                    <w:autoSpaceDN w:val="0"/>
                    <w:adjustRightInd w:val="0"/>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2）根据标准附录A.2，对厂区内VOCs无组织排放进行监控时，在厂房门窗或通风口、其他开口（孔）等排放口外1m，距离地面1.5m以上位置处进行监测。若厂房不完整（如有顶无围墙），则在操作工位下风向1m，距离地面1.5m以上位置进行监测。</w:t>
                  </w:r>
                </w:p>
                <w:p>
                  <w:pPr>
                    <w:widowControl w:val="0"/>
                    <w:autoSpaceDE w:val="0"/>
                    <w:autoSpaceDN w:val="0"/>
                    <w:adjustRightInd w:val="0"/>
                    <w:rPr>
                      <w:rFonts w:hint="default" w:ascii="Times New Roman" w:hAnsi="Times New Roman" w:eastAsia="宋体" w:cs="Times New Roman"/>
                      <w:color w:val="auto"/>
                      <w:sz w:val="21"/>
                      <w:szCs w:val="21"/>
                      <w:lang w:val="en-US" w:eastAsia="zh-CN" w:bidi="ar-SA"/>
                    </w:rPr>
                  </w:pPr>
                  <w:r>
                    <w:rPr>
                      <w:rFonts w:hint="default" w:ascii="Times New Roman" w:hAnsi="Times New Roman" w:eastAsia="宋体" w:cs="Times New Roman"/>
                      <w:color w:val="auto"/>
                      <w:sz w:val="21"/>
                      <w:szCs w:val="21"/>
                      <w:lang w:val="en-US" w:eastAsia="zh-CN" w:bidi="ar-SA"/>
                    </w:rPr>
                    <w:t>（3）根据《重点行业挥发性有机物综合治理方案》（环大气[2019]53号），项目所在区域属重点区域中长三角地区（安徽省），结合标准4.2章节，项目从严执行特别排放限值。</w:t>
                  </w:r>
                </w:p>
              </w:tc>
            </w:tr>
          </w:tbl>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（3）噪声</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噪声排放执行《工业企业厂界环境噪声排放标准》（GB12348-2008）中</w:t>
            </w:r>
            <w:r>
              <w:rPr>
                <w:rFonts w:hint="default" w:ascii="Times New Roman" w:hAnsi="Times New Roman" w:cs="Times New Roman"/>
                <w:sz w:val="24"/>
                <w:lang w:val="en-US" w:eastAsia="zh-CN"/>
              </w:rPr>
              <w:t>2</w:t>
            </w:r>
            <w:r>
              <w:rPr>
                <w:rFonts w:hint="default" w:ascii="Times New Roman" w:hAnsi="Times New Roman" w:cs="Times New Roman"/>
                <w:sz w:val="24"/>
              </w:rPr>
              <w:t>类区标准。</w:t>
            </w:r>
          </w:p>
          <w:p>
            <w:pPr>
              <w:spacing w:line="360" w:lineRule="auto"/>
              <w:ind w:firstLine="723" w:firstLineChars="300"/>
              <w:jc w:val="right"/>
              <w:rPr>
                <w:rFonts w:hint="default" w:ascii="Times New Roman" w:hAnsi="Times New Roman" w:cs="Times New Roman"/>
                <w:b/>
                <w:bCs/>
                <w:sz w:val="24"/>
              </w:rPr>
            </w:pPr>
            <w:r>
              <w:rPr>
                <w:rFonts w:hint="default" w:ascii="Times New Roman" w:hAnsi="Times New Roman" w:cs="Times New Roman"/>
                <w:b/>
                <w:sz w:val="24"/>
              </w:rPr>
              <w:t>表1.</w:t>
            </w:r>
            <w:r>
              <w:rPr>
                <w:rFonts w:hint="default" w:ascii="Times New Roman" w:hAnsi="Times New Roman" w:cs="Times New Roman"/>
                <w:b/>
                <w:sz w:val="24"/>
                <w:lang w:val="en-US" w:eastAsia="zh-CN"/>
              </w:rPr>
              <w:t>6</w:t>
            </w:r>
            <w:r>
              <w:rPr>
                <w:rFonts w:hint="default" w:ascii="Times New Roman" w:hAnsi="Times New Roman" w:cs="Times New Roman"/>
                <w:b/>
                <w:sz w:val="24"/>
              </w:rPr>
              <w:t xml:space="preserve">工业企业厂界环境噪声排放标准  </w:t>
            </w:r>
            <w:r>
              <w:rPr>
                <w:rFonts w:hint="default" w:ascii="Times New Roman" w:hAnsi="Times New Roman" w:cs="Times New Roman"/>
                <w:sz w:val="24"/>
              </w:rPr>
              <w:t>单位：Leq dB（A）</w:t>
            </w:r>
          </w:p>
          <w:tbl>
            <w:tblPr>
              <w:tblStyle w:val="17"/>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11"/>
              <w:gridCol w:w="2710"/>
              <w:gridCol w:w="2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7"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bCs/>
                      <w:szCs w:val="21"/>
                    </w:rPr>
                  </w:pPr>
                  <w:r>
                    <w:rPr>
                      <w:rFonts w:hint="default" w:ascii="Times New Roman" w:hAnsi="Times New Roman" w:cs="Times New Roman"/>
                      <w:bCs/>
                      <w:szCs w:val="21"/>
                    </w:rPr>
                    <w:t>声功能区</w:t>
                  </w:r>
                </w:p>
              </w:tc>
              <w:tc>
                <w:tcPr>
                  <w:tcW w:w="1666"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bCs/>
                      <w:szCs w:val="21"/>
                    </w:rPr>
                  </w:pPr>
                  <w:r>
                    <w:rPr>
                      <w:rFonts w:hint="default" w:ascii="Times New Roman" w:hAnsi="Times New Roman" w:cs="Times New Roman"/>
                      <w:bCs/>
                      <w:szCs w:val="21"/>
                    </w:rPr>
                    <w:t>昼间</w:t>
                  </w:r>
                </w:p>
              </w:tc>
              <w:tc>
                <w:tcPr>
                  <w:tcW w:w="1666"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bCs/>
                      <w:szCs w:val="21"/>
                    </w:rPr>
                  </w:pPr>
                  <w:r>
                    <w:rPr>
                      <w:rFonts w:hint="default" w:ascii="Times New Roman" w:hAnsi="Times New Roman" w:cs="Times New Roman"/>
                      <w:bCs/>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1667"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bCs/>
                      <w:szCs w:val="21"/>
                    </w:rPr>
                  </w:pPr>
                  <w:r>
                    <w:rPr>
                      <w:rFonts w:hint="default" w:ascii="Times New Roman" w:hAnsi="Times New Roman" w:cs="Times New Roman"/>
                      <w:bCs/>
                      <w:szCs w:val="21"/>
                      <w:lang w:val="en-US" w:eastAsia="zh-CN"/>
                    </w:rPr>
                    <w:t>2</w:t>
                  </w:r>
                  <w:r>
                    <w:rPr>
                      <w:rFonts w:hint="default" w:ascii="Times New Roman" w:hAnsi="Times New Roman" w:cs="Times New Roman"/>
                      <w:bCs/>
                      <w:szCs w:val="21"/>
                    </w:rPr>
                    <w:t>类区</w:t>
                  </w:r>
                </w:p>
              </w:tc>
              <w:tc>
                <w:tcPr>
                  <w:tcW w:w="1666"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eastAsiaTheme="minorEastAsia"/>
                      <w:bCs/>
                      <w:szCs w:val="21"/>
                      <w:lang w:eastAsia="zh-CN"/>
                    </w:rPr>
                  </w:pPr>
                  <w:r>
                    <w:rPr>
                      <w:rFonts w:hint="default" w:ascii="Times New Roman" w:hAnsi="Times New Roman" w:cs="Times New Roman"/>
                      <w:bCs/>
                      <w:szCs w:val="21"/>
                    </w:rPr>
                    <w:t>6</w:t>
                  </w:r>
                  <w:r>
                    <w:rPr>
                      <w:rFonts w:hint="default" w:ascii="Times New Roman" w:hAnsi="Times New Roman" w:cs="Times New Roman"/>
                      <w:bCs/>
                      <w:szCs w:val="21"/>
                      <w:lang w:val="en-US" w:eastAsia="zh-CN"/>
                    </w:rPr>
                    <w:t>0</w:t>
                  </w:r>
                </w:p>
              </w:tc>
              <w:tc>
                <w:tcPr>
                  <w:tcW w:w="1666" w:type="pct"/>
                  <w:tcBorders>
                    <w:top w:val="single" w:color="auto" w:sz="4" w:space="0"/>
                    <w:left w:val="single" w:color="auto" w:sz="4" w:space="0"/>
                    <w:bottom w:val="single" w:color="auto" w:sz="4" w:space="0"/>
                    <w:right w:val="single" w:color="auto" w:sz="4" w:space="0"/>
                  </w:tcBorders>
                </w:tcPr>
                <w:p>
                  <w:pPr>
                    <w:adjustRightInd w:val="0"/>
                    <w:jc w:val="center"/>
                    <w:rPr>
                      <w:rFonts w:hint="default" w:ascii="Times New Roman" w:hAnsi="Times New Roman" w:cs="Times New Roman" w:eastAsiaTheme="minorEastAsia"/>
                      <w:bCs/>
                      <w:szCs w:val="21"/>
                      <w:lang w:eastAsia="zh-CN"/>
                    </w:rPr>
                  </w:pPr>
                  <w:r>
                    <w:rPr>
                      <w:rFonts w:hint="default" w:ascii="Times New Roman" w:hAnsi="Times New Roman" w:cs="Times New Roman"/>
                      <w:bCs/>
                      <w:szCs w:val="21"/>
                    </w:rPr>
                    <w:t>5</w:t>
                  </w:r>
                  <w:r>
                    <w:rPr>
                      <w:rFonts w:hint="default" w:ascii="Times New Roman" w:hAnsi="Times New Roman" w:cs="Times New Roman"/>
                      <w:bCs/>
                      <w:szCs w:val="21"/>
                      <w:lang w:val="en-US" w:eastAsia="zh-CN"/>
                    </w:rPr>
                    <w:t>0</w:t>
                  </w:r>
                </w:p>
              </w:tc>
            </w:tr>
          </w:tbl>
          <w:p>
            <w:pPr>
              <w:pStyle w:val="14"/>
              <w:spacing w:after="0"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（4）固废控制标准</w:t>
            </w:r>
          </w:p>
          <w:p>
            <w:pPr>
              <w:pStyle w:val="14"/>
              <w:spacing w:after="0" w:line="360" w:lineRule="auto"/>
              <w:ind w:firstLine="512" w:firstLineChars="200"/>
              <w:rPr>
                <w:rFonts w:hint="default" w:ascii="Times New Roman" w:hAnsi="Times New Roman" w:cs="Times New Roman"/>
                <w:b/>
                <w:bCs/>
                <w:color w:val="000000" w:themeColor="text1"/>
                <w:sz w:val="24"/>
              </w:rPr>
            </w:pPr>
            <w:r>
              <w:rPr>
                <w:rFonts w:hint="default" w:ascii="Times New Roman" w:hAnsi="Times New Roman" w:cs="Times New Roman"/>
                <w:spacing w:val="8"/>
                <w:sz w:val="24"/>
              </w:rPr>
              <w:t>一般固体废物的排放执行</w:t>
            </w:r>
            <w:r>
              <w:rPr>
                <w:rFonts w:hint="default" w:ascii="Times New Roman" w:hAnsi="Times New Roman" w:cs="Times New Roman"/>
                <w:spacing w:val="8"/>
                <w:sz w:val="24"/>
                <w:lang w:val="en-US" w:eastAsia="zh-CN"/>
              </w:rPr>
              <w:t>《一般工业固体废物贮存和填埋污染控制标准》（GB18599-2020）中相关</w:t>
            </w:r>
            <w:r>
              <w:rPr>
                <w:rFonts w:hint="default" w:ascii="Times New Roman" w:hAnsi="Times New Roman" w:cs="Times New Roman"/>
                <w:spacing w:val="8"/>
                <w:sz w:val="24"/>
              </w:rPr>
              <w:t>要求。</w:t>
            </w:r>
            <w:r>
              <w:rPr>
                <w:rFonts w:hint="default" w:ascii="Times New Roman" w:hAnsi="Times New Roman" w:cs="Times New Roman"/>
                <w:sz w:val="24"/>
              </w:rPr>
              <w:t>危险废物执行《危险废物贮存污染物控制标准》（GB18597-2001）及其2013年修改单中要求。</w:t>
            </w:r>
          </w:p>
          <w:p>
            <w:pPr>
              <w:wordWrap w:val="0"/>
              <w:spacing w:line="440" w:lineRule="exact"/>
              <w:ind w:left="0" w:leftChars="0" w:firstLine="0" w:firstLineChars="0"/>
              <w:jc w:val="center"/>
              <w:rPr>
                <w:rFonts w:hint="eastAsia" w:cs="Times New Roman"/>
                <w:color w:val="000000" w:themeColor="text1"/>
                <w:sz w:val="24"/>
                <w:szCs w:val="32"/>
                <w:lang w:eastAsia="zh-CN"/>
              </w:rPr>
            </w:pPr>
          </w:p>
          <w:p>
            <w:pPr>
              <w:wordWrap w:val="0"/>
              <w:spacing w:line="440" w:lineRule="exact"/>
              <w:ind w:left="0" w:leftChars="0" w:firstLine="0" w:firstLineChars="0"/>
              <w:jc w:val="center"/>
              <w:rPr>
                <w:rFonts w:hint="eastAsia" w:cs="Times New Roman"/>
                <w:color w:val="000000" w:themeColor="text1"/>
                <w:sz w:val="24"/>
                <w:szCs w:val="32"/>
                <w:lang w:eastAsia="zh-CN"/>
              </w:rPr>
            </w:pPr>
          </w:p>
          <w:p>
            <w:pPr>
              <w:wordWrap w:val="0"/>
              <w:spacing w:line="440" w:lineRule="exact"/>
              <w:ind w:left="0" w:leftChars="0" w:firstLine="0" w:firstLineChars="0"/>
              <w:jc w:val="center"/>
              <w:rPr>
                <w:rFonts w:hint="eastAsia" w:cs="Times New Roman"/>
                <w:color w:val="000000" w:themeColor="text1"/>
                <w:sz w:val="24"/>
                <w:szCs w:val="32"/>
                <w:lang w:eastAsia="zh-CN"/>
              </w:rPr>
            </w:pPr>
          </w:p>
          <w:p>
            <w:pPr>
              <w:wordWrap w:val="0"/>
              <w:spacing w:line="440" w:lineRule="exact"/>
              <w:ind w:left="0" w:leftChars="0" w:firstLine="0" w:firstLineChars="0"/>
              <w:jc w:val="both"/>
              <w:rPr>
                <w:rFonts w:hint="default" w:ascii="Times New Roman" w:hAnsi="Times New Roman" w:cs="Times New Roman" w:eastAsiaTheme="minorEastAsia"/>
                <w:sz w:val="24"/>
                <w:lang w:eastAsia="zh-CN"/>
              </w:rPr>
            </w:pPr>
          </w:p>
        </w:tc>
      </w:tr>
    </w:tbl>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表二 主要工程内容和生产工艺流程</w:t>
      </w:r>
    </w:p>
    <w:tbl>
      <w:tblPr>
        <w:tblStyle w:val="17"/>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9288" w:type="dxa"/>
          </w:tcPr>
          <w:p>
            <w:pPr>
              <w:widowControl/>
              <w:numPr>
                <w:ilvl w:val="0"/>
                <w:numId w:val="1"/>
              </w:numPr>
              <w:spacing w:line="360" w:lineRule="auto"/>
              <w:jc w:val="left"/>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项目背景及由来</w:t>
            </w:r>
          </w:p>
          <w:p>
            <w:pPr>
              <w:pStyle w:val="42"/>
              <w:spacing w:line="360" w:lineRule="auto"/>
              <w:ind w:firstLine="480" w:firstLineChars="200"/>
              <w:jc w:val="both"/>
              <w:rPr>
                <w:rFonts w:hint="default" w:ascii="Times New Roman" w:hAnsi="Times New Roman" w:cs="Times New Roman" w:eastAsiaTheme="minorEastAsia"/>
                <w:color w:val="000000" w:themeColor="text1"/>
                <w:sz w:val="24"/>
              </w:rPr>
            </w:pPr>
            <w:r>
              <w:rPr>
                <w:rFonts w:hint="default" w:ascii="Times New Roman" w:hAnsi="Times New Roman" w:cs="Times New Roman" w:eastAsiaTheme="minorEastAsia"/>
                <w:color w:val="000000" w:themeColor="text1"/>
                <w:sz w:val="24"/>
              </w:rPr>
              <w:t>（1）背景</w:t>
            </w:r>
          </w:p>
          <w:p>
            <w:pPr>
              <w:pStyle w:val="44"/>
              <w:spacing w:line="360" w:lineRule="auto"/>
              <w:ind w:firstLine="480"/>
              <w:jc w:val="both"/>
              <w:rPr>
                <w:rFonts w:hint="default" w:ascii="Times New Roman" w:hAnsi="Times New Roman" w:cs="Times New Roman" w:eastAsiaTheme="minorEastAsia"/>
                <w:color w:val="000000" w:themeColor="text1"/>
                <w:sz w:val="24"/>
                <w:szCs w:val="24"/>
              </w:rPr>
            </w:pPr>
            <w:r>
              <w:rPr>
                <w:rFonts w:hint="default" w:ascii="Times New Roman" w:hAnsi="Times New Roman" w:cs="Times New Roman" w:eastAsiaTheme="minorEastAsia"/>
                <w:sz w:val="24"/>
                <w:lang w:eastAsia="zh-CN"/>
              </w:rPr>
              <w:t>安徽源昇新型材料有限公司</w:t>
            </w:r>
            <w:r>
              <w:rPr>
                <w:rFonts w:hint="default" w:ascii="Times New Roman" w:hAnsi="Times New Roman" w:cs="Times New Roman" w:eastAsiaTheme="minorEastAsia"/>
                <w:color w:val="000000" w:themeColor="text1"/>
                <w:sz w:val="24"/>
              </w:rPr>
              <w:t>20</w:t>
            </w:r>
            <w:r>
              <w:rPr>
                <w:rFonts w:hint="default" w:ascii="Times New Roman" w:hAnsi="Times New Roman" w:cs="Times New Roman" w:eastAsiaTheme="minorEastAsia"/>
                <w:color w:val="000000" w:themeColor="text1"/>
                <w:sz w:val="24"/>
                <w:lang w:val="en-US" w:eastAsia="zh-CN"/>
              </w:rPr>
              <w:t>20</w:t>
            </w:r>
            <w:r>
              <w:rPr>
                <w:rFonts w:hint="default" w:ascii="Times New Roman" w:hAnsi="Times New Roman" w:cs="Times New Roman" w:eastAsiaTheme="minorEastAsia"/>
                <w:color w:val="000000" w:themeColor="text1"/>
                <w:sz w:val="24"/>
              </w:rPr>
              <w:t>年</w:t>
            </w:r>
            <w:r>
              <w:rPr>
                <w:rFonts w:hint="default" w:ascii="Times New Roman" w:hAnsi="Times New Roman" w:cs="Times New Roman" w:eastAsiaTheme="minorEastAsia"/>
                <w:color w:val="000000" w:themeColor="text1"/>
                <w:sz w:val="24"/>
                <w:lang w:val="en-US" w:eastAsia="zh-CN"/>
              </w:rPr>
              <w:t>11</w:t>
            </w:r>
            <w:r>
              <w:rPr>
                <w:rFonts w:hint="default" w:ascii="Times New Roman" w:hAnsi="Times New Roman" w:cs="Times New Roman" w:eastAsiaTheme="minorEastAsia"/>
                <w:color w:val="000000" w:themeColor="text1"/>
                <w:sz w:val="24"/>
              </w:rPr>
              <w:t>月于</w:t>
            </w:r>
            <w:r>
              <w:rPr>
                <w:rFonts w:hint="default" w:ascii="Times New Roman" w:hAnsi="Times New Roman" w:cs="Times New Roman" w:eastAsiaTheme="minorEastAsia"/>
                <w:sz w:val="24"/>
                <w:lang w:eastAsia="zh-CN"/>
              </w:rPr>
              <w:t>安徽省六安市舒城县千人桥镇</w:t>
            </w:r>
            <w:r>
              <w:rPr>
                <w:rFonts w:hint="default" w:ascii="Times New Roman" w:hAnsi="Times New Roman" w:cs="Times New Roman" w:eastAsiaTheme="minorEastAsia"/>
                <w:color w:val="000000" w:themeColor="text1"/>
                <w:sz w:val="24"/>
              </w:rPr>
              <w:t>投资</w:t>
            </w:r>
            <w:r>
              <w:rPr>
                <w:rFonts w:hint="default" w:ascii="Times New Roman" w:hAnsi="Times New Roman" w:cs="Times New Roman" w:eastAsiaTheme="minorEastAsia"/>
                <w:color w:val="000000" w:themeColor="text1"/>
                <w:sz w:val="24"/>
                <w:lang w:val="en-US" w:eastAsia="zh-CN"/>
              </w:rPr>
              <w:t>200</w:t>
            </w:r>
            <w:r>
              <w:rPr>
                <w:rFonts w:hint="default" w:ascii="Times New Roman" w:hAnsi="Times New Roman" w:cs="Times New Roman" w:eastAsiaTheme="minorEastAsia"/>
                <w:color w:val="000000" w:themeColor="text1"/>
                <w:sz w:val="24"/>
              </w:rPr>
              <w:t>万元新建</w:t>
            </w:r>
            <w:r>
              <w:rPr>
                <w:rFonts w:hint="default" w:ascii="Times New Roman" w:hAnsi="Times New Roman" w:cs="Times New Roman" w:eastAsiaTheme="minorEastAsia"/>
                <w:color w:val="000000" w:themeColor="text1"/>
                <w:sz w:val="24"/>
                <w:lang w:eastAsia="zh-CN"/>
              </w:rPr>
              <w:t>“</w:t>
            </w:r>
            <w:r>
              <w:rPr>
                <w:rFonts w:hint="default" w:ascii="Times New Roman" w:hAnsi="Times New Roman" w:cs="Times New Roman" w:eastAsiaTheme="minorEastAsia"/>
                <w:sz w:val="24"/>
                <w:lang w:eastAsia="zh-CN"/>
              </w:rPr>
              <w:t>铝模板后期加工项目</w:t>
            </w:r>
            <w:r>
              <w:rPr>
                <w:rFonts w:hint="default" w:ascii="Times New Roman" w:hAnsi="Times New Roman" w:cs="Times New Roman" w:eastAsiaTheme="minorEastAsia"/>
                <w:color w:val="000000" w:themeColor="text1"/>
                <w:sz w:val="24"/>
                <w:lang w:eastAsia="zh-CN"/>
              </w:rPr>
              <w:t>”</w:t>
            </w:r>
            <w:r>
              <w:rPr>
                <w:rFonts w:hint="default" w:ascii="Times New Roman" w:hAnsi="Times New Roman" w:cs="Times New Roman" w:eastAsiaTheme="minorEastAsia"/>
                <w:color w:val="000000" w:themeColor="text1"/>
                <w:sz w:val="24"/>
              </w:rPr>
              <w:t>，并委托</w:t>
            </w:r>
            <w:r>
              <w:rPr>
                <w:rFonts w:hint="default" w:ascii="Times New Roman" w:hAnsi="Times New Roman" w:cs="Times New Roman" w:eastAsiaTheme="minorEastAsia"/>
                <w:color w:val="000000" w:themeColor="text1"/>
                <w:sz w:val="24"/>
                <w:lang w:eastAsia="zh-CN"/>
              </w:rPr>
              <w:t>安徽锦环环境科技有限公司</w:t>
            </w:r>
            <w:r>
              <w:rPr>
                <w:rFonts w:hint="default" w:ascii="Times New Roman" w:hAnsi="Times New Roman" w:cs="Times New Roman" w:eastAsiaTheme="minorEastAsia"/>
                <w:color w:val="000000" w:themeColor="text1"/>
                <w:sz w:val="24"/>
              </w:rPr>
              <w:t>对该项目进行了环境影响评价工作，于</w:t>
            </w:r>
            <w:r>
              <w:rPr>
                <w:rFonts w:hint="default" w:ascii="Times New Roman" w:hAnsi="Times New Roman" w:cs="Times New Roman" w:eastAsiaTheme="minorEastAsia"/>
                <w:color w:val="000000" w:themeColor="text1"/>
                <w:sz w:val="24"/>
                <w:lang w:val="en-US" w:eastAsia="zh-CN"/>
              </w:rPr>
              <w:t>2020</w:t>
            </w:r>
            <w:r>
              <w:rPr>
                <w:rFonts w:hint="default" w:ascii="Times New Roman" w:hAnsi="Times New Roman" w:cs="Times New Roman" w:eastAsiaTheme="minorEastAsia"/>
                <w:color w:val="000000" w:themeColor="text1"/>
                <w:sz w:val="24"/>
              </w:rPr>
              <w:t>年</w:t>
            </w:r>
            <w:r>
              <w:rPr>
                <w:rFonts w:hint="default" w:ascii="Times New Roman" w:hAnsi="Times New Roman" w:cs="Times New Roman" w:eastAsiaTheme="minorEastAsia"/>
                <w:color w:val="000000" w:themeColor="text1"/>
                <w:sz w:val="24"/>
                <w:lang w:val="en-US" w:eastAsia="zh-CN"/>
              </w:rPr>
              <w:t>11</w:t>
            </w:r>
            <w:r>
              <w:rPr>
                <w:rFonts w:hint="default" w:ascii="Times New Roman" w:hAnsi="Times New Roman" w:cs="Times New Roman" w:eastAsiaTheme="minorEastAsia"/>
                <w:color w:val="000000" w:themeColor="text1"/>
                <w:sz w:val="24"/>
              </w:rPr>
              <w:t>月</w:t>
            </w:r>
            <w:r>
              <w:rPr>
                <w:rFonts w:hint="default" w:ascii="Times New Roman" w:hAnsi="Times New Roman" w:cs="Times New Roman" w:eastAsiaTheme="minorEastAsia"/>
                <w:color w:val="000000" w:themeColor="text1"/>
                <w:sz w:val="24"/>
                <w:lang w:val="en-US" w:eastAsia="zh-CN"/>
              </w:rPr>
              <w:t>16</w:t>
            </w:r>
            <w:r>
              <w:rPr>
                <w:rFonts w:hint="default" w:ascii="Times New Roman" w:hAnsi="Times New Roman" w:cs="Times New Roman" w:eastAsiaTheme="minorEastAsia"/>
                <w:color w:val="000000" w:themeColor="text1"/>
                <w:sz w:val="24"/>
              </w:rPr>
              <w:t>日取得</w:t>
            </w:r>
            <w:r>
              <w:rPr>
                <w:rFonts w:hint="default" w:ascii="Times New Roman" w:hAnsi="Times New Roman" w:cs="Times New Roman" w:eastAsiaTheme="minorEastAsia"/>
                <w:color w:val="000000" w:themeColor="text1"/>
                <w:sz w:val="24"/>
                <w:lang w:eastAsia="zh-CN"/>
              </w:rPr>
              <w:t>六安市</w:t>
            </w:r>
            <w:r>
              <w:rPr>
                <w:rFonts w:hint="default" w:ascii="Times New Roman" w:hAnsi="Times New Roman" w:cs="Times New Roman" w:eastAsiaTheme="minorEastAsia"/>
                <w:sz w:val="24"/>
                <w:lang w:eastAsia="zh-CN"/>
              </w:rPr>
              <w:t>舒城县</w:t>
            </w:r>
            <w:r>
              <w:rPr>
                <w:rFonts w:hint="default" w:ascii="Times New Roman" w:hAnsi="Times New Roman" w:cs="Times New Roman" w:eastAsiaTheme="minorEastAsia"/>
                <w:sz w:val="24"/>
              </w:rPr>
              <w:t>生态环境分局</w:t>
            </w:r>
            <w:r>
              <w:rPr>
                <w:rFonts w:hint="default" w:ascii="Times New Roman" w:hAnsi="Times New Roman" w:cs="Times New Roman" w:eastAsiaTheme="minorEastAsia"/>
                <w:color w:val="000000" w:themeColor="text1"/>
                <w:sz w:val="24"/>
              </w:rPr>
              <w:t>对该项目的环评报告表的批复文件（</w:t>
            </w:r>
            <w:r>
              <w:rPr>
                <w:rFonts w:hint="default" w:ascii="Times New Roman" w:hAnsi="Times New Roman" w:cs="Times New Roman" w:eastAsiaTheme="minorEastAsia"/>
                <w:color w:val="000000" w:themeColor="text1"/>
                <w:sz w:val="24"/>
                <w:lang w:eastAsia="zh-CN"/>
              </w:rPr>
              <w:t>舒环评</w:t>
            </w:r>
            <w:r>
              <w:rPr>
                <w:rFonts w:hint="default" w:ascii="Times New Roman" w:hAnsi="Times New Roman" w:cs="Times New Roman" w:eastAsiaTheme="minorEastAsia"/>
                <w:color w:val="000000" w:themeColor="text1"/>
                <w:sz w:val="24"/>
              </w:rPr>
              <w:t>[20</w:t>
            </w:r>
            <w:r>
              <w:rPr>
                <w:rFonts w:hint="default" w:ascii="Times New Roman" w:hAnsi="Times New Roman" w:cs="Times New Roman" w:eastAsiaTheme="minorEastAsia"/>
                <w:color w:val="000000" w:themeColor="text1"/>
                <w:sz w:val="24"/>
                <w:lang w:val="en-US" w:eastAsia="zh-CN"/>
              </w:rPr>
              <w:t>20</w:t>
            </w:r>
            <w:r>
              <w:rPr>
                <w:rFonts w:hint="default" w:ascii="Times New Roman" w:hAnsi="Times New Roman" w:cs="Times New Roman" w:eastAsiaTheme="minorEastAsia"/>
                <w:color w:val="000000" w:themeColor="text1"/>
                <w:sz w:val="24"/>
              </w:rPr>
              <w:t>]</w:t>
            </w:r>
            <w:r>
              <w:rPr>
                <w:rFonts w:hint="default" w:ascii="Times New Roman" w:hAnsi="Times New Roman" w:cs="Times New Roman" w:eastAsiaTheme="minorEastAsia"/>
                <w:color w:val="000000" w:themeColor="text1"/>
                <w:sz w:val="24"/>
                <w:lang w:val="en-US" w:eastAsia="zh-CN"/>
              </w:rPr>
              <w:t>74</w:t>
            </w:r>
            <w:r>
              <w:rPr>
                <w:rFonts w:hint="default" w:ascii="Times New Roman" w:hAnsi="Times New Roman" w:cs="Times New Roman" w:eastAsiaTheme="minorEastAsia"/>
                <w:color w:val="000000" w:themeColor="text1"/>
                <w:sz w:val="24"/>
              </w:rPr>
              <w:t>号）。202</w:t>
            </w:r>
            <w:r>
              <w:rPr>
                <w:rFonts w:hint="default" w:ascii="Times New Roman" w:hAnsi="Times New Roman" w:cs="Times New Roman" w:eastAsiaTheme="minorEastAsia"/>
                <w:color w:val="000000" w:themeColor="text1"/>
                <w:sz w:val="24"/>
                <w:lang w:val="en-US" w:eastAsia="zh-CN"/>
              </w:rPr>
              <w:t>1</w:t>
            </w:r>
            <w:r>
              <w:rPr>
                <w:rFonts w:hint="default" w:ascii="Times New Roman" w:hAnsi="Times New Roman" w:cs="Times New Roman" w:eastAsiaTheme="minorEastAsia"/>
                <w:color w:val="000000" w:themeColor="text1"/>
                <w:sz w:val="24"/>
              </w:rPr>
              <w:t>年</w:t>
            </w:r>
            <w:r>
              <w:rPr>
                <w:rFonts w:hint="default" w:ascii="Times New Roman" w:hAnsi="Times New Roman" w:cs="Times New Roman" w:eastAsiaTheme="minorEastAsia"/>
                <w:color w:val="000000" w:themeColor="text1"/>
                <w:sz w:val="24"/>
                <w:lang w:val="en-US" w:eastAsia="zh-CN"/>
              </w:rPr>
              <w:t>1</w:t>
            </w:r>
            <w:r>
              <w:rPr>
                <w:rFonts w:hint="default" w:ascii="Times New Roman" w:hAnsi="Times New Roman" w:cs="Times New Roman" w:eastAsiaTheme="minorEastAsia"/>
                <w:color w:val="000000" w:themeColor="text1"/>
                <w:sz w:val="24"/>
              </w:rPr>
              <w:t>月开工建设</w:t>
            </w:r>
            <w:r>
              <w:rPr>
                <w:rFonts w:hint="default" w:ascii="Times New Roman" w:hAnsi="Times New Roman" w:cs="Times New Roman"/>
                <w:sz w:val="24"/>
                <w:szCs w:val="24"/>
              </w:rPr>
              <w:t>，新增铝模板翻新加工生产线1条，主要购置</w:t>
            </w:r>
            <w:r>
              <w:rPr>
                <w:rFonts w:hint="default" w:ascii="Times New Roman" w:hAnsi="Times New Roman" w:eastAsia="宋体" w:cs="Times New Roman"/>
                <w:sz w:val="24"/>
                <w:szCs w:val="24"/>
                <w:lang w:val="en-US" w:eastAsia="zh-CN"/>
              </w:rPr>
              <w:t>1套</w:t>
            </w:r>
            <w:r>
              <w:rPr>
                <w:rFonts w:hint="default" w:ascii="Times New Roman" w:hAnsi="Times New Roman" w:cs="Times New Roman"/>
                <w:sz w:val="24"/>
                <w:szCs w:val="24"/>
              </w:rPr>
              <w:t>抛丸机、</w:t>
            </w:r>
            <w:r>
              <w:rPr>
                <w:rFonts w:hint="default" w:ascii="Times New Roman" w:hAnsi="Times New Roman" w:eastAsia="宋体" w:cs="Times New Roman"/>
                <w:sz w:val="24"/>
                <w:szCs w:val="24"/>
                <w:lang w:val="en-US" w:eastAsia="zh-CN"/>
              </w:rPr>
              <w:t>1套</w:t>
            </w:r>
            <w:r>
              <w:rPr>
                <w:rFonts w:hint="default" w:ascii="Times New Roman" w:hAnsi="Times New Roman" w:eastAsia="宋体" w:cs="Times New Roman"/>
                <w:sz w:val="24"/>
                <w:szCs w:val="24"/>
                <w:lang w:eastAsia="zh-CN"/>
              </w:rPr>
              <w:t>喷塑</w:t>
            </w:r>
            <w:r>
              <w:rPr>
                <w:rFonts w:hint="default" w:ascii="Times New Roman" w:hAnsi="Times New Roman" w:cs="Times New Roman"/>
                <w:sz w:val="24"/>
                <w:szCs w:val="24"/>
              </w:rPr>
              <w:t>设备，可实现年翻新加工旧模板</w:t>
            </w:r>
            <w:r>
              <w:rPr>
                <w:rFonts w:hint="default" w:ascii="Times New Roman" w:hAnsi="Times New Roman" w:eastAsia="宋体" w:cs="Times New Roman"/>
                <w:sz w:val="24"/>
                <w:szCs w:val="24"/>
                <w:lang w:val="en-US" w:eastAsia="zh-CN"/>
              </w:rPr>
              <w:t>5</w:t>
            </w:r>
            <w:r>
              <w:rPr>
                <w:rFonts w:hint="default" w:ascii="Times New Roman" w:hAnsi="Times New Roman" w:cs="Times New Roman"/>
                <w:sz w:val="24"/>
                <w:szCs w:val="24"/>
              </w:rPr>
              <w:t>000m</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的生产能力。</w:t>
            </w:r>
          </w:p>
          <w:p>
            <w:pPr>
              <w:widowControl/>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（2）任务由来</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jc w:val="both"/>
              <w:textAlignment w:val="auto"/>
              <w:rPr>
                <w:rFonts w:hint="default" w:ascii="Times New Roman" w:hAnsi="Times New Roman" w:cs="Times New Roman" w:eastAsiaTheme="minorEastAsia"/>
                <w:color w:val="000000" w:themeColor="text1"/>
                <w:sz w:val="24"/>
              </w:rPr>
            </w:pPr>
            <w:r>
              <w:rPr>
                <w:rFonts w:hint="default" w:ascii="Times New Roman" w:hAnsi="Times New Roman" w:cs="Times New Roman" w:eastAsiaTheme="minorEastAsia"/>
                <w:color w:val="000000" w:themeColor="text1"/>
                <w:sz w:val="24"/>
              </w:rPr>
              <w:t>根据《建设项目环境保护管理条例》中第十七条：“编制环境影响报告书、环境影响报告表的建设项目竣工后，建设单位应当按照国务院环境保护行政主管部门规定的标准和程序，对配套建设的环境保护设施进行验收，编制验收报告”。</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eastAsiaTheme="minorEastAsia"/>
                <w:color w:val="000000" w:themeColor="text1"/>
                <w:sz w:val="24"/>
              </w:rPr>
            </w:pPr>
            <w:r>
              <w:rPr>
                <w:rFonts w:hint="default" w:ascii="Times New Roman" w:hAnsi="Times New Roman" w:cs="Times New Roman" w:eastAsiaTheme="minorEastAsia"/>
                <w:color w:val="000000" w:themeColor="text1"/>
                <w:sz w:val="24"/>
              </w:rPr>
              <w:t>根据国家环保部《关于规范建设单位自主开展项目竣工环境保护验收的通知》和《建设项目竣工环境保护验收暂行办法》（国环规环评[2017]4号）有关规定：项目由建设单位自行开展验收。</w:t>
            </w:r>
          </w:p>
          <w:p>
            <w:pPr>
              <w:widowControl/>
              <w:spacing w:line="360" w:lineRule="auto"/>
              <w:ind w:firstLine="480" w:firstLineChars="200"/>
              <w:rPr>
                <w:rFonts w:hint="default" w:ascii="Times New Roman" w:hAnsi="Times New Roman" w:cs="Times New Roman"/>
                <w:color w:val="000000" w:themeColor="text1"/>
                <w:sz w:val="24"/>
                <w:highlight w:val="yellow"/>
              </w:rPr>
            </w:pPr>
            <w:r>
              <w:rPr>
                <w:rFonts w:hint="default" w:ascii="Times New Roman" w:hAnsi="Times New Roman" w:cs="Times New Roman" w:eastAsiaTheme="minorEastAsia"/>
                <w:color w:val="000000" w:themeColor="text1"/>
                <w:sz w:val="24"/>
              </w:rPr>
              <w:t>因此，为考核该建设项目环保“三同时”执行情况及各项污染治理设施试运行性能和效果，依据国家环境保护部《建设项目竣工环境保护验收暂行办法》要求</w:t>
            </w:r>
            <w:r>
              <w:rPr>
                <w:rFonts w:hint="default" w:ascii="Times New Roman" w:hAnsi="Times New Roman" w:cs="Times New Roman"/>
                <w:color w:val="000000" w:themeColor="text1"/>
                <w:sz w:val="24"/>
                <w:lang w:val="en-US" w:eastAsia="zh-CN"/>
              </w:rPr>
              <w:t>。</w:t>
            </w:r>
            <w:r>
              <w:rPr>
                <w:rFonts w:hint="default" w:ascii="Times New Roman" w:hAnsi="Times New Roman" w:cs="Times New Roman"/>
                <w:color w:val="000000" w:themeColor="text1"/>
                <w:sz w:val="24"/>
              </w:rPr>
              <w:t>202</w:t>
            </w:r>
            <w:r>
              <w:rPr>
                <w:rFonts w:hint="default" w:ascii="Times New Roman" w:hAnsi="Times New Roman" w:cs="Times New Roman"/>
                <w:color w:val="000000" w:themeColor="text1"/>
                <w:sz w:val="24"/>
                <w:lang w:val="en-US" w:eastAsia="zh-CN"/>
              </w:rPr>
              <w:t>2</w:t>
            </w:r>
            <w:r>
              <w:rPr>
                <w:rFonts w:hint="default" w:ascii="Times New Roman" w:hAnsi="Times New Roman" w:cs="Times New Roman"/>
                <w:color w:val="000000" w:themeColor="text1"/>
                <w:sz w:val="24"/>
              </w:rPr>
              <w:t>年</w:t>
            </w:r>
            <w:r>
              <w:rPr>
                <w:rFonts w:hint="default" w:ascii="Times New Roman" w:hAnsi="Times New Roman" w:cs="Times New Roman"/>
                <w:color w:val="000000" w:themeColor="text1"/>
                <w:sz w:val="24"/>
                <w:lang w:val="en-US" w:eastAsia="zh-CN"/>
              </w:rPr>
              <w:t>10</w:t>
            </w:r>
            <w:r>
              <w:rPr>
                <w:rFonts w:hint="default" w:ascii="Times New Roman" w:hAnsi="Times New Roman" w:cs="Times New Roman"/>
                <w:color w:val="000000" w:themeColor="text1"/>
                <w:sz w:val="24"/>
              </w:rPr>
              <w:t>月，</w:t>
            </w:r>
            <w:r>
              <w:rPr>
                <w:rFonts w:hint="default" w:ascii="Times New Roman" w:hAnsi="Times New Roman" w:cs="Times New Roman"/>
                <w:color w:val="000000" w:themeColor="text1"/>
                <w:sz w:val="24"/>
                <w:lang w:eastAsia="zh-CN"/>
              </w:rPr>
              <w:t>安徽源昇新型材料有限公司</w:t>
            </w:r>
            <w:r>
              <w:rPr>
                <w:rFonts w:hint="default" w:ascii="Times New Roman" w:hAnsi="Times New Roman" w:cs="Times New Roman"/>
                <w:color w:val="000000" w:themeColor="text1"/>
                <w:sz w:val="24"/>
              </w:rPr>
              <w:t>组织开展“</w:t>
            </w:r>
            <w:r>
              <w:rPr>
                <w:rFonts w:hint="default" w:ascii="Times New Roman" w:hAnsi="Times New Roman" w:cs="Times New Roman"/>
                <w:color w:val="000000" w:themeColor="text1"/>
                <w:sz w:val="24"/>
                <w:lang w:eastAsia="zh-CN"/>
              </w:rPr>
              <w:t>铝模板后期加工项目</w:t>
            </w:r>
            <w:r>
              <w:rPr>
                <w:rFonts w:hint="default" w:ascii="Times New Roman" w:hAnsi="Times New Roman" w:cs="Times New Roman"/>
                <w:color w:val="000000" w:themeColor="text1"/>
                <w:sz w:val="24"/>
              </w:rPr>
              <w:t>”自主验收工作，于202</w:t>
            </w:r>
            <w:r>
              <w:rPr>
                <w:rFonts w:hint="default" w:ascii="Times New Roman" w:hAnsi="Times New Roman" w:cs="Times New Roman"/>
                <w:color w:val="000000" w:themeColor="text1"/>
                <w:sz w:val="24"/>
                <w:lang w:val="en-US" w:eastAsia="zh-CN"/>
              </w:rPr>
              <w:t>2</w:t>
            </w:r>
            <w:r>
              <w:rPr>
                <w:rFonts w:hint="default" w:ascii="Times New Roman" w:hAnsi="Times New Roman" w:cs="Times New Roman"/>
                <w:color w:val="000000" w:themeColor="text1"/>
                <w:sz w:val="24"/>
              </w:rPr>
              <w:t>年</w:t>
            </w:r>
            <w:r>
              <w:rPr>
                <w:rFonts w:hint="default" w:ascii="Times New Roman" w:hAnsi="Times New Roman" w:cs="Times New Roman"/>
                <w:color w:val="000000" w:themeColor="text1"/>
                <w:sz w:val="24"/>
                <w:lang w:val="en-US" w:eastAsia="zh-CN"/>
              </w:rPr>
              <w:t>10</w:t>
            </w:r>
            <w:r>
              <w:rPr>
                <w:rFonts w:hint="default" w:ascii="Times New Roman" w:hAnsi="Times New Roman" w:cs="Times New Roman"/>
                <w:color w:val="000000" w:themeColor="text1"/>
                <w:sz w:val="24"/>
              </w:rPr>
              <w:t>月</w:t>
            </w:r>
            <w:r>
              <w:rPr>
                <w:rFonts w:hint="default" w:ascii="Times New Roman" w:hAnsi="Times New Roman" w:cs="Times New Roman"/>
                <w:color w:val="000000" w:themeColor="text1"/>
                <w:sz w:val="24"/>
                <w:lang w:val="en-US" w:eastAsia="zh-CN"/>
              </w:rPr>
              <w:t>8</w:t>
            </w:r>
            <w:r>
              <w:rPr>
                <w:rFonts w:hint="default" w:ascii="Times New Roman" w:hAnsi="Times New Roman" w:cs="Times New Roman"/>
                <w:color w:val="000000" w:themeColor="text1"/>
                <w:sz w:val="24"/>
              </w:rPr>
              <w:t>日制定项目污染物监测方案，委托</w:t>
            </w:r>
            <w:r>
              <w:rPr>
                <w:rFonts w:hint="default" w:ascii="Times New Roman" w:hAnsi="Times New Roman" w:cs="Times New Roman"/>
                <w:color w:val="000000" w:themeColor="text1"/>
                <w:sz w:val="24"/>
                <w:lang w:eastAsia="zh-CN"/>
              </w:rPr>
              <w:t>安徽迈森环境科技有限公司</w:t>
            </w:r>
            <w:r>
              <w:rPr>
                <w:rFonts w:hint="default" w:ascii="Times New Roman" w:hAnsi="Times New Roman" w:cs="Times New Roman"/>
                <w:color w:val="000000" w:themeColor="text1"/>
                <w:sz w:val="24"/>
              </w:rPr>
              <w:t>于202</w:t>
            </w:r>
            <w:r>
              <w:rPr>
                <w:rFonts w:hint="default" w:ascii="Times New Roman" w:hAnsi="Times New Roman" w:cs="Times New Roman"/>
                <w:color w:val="000000" w:themeColor="text1"/>
                <w:sz w:val="24"/>
                <w:lang w:val="en-US" w:eastAsia="zh-CN"/>
              </w:rPr>
              <w:t>2</w:t>
            </w:r>
            <w:r>
              <w:rPr>
                <w:rFonts w:hint="default" w:ascii="Times New Roman" w:hAnsi="Times New Roman" w:cs="Times New Roman"/>
                <w:color w:val="000000" w:themeColor="text1"/>
                <w:sz w:val="24"/>
              </w:rPr>
              <w:t>年</w:t>
            </w:r>
            <w:r>
              <w:rPr>
                <w:rFonts w:hint="default" w:ascii="Times New Roman" w:hAnsi="Times New Roman" w:cs="Times New Roman"/>
                <w:color w:val="000000" w:themeColor="text1"/>
                <w:sz w:val="24"/>
                <w:lang w:val="en-US" w:eastAsia="zh-CN"/>
              </w:rPr>
              <w:t>1</w:t>
            </w:r>
            <w:r>
              <w:rPr>
                <w:rFonts w:hint="eastAsia" w:cs="Times New Roman"/>
                <w:color w:val="000000" w:themeColor="text1"/>
                <w:sz w:val="24"/>
                <w:lang w:val="en-US" w:eastAsia="zh-CN"/>
              </w:rPr>
              <w:t>1</w:t>
            </w:r>
            <w:r>
              <w:rPr>
                <w:rFonts w:hint="default" w:ascii="Times New Roman" w:hAnsi="Times New Roman" w:cs="Times New Roman"/>
                <w:color w:val="000000" w:themeColor="text1"/>
                <w:sz w:val="24"/>
              </w:rPr>
              <w:t>月</w:t>
            </w:r>
            <w:r>
              <w:rPr>
                <w:rFonts w:hint="eastAsia" w:cs="Times New Roman"/>
                <w:color w:val="000000" w:themeColor="text1"/>
                <w:sz w:val="24"/>
                <w:lang w:val="en-US" w:eastAsia="zh-CN"/>
              </w:rPr>
              <w:t>15</w:t>
            </w:r>
            <w:r>
              <w:rPr>
                <w:rFonts w:hint="default" w:ascii="Times New Roman" w:hAnsi="Times New Roman" w:cs="Times New Roman"/>
                <w:color w:val="000000" w:themeColor="text1"/>
                <w:sz w:val="24"/>
              </w:rPr>
              <w:t>日-</w:t>
            </w:r>
            <w:r>
              <w:rPr>
                <w:rFonts w:hint="eastAsia" w:cs="Times New Roman"/>
                <w:color w:val="000000" w:themeColor="text1"/>
                <w:sz w:val="24"/>
                <w:lang w:val="en-US" w:eastAsia="zh-CN"/>
              </w:rPr>
              <w:t>16</w:t>
            </w:r>
            <w:r>
              <w:rPr>
                <w:rFonts w:hint="default" w:ascii="Times New Roman" w:hAnsi="Times New Roman" w:cs="Times New Roman"/>
                <w:color w:val="000000" w:themeColor="text1"/>
                <w:sz w:val="24"/>
              </w:rPr>
              <w:t>日进行现场采样监测，在此基础上于202</w:t>
            </w:r>
            <w:r>
              <w:rPr>
                <w:rFonts w:hint="default" w:ascii="Times New Roman" w:hAnsi="Times New Roman" w:cs="Times New Roman"/>
                <w:color w:val="000000" w:themeColor="text1"/>
                <w:sz w:val="24"/>
                <w:lang w:val="en-US" w:eastAsia="zh-CN"/>
              </w:rPr>
              <w:t>2</w:t>
            </w:r>
            <w:r>
              <w:rPr>
                <w:rFonts w:hint="default" w:ascii="Times New Roman" w:hAnsi="Times New Roman" w:cs="Times New Roman"/>
                <w:color w:val="000000" w:themeColor="text1"/>
                <w:sz w:val="24"/>
              </w:rPr>
              <w:t>年</w:t>
            </w:r>
            <w:r>
              <w:rPr>
                <w:rFonts w:hint="eastAsia" w:cs="Times New Roman"/>
                <w:color w:val="000000" w:themeColor="text1"/>
                <w:sz w:val="24"/>
                <w:lang w:val="en-US" w:eastAsia="zh-CN"/>
              </w:rPr>
              <w:t>11</w:t>
            </w:r>
            <w:r>
              <w:rPr>
                <w:rFonts w:hint="default" w:ascii="Times New Roman" w:hAnsi="Times New Roman" w:cs="Times New Roman"/>
                <w:color w:val="000000" w:themeColor="text1"/>
                <w:sz w:val="24"/>
              </w:rPr>
              <w:t>月</w:t>
            </w:r>
            <w:r>
              <w:rPr>
                <w:rFonts w:hint="eastAsia" w:cs="Times New Roman"/>
                <w:color w:val="000000" w:themeColor="text1"/>
                <w:sz w:val="24"/>
                <w:lang w:val="en-US" w:eastAsia="zh-CN"/>
              </w:rPr>
              <w:t>19</w:t>
            </w:r>
            <w:r>
              <w:rPr>
                <w:rFonts w:hint="default" w:ascii="Times New Roman" w:hAnsi="Times New Roman" w:cs="Times New Roman"/>
                <w:color w:val="000000" w:themeColor="text1"/>
                <w:sz w:val="24"/>
                <w:lang w:eastAsia="zh-CN"/>
              </w:rPr>
              <w:t>日</w:t>
            </w:r>
            <w:r>
              <w:rPr>
                <w:rFonts w:hint="default" w:ascii="Times New Roman" w:hAnsi="Times New Roman" w:cs="Times New Roman"/>
                <w:color w:val="000000" w:themeColor="text1"/>
                <w:sz w:val="24"/>
              </w:rPr>
              <w:t>完成验收监测报告。</w:t>
            </w:r>
          </w:p>
          <w:p>
            <w:pPr>
              <w:widowControl/>
              <w:spacing w:line="360" w:lineRule="auto"/>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2、工程建设内容：</w:t>
            </w:r>
          </w:p>
          <w:p>
            <w:pPr>
              <w:spacing w:line="360" w:lineRule="auto"/>
              <w:ind w:firstLine="482" w:firstLineChars="200"/>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（1）环评申报内容概况</w:t>
            </w:r>
          </w:p>
          <w:p>
            <w:pPr>
              <w:pStyle w:val="44"/>
              <w:spacing w:line="360" w:lineRule="auto"/>
              <w:ind w:firstLine="480"/>
              <w:jc w:val="both"/>
              <w:rPr>
                <w:rFonts w:hint="default" w:ascii="Times New Roman" w:hAnsi="Times New Roman" w:cs="Times New Roman" w:eastAsiaTheme="minorEastAsia"/>
                <w:color w:val="000000" w:themeColor="text1"/>
                <w:sz w:val="24"/>
                <w:szCs w:val="24"/>
              </w:rPr>
            </w:pPr>
            <w:r>
              <w:rPr>
                <w:rFonts w:hint="default" w:ascii="Times New Roman" w:hAnsi="Times New Roman" w:cs="Times New Roman"/>
                <w:sz w:val="24"/>
                <w:szCs w:val="24"/>
              </w:rPr>
              <w:t>安徽源昇新型材料有限公司在租赁安徽瑞翔石英制品有限公司原有生产厂房基础上投资200万元扩建“铝模板后期加工项目”，新增铝模板翻新加工生产线1条，主要购置</w:t>
            </w:r>
            <w:r>
              <w:rPr>
                <w:rFonts w:hint="default" w:ascii="Times New Roman" w:hAnsi="Times New Roman" w:eastAsia="宋体" w:cs="Times New Roman"/>
                <w:sz w:val="24"/>
                <w:szCs w:val="24"/>
                <w:lang w:val="en-US" w:eastAsia="zh-CN"/>
              </w:rPr>
              <w:t>1套</w:t>
            </w:r>
            <w:r>
              <w:rPr>
                <w:rFonts w:hint="default" w:ascii="Times New Roman" w:hAnsi="Times New Roman" w:cs="Times New Roman"/>
                <w:sz w:val="24"/>
                <w:szCs w:val="24"/>
              </w:rPr>
              <w:t>抛丸机、</w:t>
            </w:r>
            <w:r>
              <w:rPr>
                <w:rFonts w:hint="default" w:ascii="Times New Roman" w:hAnsi="Times New Roman" w:eastAsia="宋体" w:cs="Times New Roman"/>
                <w:sz w:val="24"/>
                <w:szCs w:val="24"/>
                <w:lang w:val="en-US" w:eastAsia="zh-CN"/>
              </w:rPr>
              <w:t>1套</w:t>
            </w:r>
            <w:r>
              <w:rPr>
                <w:rFonts w:hint="default" w:ascii="Times New Roman" w:hAnsi="Times New Roman" w:eastAsia="宋体" w:cs="Times New Roman"/>
                <w:sz w:val="24"/>
                <w:szCs w:val="24"/>
                <w:lang w:eastAsia="zh-CN"/>
              </w:rPr>
              <w:t>喷塑</w:t>
            </w:r>
            <w:r>
              <w:rPr>
                <w:rFonts w:hint="default" w:ascii="Times New Roman" w:hAnsi="Times New Roman" w:cs="Times New Roman"/>
                <w:sz w:val="24"/>
                <w:szCs w:val="24"/>
              </w:rPr>
              <w:t>设备，建成后可实现年翻新加工旧模板</w:t>
            </w:r>
            <w:r>
              <w:rPr>
                <w:rFonts w:hint="default" w:ascii="Times New Roman" w:hAnsi="Times New Roman" w:eastAsia="宋体" w:cs="Times New Roman"/>
                <w:sz w:val="24"/>
                <w:szCs w:val="24"/>
                <w:lang w:val="en-US" w:eastAsia="zh-CN"/>
              </w:rPr>
              <w:t>5</w:t>
            </w:r>
            <w:r>
              <w:rPr>
                <w:rFonts w:hint="default" w:ascii="Times New Roman" w:hAnsi="Times New Roman" w:cs="Times New Roman"/>
                <w:sz w:val="24"/>
                <w:szCs w:val="24"/>
              </w:rPr>
              <w:t>000m</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的生产能力。</w:t>
            </w:r>
          </w:p>
          <w:p>
            <w:pPr>
              <w:widowControl w:val="0"/>
              <w:spacing w:line="360" w:lineRule="auto"/>
              <w:ind w:firstLine="480" w:firstLineChars="200"/>
              <w:jc w:val="both"/>
              <w:rPr>
                <w:rFonts w:hint="default" w:ascii="Times New Roman" w:hAnsi="Times New Roman" w:eastAsia="宋体" w:cs="Times New Roman"/>
                <w:kern w:val="2"/>
                <w:sz w:val="24"/>
                <w:szCs w:val="24"/>
                <w:lang w:val="zh-CN" w:eastAsia="zh-CN" w:bidi="ar-SA"/>
              </w:rPr>
            </w:pPr>
            <w:r>
              <w:rPr>
                <w:rFonts w:hint="default" w:ascii="Times New Roman" w:hAnsi="Times New Roman" w:eastAsia="宋体" w:cs="Times New Roman"/>
                <w:kern w:val="2"/>
                <w:sz w:val="24"/>
                <w:szCs w:val="24"/>
                <w:lang w:val="en-US" w:eastAsia="zh-CN" w:bidi="ar-SA"/>
              </w:rPr>
              <w:t>将新增职工10人，</w:t>
            </w:r>
            <w:r>
              <w:rPr>
                <w:rFonts w:hint="default" w:ascii="Times New Roman" w:hAnsi="Times New Roman" w:eastAsia="宋体" w:cs="Times New Roman"/>
                <w:kern w:val="2"/>
                <w:sz w:val="24"/>
                <w:szCs w:val="24"/>
                <w:lang w:val="zh-CN" w:eastAsia="zh-CN" w:bidi="ar-SA"/>
              </w:rPr>
              <w:t>年工作300天，白班制，年工作时间</w:t>
            </w:r>
            <w:r>
              <w:rPr>
                <w:rFonts w:hint="default" w:ascii="Times New Roman" w:hAnsi="Times New Roman" w:eastAsia="宋体" w:cs="Times New Roman"/>
                <w:kern w:val="2"/>
                <w:sz w:val="24"/>
                <w:szCs w:val="24"/>
                <w:lang w:val="en-US" w:eastAsia="zh-CN" w:bidi="ar-SA"/>
              </w:rPr>
              <w:t>24</w:t>
            </w:r>
            <w:r>
              <w:rPr>
                <w:rFonts w:hint="default" w:ascii="Times New Roman" w:hAnsi="Times New Roman" w:eastAsia="宋体" w:cs="Times New Roman"/>
                <w:kern w:val="2"/>
                <w:sz w:val="24"/>
                <w:szCs w:val="24"/>
                <w:lang w:val="zh-CN" w:eastAsia="zh-CN" w:bidi="ar-SA"/>
              </w:rPr>
              <w:t>00</w:t>
            </w:r>
            <w:r>
              <w:rPr>
                <w:rFonts w:hint="default" w:ascii="Times New Roman" w:hAnsi="Times New Roman" w:eastAsia="宋体" w:cs="Times New Roman"/>
                <w:kern w:val="2"/>
                <w:sz w:val="24"/>
                <w:szCs w:val="24"/>
                <w:lang w:val="en-US" w:eastAsia="zh-CN" w:bidi="ar-SA"/>
              </w:rPr>
              <w:t>h，无食宿</w:t>
            </w:r>
            <w:r>
              <w:rPr>
                <w:rFonts w:hint="default" w:ascii="Times New Roman" w:hAnsi="Times New Roman" w:eastAsia="宋体" w:cs="Times New Roman"/>
                <w:kern w:val="2"/>
                <w:sz w:val="24"/>
                <w:szCs w:val="24"/>
                <w:lang w:val="zh-CN" w:eastAsia="zh-CN" w:bidi="ar-SA"/>
              </w:rPr>
              <w:t>。</w:t>
            </w:r>
          </w:p>
          <w:p>
            <w:pPr>
              <w:spacing w:line="360" w:lineRule="auto"/>
              <w:ind w:firstLine="482" w:firstLineChars="200"/>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（2）实际建设内容概况</w:t>
            </w:r>
          </w:p>
          <w:p>
            <w:pPr>
              <w:pStyle w:val="44"/>
              <w:spacing w:line="360" w:lineRule="auto"/>
              <w:ind w:firstLine="480"/>
              <w:jc w:val="both"/>
              <w:rPr>
                <w:rFonts w:hint="default" w:ascii="Times New Roman" w:hAnsi="Times New Roman" w:cs="Times New Roman" w:eastAsiaTheme="minorEastAsia"/>
                <w:color w:val="000000" w:themeColor="text1"/>
                <w:sz w:val="24"/>
                <w:szCs w:val="24"/>
              </w:rPr>
            </w:pPr>
            <w:r>
              <w:rPr>
                <w:rFonts w:hint="default" w:ascii="Times New Roman" w:hAnsi="Times New Roman" w:eastAsia="宋体" w:cs="Times New Roman"/>
                <w:sz w:val="24"/>
                <w:szCs w:val="24"/>
                <w:lang w:eastAsia="zh-CN"/>
              </w:rPr>
              <w:t>实际</w:t>
            </w:r>
            <w:r>
              <w:rPr>
                <w:rFonts w:hint="default" w:ascii="Times New Roman" w:hAnsi="Times New Roman" w:cs="Times New Roman"/>
                <w:sz w:val="24"/>
                <w:szCs w:val="24"/>
              </w:rPr>
              <w:t>投资200万元扩建“铝模板后期加工项目”，新增铝模板翻新加工生产线1条，购置</w:t>
            </w:r>
            <w:r>
              <w:rPr>
                <w:rFonts w:hint="default" w:ascii="Times New Roman" w:hAnsi="Times New Roman" w:eastAsia="宋体" w:cs="Times New Roman"/>
                <w:sz w:val="24"/>
                <w:szCs w:val="24"/>
                <w:lang w:val="en-US" w:eastAsia="zh-CN"/>
              </w:rPr>
              <w:t>1套</w:t>
            </w:r>
            <w:r>
              <w:rPr>
                <w:rFonts w:hint="default" w:ascii="Times New Roman" w:hAnsi="Times New Roman" w:cs="Times New Roman"/>
                <w:sz w:val="24"/>
                <w:szCs w:val="24"/>
              </w:rPr>
              <w:t>抛丸机、</w:t>
            </w:r>
            <w:r>
              <w:rPr>
                <w:rFonts w:hint="default" w:ascii="Times New Roman" w:hAnsi="Times New Roman" w:eastAsia="宋体" w:cs="Times New Roman"/>
                <w:sz w:val="24"/>
                <w:szCs w:val="24"/>
                <w:lang w:val="en-US" w:eastAsia="zh-CN"/>
              </w:rPr>
              <w:t>1套</w:t>
            </w:r>
            <w:r>
              <w:rPr>
                <w:rFonts w:hint="default" w:ascii="Times New Roman" w:hAnsi="Times New Roman" w:eastAsia="宋体" w:cs="Times New Roman"/>
                <w:sz w:val="24"/>
                <w:szCs w:val="24"/>
                <w:lang w:eastAsia="zh-CN"/>
              </w:rPr>
              <w:t>喷塑</w:t>
            </w:r>
            <w:r>
              <w:rPr>
                <w:rFonts w:hint="default" w:ascii="Times New Roman" w:hAnsi="Times New Roman" w:cs="Times New Roman"/>
                <w:sz w:val="24"/>
                <w:szCs w:val="24"/>
              </w:rPr>
              <w:t>设备，建成后可实现年翻新加工旧模板</w:t>
            </w:r>
            <w:r>
              <w:rPr>
                <w:rFonts w:hint="default" w:ascii="Times New Roman" w:hAnsi="Times New Roman" w:eastAsia="宋体" w:cs="Times New Roman"/>
                <w:sz w:val="24"/>
                <w:szCs w:val="24"/>
                <w:lang w:val="en-US" w:eastAsia="zh-CN"/>
              </w:rPr>
              <w:t>5</w:t>
            </w:r>
            <w:r>
              <w:rPr>
                <w:rFonts w:hint="default" w:ascii="Times New Roman" w:hAnsi="Times New Roman" w:cs="Times New Roman"/>
                <w:sz w:val="24"/>
                <w:szCs w:val="24"/>
              </w:rPr>
              <w:t>000m</w:t>
            </w:r>
            <w:r>
              <w:rPr>
                <w:rFonts w:hint="default" w:ascii="Times New Roman" w:hAnsi="Times New Roman" w:cs="Times New Roman"/>
                <w:sz w:val="24"/>
                <w:szCs w:val="24"/>
                <w:vertAlign w:val="superscript"/>
              </w:rPr>
              <w:t>2</w:t>
            </w:r>
            <w:r>
              <w:rPr>
                <w:rFonts w:hint="default" w:ascii="Times New Roman" w:hAnsi="Times New Roman" w:cs="Times New Roman"/>
                <w:sz w:val="24"/>
                <w:szCs w:val="24"/>
              </w:rPr>
              <w:t>的生产能力。</w:t>
            </w:r>
          </w:p>
          <w:p>
            <w:pPr>
              <w:widowControl w:val="0"/>
              <w:spacing w:line="360" w:lineRule="auto"/>
              <w:ind w:firstLine="480" w:firstLineChars="200"/>
              <w:jc w:val="both"/>
              <w:rPr>
                <w:rFonts w:hint="default" w:ascii="Times New Roman" w:hAnsi="Times New Roman" w:eastAsia="宋体" w:cs="Times New Roman"/>
                <w:kern w:val="2"/>
                <w:sz w:val="24"/>
                <w:szCs w:val="24"/>
                <w:lang w:val="zh-CN" w:eastAsia="zh-CN" w:bidi="ar-SA"/>
              </w:rPr>
            </w:pPr>
            <w:r>
              <w:rPr>
                <w:rFonts w:hint="default" w:ascii="Times New Roman" w:hAnsi="Times New Roman" w:eastAsia="宋体" w:cs="Times New Roman"/>
                <w:kern w:val="2"/>
                <w:sz w:val="24"/>
                <w:szCs w:val="24"/>
                <w:lang w:val="en-US" w:eastAsia="zh-CN" w:bidi="ar-SA"/>
              </w:rPr>
              <w:t>实际新增职工10人，</w:t>
            </w:r>
            <w:r>
              <w:rPr>
                <w:rFonts w:hint="default" w:ascii="Times New Roman" w:hAnsi="Times New Roman" w:eastAsia="宋体" w:cs="Times New Roman"/>
                <w:kern w:val="2"/>
                <w:sz w:val="24"/>
                <w:szCs w:val="24"/>
                <w:lang w:val="zh-CN" w:eastAsia="zh-CN" w:bidi="ar-SA"/>
              </w:rPr>
              <w:t>年工作300天，白班制，年工作时间</w:t>
            </w:r>
            <w:r>
              <w:rPr>
                <w:rFonts w:hint="default" w:ascii="Times New Roman" w:hAnsi="Times New Roman" w:eastAsia="宋体" w:cs="Times New Roman"/>
                <w:kern w:val="2"/>
                <w:sz w:val="24"/>
                <w:szCs w:val="24"/>
                <w:lang w:val="en-US" w:eastAsia="zh-CN" w:bidi="ar-SA"/>
              </w:rPr>
              <w:t>24</w:t>
            </w:r>
            <w:r>
              <w:rPr>
                <w:rFonts w:hint="default" w:ascii="Times New Roman" w:hAnsi="Times New Roman" w:eastAsia="宋体" w:cs="Times New Roman"/>
                <w:kern w:val="2"/>
                <w:sz w:val="24"/>
                <w:szCs w:val="24"/>
                <w:lang w:val="zh-CN" w:eastAsia="zh-CN" w:bidi="ar-SA"/>
              </w:rPr>
              <w:t>00</w:t>
            </w:r>
            <w:r>
              <w:rPr>
                <w:rFonts w:hint="default" w:ascii="Times New Roman" w:hAnsi="Times New Roman" w:eastAsia="宋体" w:cs="Times New Roman"/>
                <w:kern w:val="2"/>
                <w:sz w:val="24"/>
                <w:szCs w:val="24"/>
                <w:lang w:val="en-US" w:eastAsia="zh-CN" w:bidi="ar-SA"/>
              </w:rPr>
              <w:t>h，无食宿</w:t>
            </w:r>
            <w:r>
              <w:rPr>
                <w:rFonts w:hint="default" w:ascii="Times New Roman" w:hAnsi="Times New Roman" w:eastAsia="宋体" w:cs="Times New Roman"/>
                <w:kern w:val="2"/>
                <w:sz w:val="24"/>
                <w:szCs w:val="24"/>
                <w:lang w:val="zh-CN" w:eastAsia="zh-CN" w:bidi="ar-SA"/>
              </w:rPr>
              <w:t>。</w:t>
            </w:r>
          </w:p>
          <w:p>
            <w:pPr>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环评申报内容与验收期间实际建设内容对照情况如下：</w:t>
            </w:r>
          </w:p>
          <w:p>
            <w:pPr>
              <w:spacing w:line="360" w:lineRule="auto"/>
              <w:ind w:firstLine="480" w:firstLineChars="200"/>
              <w:jc w:val="center"/>
              <w:rPr>
                <w:rFonts w:hint="default" w:ascii="Times New Roman" w:hAnsi="Times New Roman" w:cs="Times New Roman"/>
                <w:b/>
                <w:color w:val="000000" w:themeColor="text1"/>
                <w:sz w:val="24"/>
              </w:rPr>
            </w:pPr>
            <w:r>
              <w:rPr>
                <w:rFonts w:hint="default" w:ascii="Times New Roman" w:hAnsi="Times New Roman" w:cs="Times New Roman"/>
                <w:color w:val="000000" w:themeColor="text1"/>
                <w:sz w:val="24"/>
              </w:rPr>
              <w:t xml:space="preserve"> </w:t>
            </w:r>
            <w:r>
              <w:rPr>
                <w:rFonts w:hint="default" w:ascii="Times New Roman" w:hAnsi="Times New Roman" w:cs="Times New Roman"/>
                <w:b/>
                <w:color w:val="000000" w:themeColor="text1"/>
                <w:sz w:val="24"/>
              </w:rPr>
              <w:t>表2.1  环评申报工程内容与实际建成工程内容对照表</w:t>
            </w:r>
          </w:p>
          <w:tbl>
            <w:tblPr>
              <w:tblStyle w:val="18"/>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4"/>
              <w:gridCol w:w="1044"/>
              <w:gridCol w:w="3880"/>
              <w:gridCol w:w="33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411" w:type="pc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工程类别</w:t>
                  </w:r>
                </w:p>
              </w:tc>
              <w:tc>
                <w:tcPr>
                  <w:tcW w:w="576"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单项工程</w:t>
                  </w:r>
                </w:p>
              </w:tc>
              <w:tc>
                <w:tcPr>
                  <w:tcW w:w="2141"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eastAsia="zh-CN"/>
                    </w:rPr>
                    <w:t>环评申报</w:t>
                  </w:r>
                  <w:r>
                    <w:rPr>
                      <w:rFonts w:hint="default" w:ascii="Times New Roman" w:hAnsi="Times New Roman" w:cs="Times New Roman"/>
                      <w:sz w:val="21"/>
                      <w:szCs w:val="21"/>
                    </w:rPr>
                    <w:t>内容及规模</w:t>
                  </w:r>
                </w:p>
              </w:tc>
              <w:tc>
                <w:tcPr>
                  <w:tcW w:w="1870"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sz w:val="21"/>
                      <w:szCs w:val="21"/>
                      <w:lang w:eastAsia="zh-CN"/>
                    </w:rPr>
                    <w:t>实际建设内容及规模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1" w:hRule="atLeast"/>
                <w:jc w:val="center"/>
              </w:trPr>
              <w:tc>
                <w:tcPr>
                  <w:tcW w:w="411" w:type="pct"/>
                  <w:tcBorders>
                    <w:top w:val="single" w:color="auto" w:sz="4" w:space="0"/>
                    <w:left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主体工程</w:t>
                  </w:r>
                </w:p>
              </w:tc>
              <w:tc>
                <w:tcPr>
                  <w:tcW w:w="576" w:type="pct"/>
                  <w:tcBorders>
                    <w:top w:val="single" w:color="auto" w:sz="4" w:space="0"/>
                    <w:left w:val="nil"/>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铝模板翻新加工生产线</w:t>
                  </w:r>
                </w:p>
              </w:tc>
              <w:tc>
                <w:tcPr>
                  <w:tcW w:w="2141" w:type="pct"/>
                  <w:tcBorders>
                    <w:top w:val="nil"/>
                    <w:left w:val="nil"/>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新增铝模板翻新加工生产线1条，主要购置</w:t>
                  </w:r>
                  <w:r>
                    <w:rPr>
                      <w:rFonts w:hint="default" w:ascii="Times New Roman" w:hAnsi="Times New Roman" w:cs="Times New Roman"/>
                      <w:sz w:val="21"/>
                      <w:szCs w:val="21"/>
                      <w:lang w:val="en-US" w:eastAsia="zh-CN"/>
                    </w:rPr>
                    <w:t>1台</w:t>
                  </w:r>
                  <w:r>
                    <w:rPr>
                      <w:rFonts w:hint="default" w:ascii="Times New Roman" w:hAnsi="Times New Roman" w:cs="Times New Roman"/>
                      <w:sz w:val="21"/>
                      <w:szCs w:val="21"/>
                    </w:rPr>
                    <w:t>抛丸机、</w:t>
                  </w:r>
                  <w:r>
                    <w:rPr>
                      <w:rFonts w:hint="default" w:ascii="Times New Roman" w:hAnsi="Times New Roman" w:cs="Times New Roman"/>
                      <w:sz w:val="21"/>
                      <w:szCs w:val="21"/>
                      <w:lang w:val="en-US" w:eastAsia="zh-CN"/>
                    </w:rPr>
                    <w:t>1套喷塑</w:t>
                  </w:r>
                  <w:r>
                    <w:rPr>
                      <w:rFonts w:hint="default" w:ascii="Times New Roman" w:hAnsi="Times New Roman" w:cs="Times New Roman"/>
                      <w:sz w:val="21"/>
                      <w:szCs w:val="21"/>
                    </w:rPr>
                    <w:t>设备，可实现年翻新加工新模板</w:t>
                  </w:r>
                  <w:r>
                    <w:rPr>
                      <w:rFonts w:hint="default" w:ascii="Times New Roman" w:hAnsi="Times New Roman" w:cs="Times New Roman"/>
                      <w:sz w:val="21"/>
                      <w:szCs w:val="21"/>
                      <w:lang w:val="en-US" w:eastAsia="zh-CN"/>
                    </w:rPr>
                    <w:t>5</w:t>
                  </w:r>
                  <w:r>
                    <w:rPr>
                      <w:rFonts w:hint="default" w:ascii="Times New Roman" w:hAnsi="Times New Roman" w:cs="Times New Roman"/>
                      <w:sz w:val="21"/>
                      <w:szCs w:val="21"/>
                    </w:rPr>
                    <w:t>000m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的生产能力</w:t>
                  </w:r>
                </w:p>
              </w:tc>
              <w:tc>
                <w:tcPr>
                  <w:tcW w:w="1870" w:type="pct"/>
                  <w:tcBorders>
                    <w:top w:val="nil"/>
                    <w:left w:val="nil"/>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13" w:hRule="atLeast"/>
                <w:jc w:val="center"/>
              </w:trPr>
              <w:tc>
                <w:tcPr>
                  <w:tcW w:w="411" w:type="pct"/>
                  <w:tcBorders>
                    <w:top w:val="nil"/>
                    <w:left w:val="single" w:color="auto" w:sz="4" w:space="0"/>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辅助工程</w:t>
                  </w:r>
                </w:p>
              </w:tc>
              <w:tc>
                <w:tcPr>
                  <w:tcW w:w="576" w:type="pct"/>
                  <w:tcBorders>
                    <w:top w:val="single" w:color="auto" w:sz="4" w:space="0"/>
                    <w:left w:val="nil"/>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办公区</w:t>
                  </w:r>
                </w:p>
              </w:tc>
              <w:tc>
                <w:tcPr>
                  <w:tcW w:w="2141" w:type="pct"/>
                  <w:tcBorders>
                    <w:top w:val="single" w:color="auto" w:sz="4" w:space="0"/>
                    <w:left w:val="nil"/>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sz w:val="21"/>
                      <w:szCs w:val="21"/>
                      <w:lang w:eastAsia="zh-CN"/>
                    </w:rPr>
                    <w:t>依托</w:t>
                  </w:r>
                  <w:r>
                    <w:rPr>
                      <w:rFonts w:hint="default" w:ascii="Times New Roman" w:hAnsi="Times New Roman" w:cs="Times New Roman"/>
                      <w:sz w:val="21"/>
                      <w:szCs w:val="21"/>
                    </w:rPr>
                    <w:t>租赁瑞翔石英制品一期工程办公楼内东侧1F作为办公区域，建筑面积472m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，用于配合开展相关管理、办公、后勤等工作。该办公楼共4F，其他楼层由其他公司租用或闲置，整栋办公楼不设置餐饮及住宿</w:t>
                  </w:r>
                </w:p>
              </w:tc>
              <w:tc>
                <w:tcPr>
                  <w:tcW w:w="1870" w:type="pct"/>
                  <w:tcBorders>
                    <w:top w:val="single" w:color="auto" w:sz="4" w:space="0"/>
                    <w:left w:val="nil"/>
                    <w:right w:val="single" w:color="auto" w:sz="4" w:space="0"/>
                  </w:tcBorders>
                  <w:shd w:val="clear" w:color="auto" w:fill="auto"/>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8" w:hRule="atLeast"/>
                <w:jc w:val="center"/>
              </w:trPr>
              <w:tc>
                <w:tcPr>
                  <w:tcW w:w="411" w:type="pct"/>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储运工程</w:t>
                  </w:r>
                </w:p>
              </w:tc>
              <w:tc>
                <w:tcPr>
                  <w:tcW w:w="576" w:type="pct"/>
                  <w:tcBorders>
                    <w:top w:val="single" w:color="auto" w:sz="4" w:space="0"/>
                    <w:left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原料贮存区</w:t>
                  </w:r>
                </w:p>
              </w:tc>
              <w:tc>
                <w:tcPr>
                  <w:tcW w:w="2141" w:type="pct"/>
                  <w:tcBorders>
                    <w:top w:val="single" w:color="auto" w:sz="4" w:space="0"/>
                    <w:left w:val="nil"/>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在1#厂房北侧生产厂区内划定部分区域作为本项目外购旧铝合金模板</w:t>
                  </w:r>
                  <w:r>
                    <w:rPr>
                      <w:rFonts w:hint="default" w:ascii="Times New Roman" w:hAnsi="Times New Roman" w:cs="Times New Roman"/>
                      <w:sz w:val="21"/>
                      <w:szCs w:val="21"/>
                      <w:lang w:eastAsia="zh-CN"/>
                    </w:rPr>
                    <w:t>，</w:t>
                  </w:r>
                  <w:r>
                    <w:rPr>
                      <w:rFonts w:hint="default" w:ascii="Times New Roman" w:hAnsi="Times New Roman" w:cs="Times New Roman"/>
                      <w:sz w:val="21"/>
                      <w:szCs w:val="21"/>
                    </w:rPr>
                    <w:t>为不另行建设单独的仓库</w:t>
                  </w:r>
                </w:p>
              </w:tc>
              <w:tc>
                <w:tcPr>
                  <w:tcW w:w="1870" w:type="pct"/>
                  <w:tcBorders>
                    <w:top w:val="single" w:color="auto" w:sz="4" w:space="0"/>
                    <w:left w:val="nil"/>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98" w:hRule="atLeast"/>
                <w:jc w:val="center"/>
              </w:trPr>
              <w:tc>
                <w:tcPr>
                  <w:tcW w:w="411" w:type="pct"/>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p>
              </w:tc>
              <w:tc>
                <w:tcPr>
                  <w:tcW w:w="576" w:type="pct"/>
                  <w:tcBorders>
                    <w:top w:val="single" w:color="auto" w:sz="4" w:space="0"/>
                    <w:left w:val="nil"/>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成品贮存区</w:t>
                  </w:r>
                </w:p>
              </w:tc>
              <w:tc>
                <w:tcPr>
                  <w:tcW w:w="2141" w:type="pct"/>
                  <w:tcBorders>
                    <w:top w:val="single" w:color="auto" w:sz="4" w:space="0"/>
                    <w:left w:val="nil"/>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1#生产车间东北角设置了成品贮存场，用于成品的摆放</w:t>
                  </w:r>
                </w:p>
              </w:tc>
              <w:tc>
                <w:tcPr>
                  <w:tcW w:w="1870" w:type="pct"/>
                  <w:tcBorders>
                    <w:top w:val="single" w:color="auto" w:sz="4" w:space="0"/>
                    <w:left w:val="nil"/>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eastAsia="zh-CN"/>
                    </w:rPr>
                    <w:t>与环评申报内容一致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21" w:hRule="atLeast"/>
                <w:jc w:val="center"/>
              </w:trPr>
              <w:tc>
                <w:tcPr>
                  <w:tcW w:w="411" w:type="pct"/>
                  <w:vMerge w:val="restart"/>
                  <w:tcBorders>
                    <w:top w:val="nil"/>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公用工程</w:t>
                  </w:r>
                </w:p>
              </w:tc>
              <w:tc>
                <w:tcPr>
                  <w:tcW w:w="576"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给水</w:t>
                  </w:r>
                </w:p>
              </w:tc>
              <w:tc>
                <w:tcPr>
                  <w:tcW w:w="2141"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sz w:val="21"/>
                      <w:szCs w:val="21"/>
                      <w:lang w:eastAsia="zh-CN"/>
                    </w:rPr>
                    <w:t>市政管网供给</w:t>
                  </w:r>
                </w:p>
              </w:tc>
              <w:tc>
                <w:tcPr>
                  <w:tcW w:w="1870"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eastAsia="zh-CN"/>
                    </w:rPr>
                    <w:t>市政管网供给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35" w:hRule="atLeast"/>
                <w:jc w:val="center"/>
              </w:trPr>
              <w:tc>
                <w:tcPr>
                  <w:tcW w:w="411" w:type="pct"/>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rPr>
                  </w:pPr>
                </w:p>
              </w:tc>
              <w:tc>
                <w:tcPr>
                  <w:tcW w:w="576"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排水</w:t>
                  </w:r>
                </w:p>
              </w:tc>
              <w:tc>
                <w:tcPr>
                  <w:tcW w:w="2141"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排水实行雨、污分流制</w:t>
                  </w:r>
                </w:p>
              </w:tc>
              <w:tc>
                <w:tcPr>
                  <w:tcW w:w="1870"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排水实行雨、污分流制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411" w:type="pct"/>
                  <w:vMerge w:val="continue"/>
                  <w:tcBorders>
                    <w:top w:val="nil"/>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rPr>
                  </w:pPr>
                </w:p>
              </w:tc>
              <w:tc>
                <w:tcPr>
                  <w:tcW w:w="576" w:type="pct"/>
                  <w:tcBorders>
                    <w:top w:val="single" w:color="auto" w:sz="4" w:space="0"/>
                    <w:left w:val="nil"/>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供电</w:t>
                  </w:r>
                </w:p>
              </w:tc>
              <w:tc>
                <w:tcPr>
                  <w:tcW w:w="2141" w:type="pct"/>
                  <w:tcBorders>
                    <w:top w:val="single" w:color="auto" w:sz="4" w:space="0"/>
                    <w:left w:val="nil"/>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eastAsiaTheme="minorEastAsia"/>
                      <w:sz w:val="21"/>
                      <w:szCs w:val="21"/>
                      <w:lang w:eastAsia="zh-CN"/>
                    </w:rPr>
                  </w:pPr>
                  <w:r>
                    <w:rPr>
                      <w:rFonts w:hint="default" w:ascii="Times New Roman" w:hAnsi="Times New Roman" w:cs="Times New Roman"/>
                      <w:sz w:val="21"/>
                      <w:szCs w:val="21"/>
                      <w:lang w:eastAsia="zh-CN"/>
                    </w:rPr>
                    <w:t>市政供电</w:t>
                  </w:r>
                </w:p>
              </w:tc>
              <w:tc>
                <w:tcPr>
                  <w:tcW w:w="1870" w:type="pct"/>
                  <w:tcBorders>
                    <w:top w:val="single" w:color="auto" w:sz="4" w:space="0"/>
                    <w:left w:val="nil"/>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lang w:eastAsia="zh-CN"/>
                    </w:rPr>
                    <w:t>市政供电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254" w:hRule="atLeast"/>
                <w:jc w:val="center"/>
              </w:trPr>
              <w:tc>
                <w:tcPr>
                  <w:tcW w:w="411" w:type="pct"/>
                  <w:vMerge w:val="restart"/>
                  <w:tcBorders>
                    <w:top w:val="nil"/>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环保工程</w:t>
                  </w:r>
                </w:p>
              </w:tc>
              <w:tc>
                <w:tcPr>
                  <w:tcW w:w="576"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废水治理</w:t>
                  </w:r>
                </w:p>
              </w:tc>
              <w:tc>
                <w:tcPr>
                  <w:tcW w:w="2141"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FF0000"/>
                      <w:sz w:val="21"/>
                      <w:szCs w:val="21"/>
                    </w:rPr>
                  </w:pPr>
                  <w:r>
                    <w:rPr>
                      <w:rFonts w:hint="default" w:ascii="Times New Roman" w:hAnsi="Times New Roman" w:cs="Times New Roman"/>
                      <w:sz w:val="21"/>
                      <w:szCs w:val="21"/>
                    </w:rPr>
                    <w:t>生活污水经安徽瑞翔石英制品有限公司污水管网接入化粪池处理后，定期清掏用于周边农业施肥不外排；待集镇污水管网延伸至项目区域附近，生活污水充分预处理后接入千人桥镇污水处理厂深度处理后，达标排放</w:t>
                  </w:r>
                </w:p>
              </w:tc>
              <w:tc>
                <w:tcPr>
                  <w:tcW w:w="1870"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生活污水经安徽瑞翔石英制品有限公司污水管网接入化粪池处理后，定期清掏用于周边农业施肥不外排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411" w:type="pct"/>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sz w:val="21"/>
                      <w:szCs w:val="21"/>
                    </w:rPr>
                  </w:pPr>
                </w:p>
              </w:tc>
              <w:tc>
                <w:tcPr>
                  <w:tcW w:w="576" w:type="pct"/>
                  <w:vMerge w:val="restart"/>
                  <w:tcBorders>
                    <w:left w:val="nil"/>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sz w:val="21"/>
                      <w:szCs w:val="21"/>
                    </w:rPr>
                    <w:t>废气治理</w:t>
                  </w:r>
                </w:p>
              </w:tc>
              <w:tc>
                <w:tcPr>
                  <w:tcW w:w="2141"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抛丸</w:t>
                  </w:r>
                  <w:r>
                    <w:rPr>
                      <w:rFonts w:hint="default" w:ascii="Times New Roman" w:hAnsi="Times New Roman" w:cs="Times New Roman"/>
                      <w:color w:val="000000" w:themeColor="text1"/>
                      <w:sz w:val="21"/>
                      <w:szCs w:val="21"/>
                    </w:rPr>
                    <w:t>粉尘由布袋除尘器处理后经15m排气筒（DA001）有组织排放</w:t>
                  </w:r>
                </w:p>
              </w:tc>
              <w:tc>
                <w:tcPr>
                  <w:tcW w:w="1870"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抛丸</w:t>
                  </w:r>
                  <w:r>
                    <w:rPr>
                      <w:rFonts w:hint="default" w:ascii="Times New Roman" w:hAnsi="Times New Roman" w:cs="Times New Roman"/>
                      <w:color w:val="000000" w:themeColor="text1"/>
                      <w:sz w:val="21"/>
                      <w:szCs w:val="21"/>
                    </w:rPr>
                    <w:t>粉尘由布袋除尘器处理后经15m排气筒（DA001）有组织排放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411" w:type="pct"/>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sz w:val="21"/>
                      <w:szCs w:val="21"/>
                    </w:rPr>
                  </w:pPr>
                </w:p>
              </w:tc>
              <w:tc>
                <w:tcPr>
                  <w:tcW w:w="576" w:type="pct"/>
                  <w:vMerge w:val="continue"/>
                  <w:tcBorders>
                    <w:left w:val="nil"/>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sz w:val="21"/>
                      <w:szCs w:val="21"/>
                    </w:rPr>
                  </w:pPr>
                </w:p>
              </w:tc>
              <w:tc>
                <w:tcPr>
                  <w:tcW w:w="2141"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themeColor="text1"/>
                      <w:sz w:val="21"/>
                      <w:szCs w:val="21"/>
                    </w:rPr>
                    <w:t>高压除尘室粉尘经配套旋风除尘设施处理后无组织排放</w:t>
                  </w:r>
                </w:p>
              </w:tc>
              <w:tc>
                <w:tcPr>
                  <w:tcW w:w="1870"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themeColor="text1"/>
                      <w:sz w:val="21"/>
                      <w:szCs w:val="21"/>
                    </w:rPr>
                    <w:t>高压除尘室粉尘经配套旋风除尘设施处理后无组织排放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411" w:type="pct"/>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sz w:val="21"/>
                      <w:szCs w:val="21"/>
                    </w:rPr>
                  </w:pPr>
                </w:p>
              </w:tc>
              <w:tc>
                <w:tcPr>
                  <w:tcW w:w="576" w:type="pct"/>
                  <w:vMerge w:val="continue"/>
                  <w:tcBorders>
                    <w:left w:val="nil"/>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sz w:val="21"/>
                      <w:szCs w:val="21"/>
                    </w:rPr>
                  </w:pPr>
                </w:p>
              </w:tc>
              <w:tc>
                <w:tcPr>
                  <w:tcW w:w="2141"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themeColor="text1"/>
                      <w:sz w:val="21"/>
                      <w:szCs w:val="21"/>
                    </w:rPr>
                  </w:pPr>
                  <w:r>
                    <w:rPr>
                      <w:rFonts w:hint="default" w:ascii="Times New Roman" w:hAnsi="Times New Roman" w:cs="Times New Roman"/>
                      <w:color w:val="000000" w:themeColor="text1"/>
                      <w:sz w:val="21"/>
                      <w:szCs w:val="21"/>
                    </w:rPr>
                    <w:t>喷塑粉尘通过“</w:t>
                  </w:r>
                  <w:r>
                    <w:rPr>
                      <w:rFonts w:hint="default" w:ascii="Times New Roman" w:hAnsi="Times New Roman" w:cs="Times New Roman"/>
                      <w:color w:val="000000" w:themeColor="text1"/>
                      <w:sz w:val="21"/>
                      <w:szCs w:val="21"/>
                      <w:lang w:eastAsia="zh-CN"/>
                    </w:rPr>
                    <w:t>滤筒</w:t>
                  </w:r>
                  <w:r>
                    <w:rPr>
                      <w:rFonts w:hint="default" w:ascii="Times New Roman" w:hAnsi="Times New Roman" w:cs="Times New Roman"/>
                      <w:color w:val="000000" w:themeColor="text1"/>
                      <w:sz w:val="21"/>
                      <w:szCs w:val="21"/>
                    </w:rPr>
                    <w:t>+脉冲布袋除尘”净化处理后的尾气统一纳入1根15m排气筒（DA002）排</w:t>
                  </w:r>
                  <w:r>
                    <w:rPr>
                      <w:rFonts w:hint="default" w:ascii="Times New Roman" w:hAnsi="Times New Roman" w:cs="Times New Roman"/>
                      <w:color w:val="000000"/>
                      <w:sz w:val="21"/>
                      <w:szCs w:val="21"/>
                    </w:rPr>
                    <w:t>放</w:t>
                  </w:r>
                </w:p>
              </w:tc>
              <w:tc>
                <w:tcPr>
                  <w:tcW w:w="1870"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themeColor="text1"/>
                      <w:sz w:val="21"/>
                      <w:szCs w:val="21"/>
                    </w:rPr>
                    <w:t>喷塑粉尘通过“</w:t>
                  </w:r>
                  <w:r>
                    <w:rPr>
                      <w:rFonts w:hint="default" w:ascii="Times New Roman" w:hAnsi="Times New Roman" w:cs="Times New Roman"/>
                      <w:color w:val="000000" w:themeColor="text1"/>
                      <w:sz w:val="21"/>
                      <w:szCs w:val="21"/>
                      <w:lang w:eastAsia="zh-CN"/>
                    </w:rPr>
                    <w:t>旋风</w:t>
                  </w:r>
                  <w:r>
                    <w:rPr>
                      <w:rFonts w:hint="default" w:ascii="Times New Roman" w:hAnsi="Times New Roman" w:cs="Times New Roman"/>
                      <w:color w:val="000000" w:themeColor="text1"/>
                      <w:sz w:val="21"/>
                      <w:szCs w:val="21"/>
                    </w:rPr>
                    <w:t>+</w:t>
                  </w:r>
                  <w:r>
                    <w:rPr>
                      <w:rFonts w:hint="default" w:ascii="Times New Roman" w:hAnsi="Times New Roman" w:cs="Times New Roman"/>
                      <w:color w:val="000000" w:themeColor="text1"/>
                      <w:sz w:val="21"/>
                      <w:szCs w:val="21"/>
                      <w:lang w:eastAsia="zh-CN"/>
                    </w:rPr>
                    <w:t>滤芯</w:t>
                  </w:r>
                  <w:r>
                    <w:rPr>
                      <w:rFonts w:hint="default" w:ascii="Times New Roman" w:hAnsi="Times New Roman" w:cs="Times New Roman"/>
                      <w:color w:val="000000" w:themeColor="text1"/>
                      <w:sz w:val="21"/>
                      <w:szCs w:val="21"/>
                    </w:rPr>
                    <w:t>除尘”净化处理后的尾气统一纳入1根15m排气筒（DA002）排</w:t>
                  </w:r>
                  <w:r>
                    <w:rPr>
                      <w:rFonts w:hint="default" w:ascii="Times New Roman" w:hAnsi="Times New Roman" w:cs="Times New Roman"/>
                      <w:color w:val="000000"/>
                      <w:sz w:val="21"/>
                      <w:szCs w:val="21"/>
                    </w:rPr>
                    <w:t>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411" w:type="pct"/>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sz w:val="21"/>
                      <w:szCs w:val="21"/>
                    </w:rPr>
                  </w:pPr>
                </w:p>
              </w:tc>
              <w:tc>
                <w:tcPr>
                  <w:tcW w:w="576" w:type="pct"/>
                  <w:vMerge w:val="continue"/>
                  <w:tcBorders>
                    <w:left w:val="nil"/>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sz w:val="21"/>
                      <w:szCs w:val="21"/>
                    </w:rPr>
                  </w:pPr>
                </w:p>
              </w:tc>
              <w:tc>
                <w:tcPr>
                  <w:tcW w:w="2141"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固化有机废气：有机废气由</w:t>
                  </w:r>
                  <w:r>
                    <w:rPr>
                      <w:rFonts w:hint="default" w:ascii="Times New Roman" w:hAnsi="Times New Roman" w:cs="Times New Roman"/>
                      <w:color w:val="000000"/>
                      <w:sz w:val="21"/>
                      <w:szCs w:val="21"/>
                      <w:lang w:eastAsia="zh-CN"/>
                    </w:rPr>
                    <w:t>进</w:t>
                  </w:r>
                  <w:r>
                    <w:rPr>
                      <w:rFonts w:hint="default" w:ascii="Times New Roman" w:hAnsi="Times New Roman" w:cs="Times New Roman"/>
                      <w:color w:val="000000"/>
                      <w:sz w:val="21"/>
                      <w:szCs w:val="21"/>
                    </w:rPr>
                    <w:t>出口上方集气罩收集后经二级活性炭吸附装置净化后最终由1根15m高排气筒（DA003）排放</w:t>
                  </w:r>
                </w:p>
              </w:tc>
              <w:tc>
                <w:tcPr>
                  <w:tcW w:w="1870"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固化有机废气：有机废气由</w:t>
                  </w:r>
                  <w:r>
                    <w:rPr>
                      <w:rFonts w:hint="default" w:ascii="Times New Roman" w:hAnsi="Times New Roman" w:cs="Times New Roman"/>
                      <w:color w:val="000000"/>
                      <w:sz w:val="21"/>
                      <w:szCs w:val="21"/>
                      <w:lang w:eastAsia="zh-CN"/>
                    </w:rPr>
                    <w:t>进</w:t>
                  </w:r>
                  <w:r>
                    <w:rPr>
                      <w:rFonts w:hint="default" w:ascii="Times New Roman" w:hAnsi="Times New Roman" w:cs="Times New Roman"/>
                      <w:color w:val="000000"/>
                      <w:sz w:val="21"/>
                      <w:szCs w:val="21"/>
                    </w:rPr>
                    <w:t>出口上方集气罩收集后经二级活性炭吸附装置净化后最终由1根15m高排气筒（DA003）排放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7" w:hRule="atLeast"/>
                <w:jc w:val="center"/>
              </w:trPr>
              <w:tc>
                <w:tcPr>
                  <w:tcW w:w="411" w:type="pct"/>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sz w:val="21"/>
                      <w:szCs w:val="21"/>
                    </w:rPr>
                  </w:pPr>
                </w:p>
              </w:tc>
              <w:tc>
                <w:tcPr>
                  <w:tcW w:w="576" w:type="pct"/>
                  <w:vMerge w:val="continue"/>
                  <w:tcBorders>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000000"/>
                      <w:sz w:val="21"/>
                      <w:szCs w:val="21"/>
                    </w:rPr>
                  </w:pPr>
                </w:p>
              </w:tc>
              <w:tc>
                <w:tcPr>
                  <w:tcW w:w="2141"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燃气燃烧废气</w:t>
                  </w:r>
                  <w:r>
                    <w:rPr>
                      <w:rFonts w:hint="eastAsia" w:cs="Times New Roman"/>
                      <w:sz w:val="21"/>
                      <w:szCs w:val="21"/>
                      <w:lang w:eastAsia="zh-CN"/>
                    </w:rPr>
                    <w:t>配套低氮燃烧设备，</w:t>
                  </w:r>
                  <w:r>
                    <w:rPr>
                      <w:rFonts w:hint="default" w:ascii="Times New Roman" w:hAnsi="Times New Roman" w:cs="Times New Roman"/>
                      <w:sz w:val="21"/>
                      <w:szCs w:val="21"/>
                      <w:lang w:eastAsia="zh-CN"/>
                    </w:rPr>
                    <w:t>经</w:t>
                  </w:r>
                  <w:r>
                    <w:rPr>
                      <w:rFonts w:hint="default" w:ascii="Times New Roman" w:hAnsi="Times New Roman" w:cs="Times New Roman"/>
                      <w:sz w:val="21"/>
                      <w:szCs w:val="21"/>
                    </w:rPr>
                    <w:t>1根8m排气筒排放</w:t>
                  </w:r>
                </w:p>
              </w:tc>
              <w:tc>
                <w:tcPr>
                  <w:tcW w:w="1870"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eastAsiaTheme="minorEastAsia"/>
                      <w:color w:val="000000"/>
                      <w:sz w:val="21"/>
                      <w:szCs w:val="21"/>
                      <w:lang w:val="en-US" w:eastAsia="zh-CN"/>
                    </w:rPr>
                  </w:pPr>
                  <w:r>
                    <w:rPr>
                      <w:rFonts w:hint="default" w:ascii="Times New Roman" w:hAnsi="Times New Roman" w:cs="Times New Roman"/>
                      <w:color w:val="000000"/>
                      <w:sz w:val="21"/>
                      <w:szCs w:val="21"/>
                      <w:lang w:eastAsia="zh-CN"/>
                    </w:rPr>
                    <w:t>实际采用生物质炉窑供热，生物质燃烧废气经旋风</w:t>
                  </w:r>
                  <w:r>
                    <w:rPr>
                      <w:rFonts w:hint="default" w:ascii="Times New Roman" w:hAnsi="Times New Roman" w:cs="Times New Roman"/>
                      <w:color w:val="000000"/>
                      <w:sz w:val="21"/>
                      <w:szCs w:val="21"/>
                      <w:lang w:val="en-US" w:eastAsia="zh-CN"/>
                    </w:rPr>
                    <w:t>+水膜除尘器处理后由1根15m高排气筒排放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4" w:hRule="atLeast"/>
                <w:jc w:val="center"/>
              </w:trPr>
              <w:tc>
                <w:tcPr>
                  <w:tcW w:w="411" w:type="pct"/>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rPr>
                  </w:pPr>
                </w:p>
              </w:tc>
              <w:tc>
                <w:tcPr>
                  <w:tcW w:w="576"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噪声治理</w:t>
                  </w:r>
                </w:p>
              </w:tc>
              <w:tc>
                <w:tcPr>
                  <w:tcW w:w="2141"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选用优良低噪设备，合理厂房布局，采取相应的减振、消声、隔声等降噪措施</w:t>
                  </w:r>
                </w:p>
              </w:tc>
              <w:tc>
                <w:tcPr>
                  <w:tcW w:w="1870"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选用优良低噪设备，合理厂房布局，采取相应的减振、消声、隔声等降噪措施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3" w:hRule="atLeast"/>
                <w:jc w:val="center"/>
              </w:trPr>
              <w:tc>
                <w:tcPr>
                  <w:tcW w:w="411" w:type="pct"/>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rPr>
                  </w:pPr>
                </w:p>
              </w:tc>
              <w:tc>
                <w:tcPr>
                  <w:tcW w:w="576" w:type="pct"/>
                  <w:vMerge w:val="restart"/>
                  <w:tcBorders>
                    <w:top w:val="nil"/>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固废治理</w:t>
                  </w:r>
                </w:p>
              </w:tc>
              <w:tc>
                <w:tcPr>
                  <w:tcW w:w="2141" w:type="pct"/>
                  <w:tcBorders>
                    <w:top w:val="single" w:color="auto" w:sz="4" w:space="0"/>
                    <w:left w:val="nil"/>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一般</w:t>
                  </w:r>
                  <w:r>
                    <w:rPr>
                      <w:rFonts w:hint="default" w:ascii="Times New Roman" w:hAnsi="Times New Roman" w:cs="Times New Roman"/>
                      <w:sz w:val="21"/>
                      <w:szCs w:val="21"/>
                      <w:lang w:eastAsia="zh-CN"/>
                    </w:rPr>
                    <w:t>工业</w:t>
                  </w:r>
                  <w:r>
                    <w:rPr>
                      <w:rFonts w:hint="default" w:ascii="Times New Roman" w:hAnsi="Times New Roman" w:cs="Times New Roman"/>
                      <w:sz w:val="21"/>
                      <w:szCs w:val="21"/>
                    </w:rPr>
                    <w:t>固废：设置1间10m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一般固废临时存放场所，集中收集后定期外售</w:t>
                  </w:r>
                </w:p>
              </w:tc>
              <w:tc>
                <w:tcPr>
                  <w:tcW w:w="3389" w:type="dxa"/>
                  <w:tcBorders>
                    <w:top w:val="single" w:color="auto" w:sz="4" w:space="0"/>
                    <w:left w:val="nil"/>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一般</w:t>
                  </w:r>
                  <w:r>
                    <w:rPr>
                      <w:rFonts w:hint="default" w:ascii="Times New Roman" w:hAnsi="Times New Roman" w:cs="Times New Roman"/>
                      <w:sz w:val="21"/>
                      <w:szCs w:val="21"/>
                      <w:lang w:eastAsia="zh-CN"/>
                    </w:rPr>
                    <w:t>工业</w:t>
                  </w:r>
                  <w:r>
                    <w:rPr>
                      <w:rFonts w:hint="default" w:ascii="Times New Roman" w:hAnsi="Times New Roman" w:cs="Times New Roman"/>
                      <w:sz w:val="21"/>
                      <w:szCs w:val="21"/>
                    </w:rPr>
                    <w:t>固废：设置1间10m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一般固废临时存放场所，集中收集后定期外售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3" w:hRule="atLeast"/>
                <w:jc w:val="center"/>
              </w:trPr>
              <w:tc>
                <w:tcPr>
                  <w:tcW w:w="411" w:type="pct"/>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rPr>
                  </w:pPr>
                </w:p>
              </w:tc>
              <w:tc>
                <w:tcPr>
                  <w:tcW w:w="576" w:type="pct"/>
                  <w:vMerge w:val="continue"/>
                  <w:tcBorders>
                    <w:left w:val="nil"/>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p>
              </w:tc>
              <w:tc>
                <w:tcPr>
                  <w:tcW w:w="2141" w:type="pct"/>
                  <w:tcBorders>
                    <w:top w:val="single" w:color="auto" w:sz="4" w:space="0"/>
                    <w:left w:val="nil"/>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危险固废：设置1间10m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危险固废临时存放场所，集中收集后交由有危废资质单位处理</w:t>
                  </w:r>
                </w:p>
              </w:tc>
              <w:tc>
                <w:tcPr>
                  <w:tcW w:w="3389" w:type="dxa"/>
                  <w:tcBorders>
                    <w:top w:val="single" w:color="auto" w:sz="4" w:space="0"/>
                    <w:left w:val="nil"/>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危险固废：设置1间10m</w:t>
                  </w:r>
                  <w:r>
                    <w:rPr>
                      <w:rFonts w:hint="default" w:ascii="Times New Roman" w:hAnsi="Times New Roman" w:cs="Times New Roman"/>
                      <w:sz w:val="21"/>
                      <w:szCs w:val="21"/>
                      <w:vertAlign w:val="superscript"/>
                    </w:rPr>
                    <w:t>2</w:t>
                  </w:r>
                  <w:r>
                    <w:rPr>
                      <w:rFonts w:hint="default" w:ascii="Times New Roman" w:hAnsi="Times New Roman" w:cs="Times New Roman"/>
                      <w:sz w:val="21"/>
                      <w:szCs w:val="21"/>
                    </w:rPr>
                    <w:t>危险固废临时存放场所，集中收集后交由有危废资质单位处理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4" w:hRule="atLeast"/>
                <w:jc w:val="center"/>
              </w:trPr>
              <w:tc>
                <w:tcPr>
                  <w:tcW w:w="411" w:type="pct"/>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rPr>
                  </w:pPr>
                </w:p>
              </w:tc>
              <w:tc>
                <w:tcPr>
                  <w:tcW w:w="576" w:type="pct"/>
                  <w:vMerge w:val="continue"/>
                  <w:tcBorders>
                    <w:top w:val="nil"/>
                    <w:left w:val="nil"/>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rPr>
                  </w:pPr>
                </w:p>
              </w:tc>
              <w:tc>
                <w:tcPr>
                  <w:tcW w:w="2141" w:type="pct"/>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生活垃圾：集中收集，交由环卫部门统一清运</w:t>
                  </w:r>
                </w:p>
              </w:tc>
              <w:tc>
                <w:tcPr>
                  <w:tcW w:w="3389" w:type="dxa"/>
                  <w:tcBorders>
                    <w:top w:val="single" w:color="auto" w:sz="4" w:space="0"/>
                    <w:left w:val="nil"/>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生活垃圾：集中收集，交由环卫部门统一清运</w:t>
                  </w:r>
                </w:p>
              </w:tc>
            </w:tr>
          </w:tbl>
          <w:p>
            <w:pPr>
              <w:spacing w:line="360" w:lineRule="auto"/>
              <w:ind w:firstLine="482" w:firstLineChars="200"/>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（3）产品方案</w:t>
            </w:r>
          </w:p>
          <w:p>
            <w:pPr>
              <w:spacing w:line="240" w:lineRule="auto"/>
              <w:ind w:firstLine="482"/>
              <w:jc w:val="center"/>
              <w:rPr>
                <w:rFonts w:hint="default" w:ascii="Times New Roman" w:hAnsi="Times New Roman" w:cs="Times New Roman"/>
                <w:b/>
                <w:sz w:val="24"/>
                <w:szCs w:val="32"/>
              </w:rPr>
            </w:pPr>
            <w:r>
              <w:rPr>
                <w:rFonts w:hint="default" w:ascii="Times New Roman" w:hAnsi="Times New Roman" w:cs="Times New Roman"/>
                <w:b/>
                <w:sz w:val="24"/>
                <w:szCs w:val="32"/>
              </w:rPr>
              <w:t>表</w:t>
            </w:r>
            <w:r>
              <w:rPr>
                <w:rFonts w:hint="default" w:ascii="Times New Roman" w:hAnsi="Times New Roman" w:cs="Times New Roman"/>
                <w:b/>
                <w:sz w:val="24"/>
                <w:szCs w:val="32"/>
                <w:lang w:val="en-US" w:eastAsia="zh-CN"/>
              </w:rPr>
              <w:t>2.2</w:t>
            </w:r>
            <w:r>
              <w:rPr>
                <w:rFonts w:hint="default" w:ascii="Times New Roman" w:hAnsi="Times New Roman" w:cs="Times New Roman"/>
                <w:b/>
                <w:sz w:val="24"/>
                <w:szCs w:val="32"/>
              </w:rPr>
              <w:t>项目主要产品方案一览表</w:t>
            </w:r>
          </w:p>
          <w:tbl>
            <w:tblPr>
              <w:tblStyle w:val="17"/>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281"/>
              <w:gridCol w:w="1660"/>
              <w:gridCol w:w="3236"/>
              <w:gridCol w:w="288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90" w:hRule="atLeast"/>
              </w:trPr>
              <w:tc>
                <w:tcPr>
                  <w:tcW w:w="70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pacing w:val="0"/>
                      <w:w w:val="100"/>
                      <w:sz w:val="21"/>
                      <w:szCs w:val="21"/>
                    </w:rPr>
                  </w:pPr>
                  <w:r>
                    <w:rPr>
                      <w:rFonts w:hint="default" w:ascii="Times New Roman" w:hAnsi="Times New Roman" w:eastAsia="宋体" w:cs="Times New Roman"/>
                      <w:b w:val="0"/>
                      <w:bCs/>
                      <w:spacing w:val="0"/>
                      <w:w w:val="100"/>
                      <w:sz w:val="21"/>
                      <w:szCs w:val="21"/>
                    </w:rPr>
                    <w:t>序号</w:t>
                  </w:r>
                </w:p>
              </w:tc>
              <w:tc>
                <w:tcPr>
                  <w:tcW w:w="916"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pacing w:val="0"/>
                      <w:w w:val="100"/>
                      <w:sz w:val="21"/>
                      <w:szCs w:val="21"/>
                    </w:rPr>
                  </w:pPr>
                  <w:r>
                    <w:rPr>
                      <w:rFonts w:hint="default" w:ascii="Times New Roman" w:hAnsi="Times New Roman" w:eastAsia="宋体" w:cs="Times New Roman"/>
                      <w:b w:val="0"/>
                      <w:bCs/>
                      <w:spacing w:val="0"/>
                      <w:w w:val="100"/>
                      <w:sz w:val="21"/>
                      <w:szCs w:val="21"/>
                    </w:rPr>
                    <w:t>产品名称</w:t>
                  </w:r>
                </w:p>
              </w:tc>
              <w:tc>
                <w:tcPr>
                  <w:tcW w:w="1786"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pacing w:val="0"/>
                      <w:w w:val="100"/>
                      <w:sz w:val="21"/>
                      <w:szCs w:val="21"/>
                    </w:rPr>
                  </w:pPr>
                  <w:r>
                    <w:rPr>
                      <w:rFonts w:hint="default" w:ascii="Times New Roman" w:hAnsi="Times New Roman" w:eastAsia="宋体" w:cs="Times New Roman"/>
                      <w:b w:val="0"/>
                      <w:bCs/>
                      <w:spacing w:val="0"/>
                      <w:w w:val="100"/>
                      <w:sz w:val="21"/>
                      <w:szCs w:val="21"/>
                      <w:lang w:eastAsia="zh-CN"/>
                    </w:rPr>
                    <w:t>环评申报</w:t>
                  </w:r>
                  <w:r>
                    <w:rPr>
                      <w:rFonts w:hint="default" w:ascii="Times New Roman" w:hAnsi="Times New Roman" w:eastAsia="宋体" w:cs="Times New Roman"/>
                      <w:b w:val="0"/>
                      <w:bCs/>
                      <w:spacing w:val="0"/>
                      <w:w w:val="100"/>
                      <w:sz w:val="21"/>
                      <w:szCs w:val="21"/>
                    </w:rPr>
                    <w:t>年产量</w:t>
                  </w:r>
                </w:p>
              </w:tc>
              <w:tc>
                <w:tcPr>
                  <w:tcW w:w="1590"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b w:val="0"/>
                      <w:bCs/>
                      <w:spacing w:val="0"/>
                      <w:w w:val="100"/>
                      <w:sz w:val="21"/>
                      <w:szCs w:val="21"/>
                      <w:lang w:val="en-US" w:eastAsia="zh-CN"/>
                    </w:rPr>
                  </w:pPr>
                  <w:r>
                    <w:rPr>
                      <w:rFonts w:hint="default" w:ascii="Times New Roman" w:hAnsi="Times New Roman" w:eastAsia="宋体" w:cs="Times New Roman"/>
                      <w:b w:val="0"/>
                      <w:bCs/>
                      <w:spacing w:val="0"/>
                      <w:w w:val="100"/>
                      <w:sz w:val="21"/>
                      <w:szCs w:val="21"/>
                      <w:lang w:eastAsia="zh-CN"/>
                    </w:rPr>
                    <w:t>实际年产量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0" w:hRule="atLeast"/>
              </w:trPr>
              <w:tc>
                <w:tcPr>
                  <w:tcW w:w="707"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w w:val="100"/>
                      <w:sz w:val="21"/>
                      <w:szCs w:val="21"/>
                    </w:rPr>
                  </w:pPr>
                  <w:r>
                    <w:rPr>
                      <w:rFonts w:hint="default" w:ascii="Times New Roman" w:hAnsi="Times New Roman" w:eastAsia="宋体" w:cs="Times New Roman"/>
                      <w:spacing w:val="0"/>
                      <w:w w:val="100"/>
                      <w:sz w:val="21"/>
                      <w:szCs w:val="21"/>
                    </w:rPr>
                    <w:t>1</w:t>
                  </w:r>
                </w:p>
              </w:tc>
              <w:tc>
                <w:tcPr>
                  <w:tcW w:w="916"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w w:val="100"/>
                      <w:sz w:val="21"/>
                      <w:szCs w:val="21"/>
                    </w:rPr>
                  </w:pPr>
                  <w:r>
                    <w:rPr>
                      <w:rFonts w:hint="default" w:ascii="Times New Roman" w:hAnsi="Times New Roman" w:eastAsia="宋体" w:cs="Times New Roman"/>
                      <w:spacing w:val="0"/>
                      <w:w w:val="100"/>
                      <w:sz w:val="21"/>
                      <w:szCs w:val="21"/>
                    </w:rPr>
                    <w:t>翻新铝合金模板</w:t>
                  </w:r>
                </w:p>
              </w:tc>
              <w:tc>
                <w:tcPr>
                  <w:tcW w:w="1786"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w w:val="100"/>
                      <w:sz w:val="21"/>
                      <w:szCs w:val="21"/>
                    </w:rPr>
                  </w:pPr>
                  <w:r>
                    <w:rPr>
                      <w:rFonts w:hint="default" w:ascii="Times New Roman" w:hAnsi="Times New Roman" w:cs="Times New Roman"/>
                      <w:bCs/>
                      <w:sz w:val="21"/>
                      <w:szCs w:val="21"/>
                      <w:lang w:val="en-US" w:eastAsia="zh-CN"/>
                    </w:rPr>
                    <w:t>5</w:t>
                  </w:r>
                  <w:r>
                    <w:rPr>
                      <w:rFonts w:hint="default" w:ascii="Times New Roman" w:hAnsi="Times New Roman" w:cs="Times New Roman"/>
                      <w:bCs/>
                      <w:sz w:val="21"/>
                      <w:szCs w:val="21"/>
                    </w:rPr>
                    <w:t>000m</w:t>
                  </w:r>
                  <w:r>
                    <w:rPr>
                      <w:rFonts w:hint="default" w:ascii="Times New Roman" w:hAnsi="Times New Roman" w:cs="Times New Roman"/>
                      <w:bCs/>
                      <w:sz w:val="21"/>
                      <w:szCs w:val="21"/>
                      <w:vertAlign w:val="superscript"/>
                    </w:rPr>
                    <w:t>2</w:t>
                  </w:r>
                </w:p>
              </w:tc>
              <w:tc>
                <w:tcPr>
                  <w:tcW w:w="1590" w:type="pct"/>
                  <w:vAlign w:val="center"/>
                </w:tcPr>
                <w:p>
                  <w:pPr>
                    <w:pStyle w:val="44"/>
                    <w:keepNext w:val="0"/>
                    <w:keepLines w:val="0"/>
                    <w:pageBreakBefore w:val="0"/>
                    <w:widowControl w:val="0"/>
                    <w:kinsoku/>
                    <w:wordWrap/>
                    <w:overflowPunct/>
                    <w:topLinePunct w:val="0"/>
                    <w:autoSpaceDE/>
                    <w:autoSpaceDN/>
                    <w:bidi w:val="0"/>
                    <w:adjustRightInd/>
                    <w:snapToGrid/>
                    <w:spacing w:line="240" w:lineRule="auto"/>
                    <w:ind w:left="0" w:right="0" w:firstLine="0"/>
                    <w:jc w:val="center"/>
                    <w:textAlignment w:val="auto"/>
                    <w:rPr>
                      <w:rFonts w:hint="default" w:ascii="Times New Roman" w:hAnsi="Times New Roman" w:eastAsia="宋体" w:cs="Times New Roman"/>
                      <w:spacing w:val="0"/>
                      <w:w w:val="100"/>
                      <w:sz w:val="21"/>
                      <w:szCs w:val="21"/>
                    </w:rPr>
                  </w:pPr>
                  <w:r>
                    <w:rPr>
                      <w:rFonts w:hint="default" w:ascii="Times New Roman" w:hAnsi="Times New Roman" w:cs="Times New Roman"/>
                      <w:bCs/>
                      <w:sz w:val="21"/>
                      <w:szCs w:val="21"/>
                      <w:lang w:val="en-US" w:eastAsia="zh-CN"/>
                    </w:rPr>
                    <w:t>5</w:t>
                  </w:r>
                  <w:r>
                    <w:rPr>
                      <w:rFonts w:hint="default" w:ascii="Times New Roman" w:hAnsi="Times New Roman" w:cs="Times New Roman"/>
                      <w:bCs/>
                      <w:sz w:val="21"/>
                      <w:szCs w:val="21"/>
                    </w:rPr>
                    <w:t>000m</w:t>
                  </w:r>
                  <w:r>
                    <w:rPr>
                      <w:rFonts w:hint="default" w:ascii="Times New Roman" w:hAnsi="Times New Roman" w:cs="Times New Roman"/>
                      <w:bCs/>
                      <w:sz w:val="21"/>
                      <w:szCs w:val="21"/>
                      <w:vertAlign w:val="superscript"/>
                    </w:rPr>
                    <w:t>2</w:t>
                  </w:r>
                </w:p>
              </w:tc>
            </w:tr>
          </w:tbl>
          <w:p>
            <w:pPr>
              <w:spacing w:line="360" w:lineRule="auto"/>
              <w:ind w:firstLine="482" w:firstLineChars="200"/>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（4）生产设备</w:t>
            </w:r>
          </w:p>
          <w:p>
            <w:pPr>
              <w:widowControl/>
              <w:spacing w:line="360" w:lineRule="auto"/>
              <w:jc w:val="center"/>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 xml:space="preserve"> 表2.3 设备一览表 </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autofit"/>
              <w:tblCellMar>
                <w:top w:w="0" w:type="dxa"/>
                <w:left w:w="108" w:type="dxa"/>
                <w:bottom w:w="0" w:type="dxa"/>
                <w:right w:w="108" w:type="dxa"/>
              </w:tblCellMar>
            </w:tblPr>
            <w:tblGrid>
              <w:gridCol w:w="513"/>
              <w:gridCol w:w="2347"/>
              <w:gridCol w:w="3340"/>
              <w:gridCol w:w="968"/>
              <w:gridCol w:w="1162"/>
              <w:gridCol w:w="7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CellMar>
                  <w:top w:w="0" w:type="dxa"/>
                  <w:left w:w="108" w:type="dxa"/>
                  <w:bottom w:w="0" w:type="dxa"/>
                  <w:right w:w="108" w:type="dxa"/>
                </w:tblCellMar>
              </w:tblPrEx>
              <w:trPr>
                <w:trHeight w:val="279" w:hRule="atLeast"/>
                <w:jc w:val="center"/>
              </w:trPr>
              <w:tc>
                <w:tcPr>
                  <w:tcW w:w="283"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序号</w:t>
                  </w:r>
                </w:p>
              </w:tc>
              <w:tc>
                <w:tcPr>
                  <w:tcW w:w="1295"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名称</w:t>
                  </w:r>
                </w:p>
              </w:tc>
              <w:tc>
                <w:tcPr>
                  <w:tcW w:w="1843"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型号规格</w:t>
                  </w:r>
                </w:p>
              </w:tc>
              <w:tc>
                <w:tcPr>
                  <w:tcW w:w="534"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bCs/>
                      <w:color w:val="000000"/>
                      <w:sz w:val="21"/>
                      <w:szCs w:val="21"/>
                      <w:lang w:eastAsia="zh-CN"/>
                    </w:rPr>
                    <w:t>环评申报</w:t>
                  </w:r>
                  <w:r>
                    <w:rPr>
                      <w:rFonts w:hint="default" w:ascii="Times New Roman" w:hAnsi="Times New Roman" w:cs="Times New Roman"/>
                      <w:bCs/>
                      <w:color w:val="000000"/>
                      <w:sz w:val="21"/>
                      <w:szCs w:val="21"/>
                    </w:rPr>
                    <w:t>数量</w:t>
                  </w:r>
                </w:p>
              </w:tc>
              <w:tc>
                <w:tcPr>
                  <w:tcW w:w="641"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bCs/>
                      <w:color w:val="000000"/>
                      <w:sz w:val="21"/>
                      <w:szCs w:val="21"/>
                      <w:lang w:eastAsia="zh-CN"/>
                    </w:rPr>
                    <w:t>实际投产</w:t>
                  </w:r>
                  <w:r>
                    <w:rPr>
                      <w:rFonts w:hint="default" w:ascii="Times New Roman" w:hAnsi="Times New Roman" w:cs="Times New Roman"/>
                      <w:bCs/>
                      <w:color w:val="000000"/>
                      <w:sz w:val="21"/>
                      <w:szCs w:val="21"/>
                    </w:rPr>
                    <w:t>数量</w:t>
                  </w:r>
                </w:p>
              </w:tc>
              <w:tc>
                <w:tcPr>
                  <w:tcW w:w="401" w:type="pct"/>
                  <w:shd w:val="clear" w:color="auto" w:fill="FFFFFF" w:themeFill="background1"/>
                  <w:vAlign w:val="center"/>
                </w:tcPr>
                <w:p>
                  <w:pPr>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283"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1</w:t>
                  </w:r>
                </w:p>
              </w:tc>
              <w:tc>
                <w:tcPr>
                  <w:tcW w:w="1295"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铝模网带通过式抛丸机</w:t>
                  </w:r>
                </w:p>
              </w:tc>
              <w:tc>
                <w:tcPr>
                  <w:tcW w:w="1843"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GDQ1800-10</w:t>
                  </w:r>
                </w:p>
              </w:tc>
              <w:tc>
                <w:tcPr>
                  <w:tcW w:w="534"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1</w:t>
                  </w:r>
                </w:p>
              </w:tc>
              <w:tc>
                <w:tcPr>
                  <w:tcW w:w="641"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1</w:t>
                  </w:r>
                </w:p>
              </w:tc>
              <w:tc>
                <w:tcPr>
                  <w:tcW w:w="401" w:type="pct"/>
                  <w:vMerge w:val="restar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9" w:hRule="atLeast"/>
                <w:jc w:val="center"/>
              </w:trPr>
              <w:tc>
                <w:tcPr>
                  <w:tcW w:w="283" w:type="pct"/>
                  <w:shd w:val="clear" w:color="auto" w:fill="FFFFFF" w:themeFill="background1"/>
                  <w:vAlign w:val="center"/>
                </w:tcPr>
                <w:p>
                  <w:pPr>
                    <w:spacing w:line="240" w:lineRule="auto"/>
                    <w:ind w:firstLine="0" w:firstLine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2</w:t>
                  </w:r>
                </w:p>
              </w:tc>
              <w:tc>
                <w:tcPr>
                  <w:tcW w:w="1295" w:type="pct"/>
                  <w:shd w:val="clear" w:color="auto" w:fill="FFFFFF" w:themeFill="background1"/>
                  <w:vAlign w:val="center"/>
                </w:tcPr>
                <w:p>
                  <w:pPr>
                    <w:spacing w:line="240" w:lineRule="auto"/>
                    <w:ind w:firstLine="0" w:firstLineChars="0"/>
                    <w:jc w:val="center"/>
                    <w:rPr>
                      <w:rFonts w:hint="default" w:ascii="Times New Roman" w:hAnsi="Times New Roman" w:eastAsia="宋体" w:cs="Times New Roman"/>
                      <w:color w:val="000000"/>
                      <w:sz w:val="21"/>
                      <w:szCs w:val="21"/>
                      <w:lang w:eastAsia="zh-CN"/>
                    </w:rPr>
                  </w:pPr>
                  <w:r>
                    <w:rPr>
                      <w:rFonts w:hint="default" w:ascii="Times New Roman" w:hAnsi="Times New Roman" w:cs="Times New Roman"/>
                      <w:color w:val="000000"/>
                      <w:sz w:val="21"/>
                      <w:szCs w:val="21"/>
                      <w:lang w:eastAsia="zh-CN"/>
                    </w:rPr>
                    <w:t>喷塑设备</w:t>
                  </w:r>
                </w:p>
              </w:tc>
              <w:tc>
                <w:tcPr>
                  <w:tcW w:w="1843" w:type="pct"/>
                  <w:shd w:val="clear" w:color="auto" w:fill="FFFFFF" w:themeFill="background1"/>
                  <w:vAlign w:val="center"/>
                </w:tcPr>
                <w:p>
                  <w:pPr>
                    <w:spacing w:line="240" w:lineRule="auto"/>
                    <w:ind w:firstLine="0" w:firstLine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包含高压除尘室、全自动喷粉机、粉末固化炉、烘干炉及输送设备</w:t>
                  </w:r>
                </w:p>
              </w:tc>
              <w:tc>
                <w:tcPr>
                  <w:tcW w:w="534" w:type="pct"/>
                  <w:shd w:val="clear" w:color="auto" w:fill="FFFFFF" w:themeFill="background1"/>
                  <w:vAlign w:val="center"/>
                </w:tcPr>
                <w:p>
                  <w:pPr>
                    <w:spacing w:line="240" w:lineRule="auto"/>
                    <w:ind w:firstLine="0" w:firstLine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1</w:t>
                  </w:r>
                </w:p>
              </w:tc>
              <w:tc>
                <w:tcPr>
                  <w:tcW w:w="641" w:type="pct"/>
                  <w:shd w:val="clear" w:color="auto" w:fill="FFFFFF" w:themeFill="background1"/>
                  <w:vAlign w:val="center"/>
                </w:tcPr>
                <w:p>
                  <w:pPr>
                    <w:spacing w:line="240" w:lineRule="auto"/>
                    <w:ind w:firstLine="0" w:firstLine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1</w:t>
                  </w:r>
                </w:p>
              </w:tc>
              <w:tc>
                <w:tcPr>
                  <w:tcW w:w="401" w:type="pct"/>
                  <w:vMerge w:val="continue"/>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bl>
          <w:p>
            <w:pPr>
              <w:widowControl/>
              <w:spacing w:line="360" w:lineRule="auto"/>
              <w:jc w:val="left"/>
              <w:rPr>
                <w:rFonts w:hint="default" w:ascii="Times New Roman" w:hAnsi="Times New Roman" w:cs="Times New Roman"/>
                <w:b/>
                <w:bCs/>
                <w:color w:val="000000" w:themeColor="text1"/>
                <w:sz w:val="24"/>
                <w:szCs w:val="32"/>
              </w:rPr>
            </w:pPr>
            <w:r>
              <w:rPr>
                <w:rFonts w:hint="default" w:ascii="Times New Roman" w:hAnsi="Times New Roman" w:cs="Times New Roman"/>
                <w:b/>
                <w:bCs/>
                <w:color w:val="000000" w:themeColor="text1"/>
                <w:sz w:val="24"/>
                <w:szCs w:val="32"/>
              </w:rPr>
              <w:t>3、原辅材料消耗及水平衡</w:t>
            </w:r>
          </w:p>
          <w:p>
            <w:pPr>
              <w:widowControl/>
              <w:spacing w:line="360" w:lineRule="auto"/>
              <w:ind w:firstLine="480" w:firstLineChars="200"/>
              <w:jc w:val="left"/>
              <w:rPr>
                <w:rFonts w:hint="default" w:ascii="Times New Roman" w:hAnsi="Times New Roman" w:cs="Times New Roman"/>
                <w:color w:val="000000" w:themeColor="text1"/>
                <w:sz w:val="24"/>
                <w:szCs w:val="32"/>
              </w:rPr>
            </w:pPr>
            <w:r>
              <w:rPr>
                <w:rFonts w:hint="default" w:ascii="Times New Roman" w:hAnsi="Times New Roman" w:cs="Times New Roman"/>
                <w:color w:val="000000" w:themeColor="text1"/>
                <w:sz w:val="24"/>
                <w:szCs w:val="32"/>
              </w:rPr>
              <w:t>（1）原辅材料消耗情况</w:t>
            </w:r>
          </w:p>
          <w:p>
            <w:pPr>
              <w:widowControl/>
              <w:spacing w:line="360" w:lineRule="auto"/>
              <w:jc w:val="center"/>
              <w:rPr>
                <w:rFonts w:hint="default" w:ascii="Times New Roman" w:hAnsi="Times New Roman" w:cs="Times New Roman"/>
                <w:b/>
                <w:bCs/>
                <w:color w:val="000000" w:themeColor="text1"/>
                <w:sz w:val="24"/>
                <w:szCs w:val="32"/>
              </w:rPr>
            </w:pPr>
            <w:r>
              <w:rPr>
                <w:rFonts w:hint="default" w:ascii="Times New Roman" w:hAnsi="Times New Roman" w:cs="Times New Roman"/>
                <w:color w:val="000000" w:themeColor="text1"/>
                <w:sz w:val="24"/>
                <w:szCs w:val="32"/>
              </w:rPr>
              <w:t xml:space="preserve"> </w:t>
            </w:r>
            <w:r>
              <w:rPr>
                <w:rFonts w:hint="default" w:ascii="Times New Roman" w:hAnsi="Times New Roman" w:cs="Times New Roman"/>
                <w:b/>
                <w:bCs/>
                <w:color w:val="000000" w:themeColor="text1"/>
                <w:sz w:val="24"/>
                <w:szCs w:val="32"/>
              </w:rPr>
              <w:t>表2.4  原辅材料消耗情况一览表</w:t>
            </w:r>
          </w:p>
          <w:tbl>
            <w:tblPr>
              <w:tblStyle w:val="18"/>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4"/>
              <w:gridCol w:w="1969"/>
              <w:gridCol w:w="2183"/>
              <w:gridCol w:w="2183"/>
              <w:gridCol w:w="17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2" w:hRule="atLeast"/>
              </w:trPr>
              <w:tc>
                <w:tcPr>
                  <w:tcW w:w="510" w:type="pct"/>
                  <w:vAlign w:val="center"/>
                </w:tcPr>
                <w:p>
                  <w:pPr>
                    <w:widowControl/>
                    <w:spacing w:line="240" w:lineRule="auto"/>
                    <w:ind w:firstLine="0" w:firstLineChars="0"/>
                    <w:jc w:val="center"/>
                    <w:rPr>
                      <w:rFonts w:hint="default" w:ascii="Times New Roman" w:hAnsi="Times New Roman" w:cs="Times New Roman"/>
                      <w:bCs/>
                      <w:sz w:val="21"/>
                      <w:szCs w:val="21"/>
                    </w:rPr>
                  </w:pPr>
                  <w:r>
                    <w:rPr>
                      <w:rFonts w:hint="default" w:ascii="Times New Roman" w:hAnsi="Times New Roman" w:cs="Times New Roman"/>
                      <w:bCs/>
                      <w:sz w:val="21"/>
                      <w:szCs w:val="21"/>
                    </w:rPr>
                    <w:t>序号</w:t>
                  </w:r>
                </w:p>
              </w:tc>
              <w:tc>
                <w:tcPr>
                  <w:tcW w:w="1087" w:type="pct"/>
                  <w:vAlign w:val="center"/>
                </w:tcPr>
                <w:p>
                  <w:pPr>
                    <w:widowControl/>
                    <w:spacing w:line="240" w:lineRule="auto"/>
                    <w:ind w:firstLine="0" w:firstLineChars="0"/>
                    <w:jc w:val="center"/>
                    <w:rPr>
                      <w:rFonts w:hint="default" w:ascii="Times New Roman" w:hAnsi="Times New Roman" w:cs="Times New Roman"/>
                      <w:bCs/>
                      <w:sz w:val="21"/>
                      <w:szCs w:val="21"/>
                    </w:rPr>
                  </w:pPr>
                  <w:r>
                    <w:rPr>
                      <w:rFonts w:hint="default" w:ascii="Times New Roman" w:hAnsi="Times New Roman" w:cs="Times New Roman"/>
                      <w:bCs/>
                      <w:sz w:val="21"/>
                      <w:szCs w:val="21"/>
                    </w:rPr>
                    <w:t>名称</w:t>
                  </w:r>
                </w:p>
              </w:tc>
              <w:tc>
                <w:tcPr>
                  <w:tcW w:w="1205" w:type="pct"/>
                  <w:vAlign w:val="center"/>
                </w:tcPr>
                <w:p>
                  <w:pPr>
                    <w:widowControl/>
                    <w:spacing w:line="240" w:lineRule="auto"/>
                    <w:ind w:firstLine="0" w:firstLineChars="0"/>
                    <w:jc w:val="center"/>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bCs/>
                      <w:sz w:val="21"/>
                      <w:szCs w:val="21"/>
                    </w:rPr>
                    <w:t>单位</w:t>
                  </w:r>
                </w:p>
              </w:tc>
              <w:tc>
                <w:tcPr>
                  <w:tcW w:w="1205" w:type="pct"/>
                  <w:vAlign w:val="center"/>
                </w:tcPr>
                <w:p>
                  <w:pPr>
                    <w:spacing w:line="240" w:lineRule="auto"/>
                    <w:ind w:firstLine="0" w:firstLineChars="0"/>
                    <w:jc w:val="center"/>
                    <w:rPr>
                      <w:rFonts w:hint="default" w:ascii="Times New Roman" w:hAnsi="Times New Roman" w:cs="Times New Roman" w:eastAsiaTheme="minorEastAsia"/>
                      <w:bCs/>
                      <w:color w:val="auto"/>
                      <w:kern w:val="2"/>
                      <w:sz w:val="21"/>
                      <w:szCs w:val="21"/>
                      <w:lang w:val="en-US" w:eastAsia="zh-CN" w:bidi="ar-SA"/>
                    </w:rPr>
                  </w:pPr>
                  <w:r>
                    <w:rPr>
                      <w:rFonts w:hint="default" w:ascii="Times New Roman" w:hAnsi="Times New Roman" w:cs="Times New Roman"/>
                      <w:bCs/>
                      <w:color w:val="auto"/>
                      <w:sz w:val="21"/>
                      <w:szCs w:val="21"/>
                      <w:lang w:eastAsia="zh-CN"/>
                    </w:rPr>
                    <w:t>环评申报量</w:t>
                  </w:r>
                </w:p>
              </w:tc>
              <w:tc>
                <w:tcPr>
                  <w:tcW w:w="991" w:type="pct"/>
                  <w:vAlign w:val="center"/>
                </w:tcPr>
                <w:p>
                  <w:pPr>
                    <w:spacing w:line="240" w:lineRule="auto"/>
                    <w:ind w:firstLine="0" w:firstLineChars="0"/>
                    <w:jc w:val="center"/>
                    <w:rPr>
                      <w:rFonts w:hint="default" w:ascii="Times New Roman" w:hAnsi="Times New Roman" w:cs="Times New Roman" w:eastAsiaTheme="minorEastAsia"/>
                      <w:bCs/>
                      <w:color w:val="auto"/>
                      <w:sz w:val="21"/>
                      <w:szCs w:val="21"/>
                      <w:lang w:eastAsia="zh-CN"/>
                    </w:rPr>
                  </w:pPr>
                  <w:r>
                    <w:rPr>
                      <w:rFonts w:hint="default" w:ascii="Times New Roman" w:hAnsi="Times New Roman" w:cs="Times New Roman"/>
                      <w:bCs/>
                      <w:color w:val="auto"/>
                      <w:sz w:val="21"/>
                      <w:szCs w:val="21"/>
                      <w:lang w:eastAsia="zh-CN"/>
                    </w:rPr>
                    <w:t>实际投产量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0" w:type="pct"/>
                  <w:vAlign w:val="center"/>
                </w:tcPr>
                <w:p>
                  <w:pPr>
                    <w:widowControl/>
                    <w:spacing w:line="240" w:lineRule="auto"/>
                    <w:ind w:firstLine="0" w:firstLineChars="0"/>
                    <w:jc w:val="center"/>
                    <w:rPr>
                      <w:rFonts w:hint="default" w:ascii="Times New Roman" w:hAnsi="Times New Roman" w:cs="Times New Roman"/>
                      <w:bCs/>
                      <w:sz w:val="21"/>
                      <w:szCs w:val="21"/>
                    </w:rPr>
                  </w:pPr>
                  <w:r>
                    <w:rPr>
                      <w:rFonts w:hint="default" w:ascii="Times New Roman" w:hAnsi="Times New Roman" w:cs="Times New Roman"/>
                      <w:bCs/>
                      <w:sz w:val="21"/>
                      <w:szCs w:val="21"/>
                    </w:rPr>
                    <w:t>1</w:t>
                  </w:r>
                </w:p>
              </w:tc>
              <w:tc>
                <w:tcPr>
                  <w:tcW w:w="1087" w:type="pct"/>
                  <w:vAlign w:val="center"/>
                </w:tcPr>
                <w:p>
                  <w:pPr>
                    <w:widowControl/>
                    <w:spacing w:line="240" w:lineRule="auto"/>
                    <w:ind w:firstLine="0" w:firstLineChars="0"/>
                    <w:jc w:val="center"/>
                    <w:rPr>
                      <w:rFonts w:hint="default" w:ascii="Times New Roman" w:hAnsi="Times New Roman" w:cs="Times New Roman"/>
                      <w:bCs/>
                      <w:sz w:val="21"/>
                      <w:szCs w:val="21"/>
                    </w:rPr>
                  </w:pPr>
                  <w:r>
                    <w:rPr>
                      <w:rFonts w:hint="default" w:ascii="Times New Roman" w:hAnsi="Times New Roman" w:cs="Times New Roman"/>
                      <w:bCs/>
                      <w:sz w:val="21"/>
                      <w:szCs w:val="21"/>
                    </w:rPr>
                    <w:t>旧铝合金模板</w:t>
                  </w:r>
                </w:p>
              </w:tc>
              <w:tc>
                <w:tcPr>
                  <w:tcW w:w="1205" w:type="pct"/>
                  <w:vAlign w:val="center"/>
                </w:tcPr>
                <w:p>
                  <w:pPr>
                    <w:widowControl/>
                    <w:spacing w:line="240" w:lineRule="auto"/>
                    <w:ind w:firstLine="0" w:firstLineChars="0"/>
                    <w:jc w:val="center"/>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bCs/>
                      <w:sz w:val="21"/>
                      <w:szCs w:val="21"/>
                    </w:rPr>
                    <w:t>m</w:t>
                  </w:r>
                  <w:r>
                    <w:rPr>
                      <w:rFonts w:hint="default" w:ascii="Times New Roman" w:hAnsi="Times New Roman" w:cs="Times New Roman"/>
                      <w:bCs/>
                      <w:sz w:val="21"/>
                      <w:szCs w:val="21"/>
                      <w:vertAlign w:val="superscript"/>
                    </w:rPr>
                    <w:t>2</w:t>
                  </w:r>
                  <w:r>
                    <w:rPr>
                      <w:rFonts w:hint="default" w:ascii="Times New Roman" w:hAnsi="Times New Roman" w:cs="Times New Roman"/>
                      <w:bCs/>
                      <w:sz w:val="21"/>
                      <w:szCs w:val="21"/>
                    </w:rPr>
                    <w:t>/a</w:t>
                  </w:r>
                </w:p>
              </w:tc>
              <w:tc>
                <w:tcPr>
                  <w:tcW w:w="1205" w:type="pct"/>
                  <w:vAlign w:val="center"/>
                </w:tcPr>
                <w:p>
                  <w:pPr>
                    <w:widowControl/>
                    <w:spacing w:line="240" w:lineRule="auto"/>
                    <w:ind w:firstLine="0" w:firstLineChars="0"/>
                    <w:jc w:val="center"/>
                    <w:rPr>
                      <w:rFonts w:hint="default" w:ascii="Times New Roman" w:hAnsi="Times New Roman" w:cs="Times New Roman" w:eastAsiaTheme="minorEastAsia"/>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5000m</w:t>
                  </w:r>
                  <w:r>
                    <w:rPr>
                      <w:rFonts w:hint="default" w:ascii="Times New Roman" w:hAnsi="Times New Roman" w:cs="Times New Roman"/>
                      <w:bCs/>
                      <w:color w:val="auto"/>
                      <w:sz w:val="21"/>
                      <w:szCs w:val="21"/>
                      <w:vertAlign w:val="superscript"/>
                      <w:lang w:val="en-US" w:eastAsia="zh-CN"/>
                    </w:rPr>
                    <w:t>2</w:t>
                  </w:r>
                  <w:r>
                    <w:rPr>
                      <w:rFonts w:hint="default" w:ascii="Times New Roman" w:hAnsi="Times New Roman" w:cs="Times New Roman"/>
                      <w:bCs/>
                      <w:color w:val="auto"/>
                      <w:sz w:val="21"/>
                      <w:szCs w:val="21"/>
                      <w:lang w:val="en-US" w:eastAsia="zh-CN"/>
                    </w:rPr>
                    <w:t>（80t/a）</w:t>
                  </w:r>
                </w:p>
              </w:tc>
              <w:tc>
                <w:tcPr>
                  <w:tcW w:w="1796" w:type="dxa"/>
                  <w:vAlign w:val="center"/>
                </w:tcPr>
                <w:p>
                  <w:pPr>
                    <w:widowControl/>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lang w:val="en-US" w:eastAsia="zh-CN"/>
                    </w:rPr>
                    <w:t>5000m</w:t>
                  </w:r>
                  <w:r>
                    <w:rPr>
                      <w:rFonts w:hint="default" w:ascii="Times New Roman" w:hAnsi="Times New Roman" w:cs="Times New Roman"/>
                      <w:bCs/>
                      <w:color w:val="auto"/>
                      <w:sz w:val="21"/>
                      <w:szCs w:val="21"/>
                      <w:vertAlign w:val="superscript"/>
                      <w:lang w:val="en-US" w:eastAsia="zh-CN"/>
                    </w:rPr>
                    <w:t>2</w:t>
                  </w:r>
                  <w:r>
                    <w:rPr>
                      <w:rFonts w:hint="default" w:ascii="Times New Roman" w:hAnsi="Times New Roman" w:cs="Times New Roman"/>
                      <w:bCs/>
                      <w:color w:val="auto"/>
                      <w:sz w:val="21"/>
                      <w:szCs w:val="21"/>
                      <w:lang w:val="en-US" w:eastAsia="zh-CN"/>
                    </w:rPr>
                    <w:t>（80t/a）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0" w:type="pct"/>
                  <w:vAlign w:val="center"/>
                </w:tcPr>
                <w:p>
                  <w:pPr>
                    <w:widowControl/>
                    <w:spacing w:line="240" w:lineRule="auto"/>
                    <w:ind w:firstLine="0" w:firstLineChars="0"/>
                    <w:jc w:val="center"/>
                    <w:rPr>
                      <w:rFonts w:hint="default" w:ascii="Times New Roman" w:hAnsi="Times New Roman" w:cs="Times New Roman"/>
                      <w:bCs/>
                      <w:sz w:val="21"/>
                      <w:szCs w:val="21"/>
                    </w:rPr>
                  </w:pPr>
                  <w:r>
                    <w:rPr>
                      <w:rFonts w:hint="default" w:ascii="Times New Roman" w:hAnsi="Times New Roman" w:cs="Times New Roman"/>
                      <w:bCs/>
                      <w:sz w:val="21"/>
                      <w:szCs w:val="21"/>
                    </w:rPr>
                    <w:t>2</w:t>
                  </w:r>
                </w:p>
              </w:tc>
              <w:tc>
                <w:tcPr>
                  <w:tcW w:w="1087" w:type="pct"/>
                  <w:vAlign w:val="center"/>
                </w:tcPr>
                <w:p>
                  <w:pPr>
                    <w:widowControl/>
                    <w:spacing w:line="240" w:lineRule="auto"/>
                    <w:ind w:firstLine="0" w:firstLineChars="0"/>
                    <w:jc w:val="center"/>
                    <w:rPr>
                      <w:rFonts w:hint="default" w:ascii="Times New Roman" w:hAnsi="Times New Roman" w:cs="Times New Roman"/>
                      <w:bCs/>
                      <w:sz w:val="21"/>
                      <w:szCs w:val="21"/>
                    </w:rPr>
                  </w:pPr>
                  <w:r>
                    <w:rPr>
                      <w:rFonts w:hint="default" w:ascii="Times New Roman" w:hAnsi="Times New Roman" w:cs="Times New Roman"/>
                      <w:bCs/>
                      <w:sz w:val="21"/>
                      <w:szCs w:val="21"/>
                    </w:rPr>
                    <w:t>塑粉</w:t>
                  </w:r>
                </w:p>
              </w:tc>
              <w:tc>
                <w:tcPr>
                  <w:tcW w:w="1205" w:type="pct"/>
                  <w:vAlign w:val="center"/>
                </w:tcPr>
                <w:p>
                  <w:pPr>
                    <w:widowControl/>
                    <w:spacing w:line="240" w:lineRule="auto"/>
                    <w:ind w:firstLine="0" w:firstLineChars="0"/>
                    <w:jc w:val="center"/>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bCs/>
                      <w:sz w:val="21"/>
                      <w:szCs w:val="21"/>
                    </w:rPr>
                    <w:t>t/a</w:t>
                  </w:r>
                </w:p>
              </w:tc>
              <w:tc>
                <w:tcPr>
                  <w:tcW w:w="1205" w:type="pct"/>
                  <w:vAlign w:val="center"/>
                </w:tcPr>
                <w:p>
                  <w:pPr>
                    <w:widowControl/>
                    <w:spacing w:line="240" w:lineRule="auto"/>
                    <w:ind w:firstLine="0" w:firstLineChars="0"/>
                    <w:jc w:val="center"/>
                    <w:rPr>
                      <w:rFonts w:hint="default" w:ascii="Times New Roman" w:hAnsi="Times New Roman" w:cs="Times New Roman" w:eastAsiaTheme="minorEastAsia"/>
                      <w:bCs/>
                      <w:color w:val="auto"/>
                      <w:kern w:val="2"/>
                      <w:sz w:val="21"/>
                      <w:szCs w:val="21"/>
                      <w:lang w:val="en-US" w:eastAsia="zh-CN" w:bidi="ar-SA"/>
                    </w:rPr>
                  </w:pPr>
                  <w:r>
                    <w:rPr>
                      <w:rFonts w:hint="default" w:ascii="Times New Roman" w:hAnsi="Times New Roman" w:cs="Times New Roman"/>
                      <w:bCs/>
                      <w:color w:val="auto"/>
                      <w:sz w:val="21"/>
                      <w:szCs w:val="21"/>
                    </w:rPr>
                    <w:t>1.5</w:t>
                  </w:r>
                </w:p>
              </w:tc>
              <w:tc>
                <w:tcPr>
                  <w:tcW w:w="1796" w:type="dxa"/>
                  <w:vAlign w:val="center"/>
                </w:tcPr>
                <w:p>
                  <w:pPr>
                    <w:widowControl/>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10" w:type="pct"/>
                  <w:vAlign w:val="center"/>
                </w:tcPr>
                <w:p>
                  <w:pPr>
                    <w:widowControl/>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3</w:t>
                  </w:r>
                </w:p>
              </w:tc>
              <w:tc>
                <w:tcPr>
                  <w:tcW w:w="1087" w:type="pct"/>
                  <w:vAlign w:val="center"/>
                </w:tcPr>
                <w:p>
                  <w:pPr>
                    <w:widowControl/>
                    <w:spacing w:line="240" w:lineRule="auto"/>
                    <w:ind w:firstLine="0" w:firstLineChars="0"/>
                    <w:jc w:val="center"/>
                    <w:rPr>
                      <w:rFonts w:hint="default" w:ascii="Times New Roman" w:hAnsi="Times New Roman" w:eastAsia="宋体" w:cs="Times New Roman"/>
                      <w:bCs/>
                      <w:color w:val="auto"/>
                      <w:sz w:val="21"/>
                      <w:szCs w:val="21"/>
                      <w:lang w:eastAsia="zh-CN"/>
                    </w:rPr>
                  </w:pPr>
                  <w:r>
                    <w:rPr>
                      <w:rFonts w:hint="default" w:ascii="Times New Roman" w:hAnsi="Times New Roman" w:cs="Times New Roman"/>
                      <w:bCs/>
                      <w:color w:val="auto"/>
                      <w:sz w:val="21"/>
                      <w:szCs w:val="21"/>
                      <w:lang w:eastAsia="zh-CN"/>
                    </w:rPr>
                    <w:t>天燃气</w:t>
                  </w:r>
                </w:p>
              </w:tc>
              <w:tc>
                <w:tcPr>
                  <w:tcW w:w="1205" w:type="pct"/>
                  <w:vAlign w:val="center"/>
                </w:tcPr>
                <w:p>
                  <w:pPr>
                    <w:widowControl/>
                    <w:spacing w:line="240" w:lineRule="auto"/>
                    <w:ind w:firstLine="0" w:firstLineChars="0"/>
                    <w:jc w:val="center"/>
                    <w:rPr>
                      <w:rFonts w:hint="default" w:ascii="Times New Roman" w:hAnsi="Times New Roman" w:cs="Times New Roman" w:eastAsiaTheme="minorEastAsia"/>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m</w:t>
                  </w:r>
                  <w:r>
                    <w:rPr>
                      <w:rFonts w:hint="default" w:ascii="Times New Roman" w:hAnsi="Times New Roman" w:cs="Times New Roman"/>
                      <w:bCs/>
                      <w:color w:val="auto"/>
                      <w:sz w:val="21"/>
                      <w:szCs w:val="21"/>
                      <w:vertAlign w:val="superscript"/>
                      <w:lang w:val="en-US" w:eastAsia="zh-CN"/>
                    </w:rPr>
                    <w:t>3</w:t>
                  </w:r>
                  <w:r>
                    <w:rPr>
                      <w:rFonts w:hint="default" w:ascii="Times New Roman" w:hAnsi="Times New Roman" w:cs="Times New Roman"/>
                      <w:bCs/>
                      <w:color w:val="auto"/>
                      <w:sz w:val="21"/>
                      <w:szCs w:val="21"/>
                    </w:rPr>
                    <w:t>/a</w:t>
                  </w:r>
                </w:p>
              </w:tc>
              <w:tc>
                <w:tcPr>
                  <w:tcW w:w="1205" w:type="pct"/>
                  <w:vAlign w:val="center"/>
                </w:tcPr>
                <w:p>
                  <w:pPr>
                    <w:widowControl/>
                    <w:spacing w:line="240" w:lineRule="auto"/>
                    <w:ind w:firstLine="0" w:firstLineChars="0"/>
                    <w:jc w:val="center"/>
                    <w:rPr>
                      <w:rFonts w:hint="default" w:ascii="Times New Roman" w:hAnsi="Times New Roman" w:eastAsia="宋体" w:cs="Times New Roman"/>
                      <w:bCs/>
                      <w:color w:val="auto"/>
                      <w:kern w:val="2"/>
                      <w:sz w:val="21"/>
                      <w:szCs w:val="21"/>
                      <w:lang w:val="en-US" w:eastAsia="zh-CN" w:bidi="ar-SA"/>
                    </w:rPr>
                  </w:pPr>
                  <w:r>
                    <w:rPr>
                      <w:rFonts w:hint="default" w:ascii="Times New Roman" w:hAnsi="Times New Roman" w:cs="Times New Roman"/>
                      <w:bCs/>
                      <w:color w:val="auto"/>
                      <w:sz w:val="21"/>
                      <w:szCs w:val="21"/>
                      <w:lang w:val="en-US" w:eastAsia="zh-CN"/>
                    </w:rPr>
                    <w:t>2000</w:t>
                  </w:r>
                </w:p>
              </w:tc>
              <w:tc>
                <w:tcPr>
                  <w:tcW w:w="1796" w:type="dxa"/>
                  <w:vAlign w:val="center"/>
                </w:tcPr>
                <w:p>
                  <w:pPr>
                    <w:widowControl/>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trPr>
              <w:tc>
                <w:tcPr>
                  <w:tcW w:w="510" w:type="pct"/>
                  <w:vAlign w:val="center"/>
                </w:tcPr>
                <w:p>
                  <w:pPr>
                    <w:widowControl/>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sz w:val="21"/>
                      <w:szCs w:val="21"/>
                    </w:rPr>
                    <w:t>4</w:t>
                  </w:r>
                </w:p>
              </w:tc>
              <w:tc>
                <w:tcPr>
                  <w:tcW w:w="1087" w:type="pct"/>
                  <w:vAlign w:val="center"/>
                </w:tcPr>
                <w:p>
                  <w:pPr>
                    <w:widowControl/>
                    <w:spacing w:line="240" w:lineRule="auto"/>
                    <w:ind w:firstLine="0" w:firstLineChars="0"/>
                    <w:jc w:val="center"/>
                    <w:rPr>
                      <w:rFonts w:hint="default" w:ascii="Times New Roman" w:hAnsi="Times New Roman" w:cs="Times New Roman"/>
                      <w:bCs/>
                      <w:color w:val="auto"/>
                      <w:sz w:val="21"/>
                      <w:szCs w:val="21"/>
                      <w:lang w:eastAsia="zh-CN"/>
                    </w:rPr>
                  </w:pPr>
                  <w:r>
                    <w:rPr>
                      <w:rFonts w:hint="default" w:ascii="Times New Roman" w:hAnsi="Times New Roman" w:cs="Times New Roman"/>
                      <w:bCs/>
                      <w:color w:val="auto"/>
                      <w:sz w:val="21"/>
                      <w:szCs w:val="21"/>
                      <w:lang w:eastAsia="zh-CN"/>
                    </w:rPr>
                    <w:t>生物质</w:t>
                  </w:r>
                </w:p>
              </w:tc>
              <w:tc>
                <w:tcPr>
                  <w:tcW w:w="1205" w:type="pct"/>
                  <w:vAlign w:val="center"/>
                </w:tcPr>
                <w:p>
                  <w:pPr>
                    <w:widowControl/>
                    <w:spacing w:line="240" w:lineRule="auto"/>
                    <w:ind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t/a</w:t>
                  </w:r>
                </w:p>
              </w:tc>
              <w:tc>
                <w:tcPr>
                  <w:tcW w:w="1205" w:type="pct"/>
                  <w:vAlign w:val="center"/>
                </w:tcPr>
                <w:p>
                  <w:pPr>
                    <w:widowControl/>
                    <w:spacing w:line="240" w:lineRule="auto"/>
                    <w:ind w:firstLine="0" w:firstLineChars="0"/>
                    <w:jc w:val="center"/>
                    <w:rPr>
                      <w:rFonts w:hint="default" w:ascii="Times New Roman" w:hAnsi="Times New Roman" w:cs="Times New Roman"/>
                      <w:bCs/>
                      <w:color w:val="auto"/>
                      <w:sz w:val="21"/>
                      <w:szCs w:val="21"/>
                      <w:lang w:val="en-US" w:eastAsia="zh-CN"/>
                    </w:rPr>
                  </w:pPr>
                  <w:r>
                    <w:rPr>
                      <w:rFonts w:hint="default" w:ascii="Times New Roman" w:hAnsi="Times New Roman" w:cs="Times New Roman"/>
                      <w:bCs/>
                      <w:color w:val="auto"/>
                      <w:sz w:val="21"/>
                      <w:szCs w:val="21"/>
                      <w:lang w:val="en-US" w:eastAsia="zh-CN"/>
                    </w:rPr>
                    <w:t>0</w:t>
                  </w:r>
                </w:p>
              </w:tc>
              <w:tc>
                <w:tcPr>
                  <w:tcW w:w="991" w:type="pct"/>
                  <w:vAlign w:val="center"/>
                </w:tcPr>
                <w:p>
                  <w:pPr>
                    <w:widowControl/>
                    <w:spacing w:line="240" w:lineRule="auto"/>
                    <w:ind w:firstLine="0" w:firstLineChars="0"/>
                    <w:jc w:val="center"/>
                    <w:rPr>
                      <w:rFonts w:hint="default" w:ascii="Times New Roman" w:hAnsi="Times New Roman" w:eastAsia="宋体" w:cs="Times New Roman"/>
                      <w:bCs/>
                      <w:color w:val="auto"/>
                      <w:sz w:val="21"/>
                      <w:szCs w:val="21"/>
                      <w:lang w:val="en-US" w:eastAsia="zh-CN"/>
                    </w:rPr>
                  </w:pPr>
                  <w:r>
                    <w:rPr>
                      <w:rFonts w:hint="default" w:ascii="Times New Roman" w:hAnsi="Times New Roman" w:cs="Times New Roman"/>
                      <w:bCs/>
                      <w:color w:val="auto"/>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3" w:hRule="atLeast"/>
              </w:trPr>
              <w:tc>
                <w:tcPr>
                  <w:tcW w:w="510" w:type="pct"/>
                  <w:vAlign w:val="center"/>
                </w:tcPr>
                <w:p>
                  <w:pPr>
                    <w:widowControl/>
                    <w:spacing w:line="240" w:lineRule="auto"/>
                    <w:ind w:firstLine="0" w:firstLineChars="0"/>
                    <w:jc w:val="center"/>
                    <w:rPr>
                      <w:rFonts w:hint="default" w:ascii="Times New Roman" w:hAnsi="Times New Roman" w:cs="Times New Roman" w:eastAsiaTheme="minorEastAsia"/>
                      <w:bCs/>
                      <w:sz w:val="21"/>
                      <w:szCs w:val="21"/>
                      <w:lang w:val="en-US" w:eastAsia="zh-CN"/>
                    </w:rPr>
                  </w:pPr>
                  <w:r>
                    <w:rPr>
                      <w:rFonts w:hint="default" w:ascii="Times New Roman" w:hAnsi="Times New Roman" w:cs="Times New Roman"/>
                      <w:bCs/>
                      <w:sz w:val="21"/>
                      <w:szCs w:val="21"/>
                      <w:lang w:val="en-US" w:eastAsia="zh-CN"/>
                    </w:rPr>
                    <w:t>5</w:t>
                  </w:r>
                </w:p>
              </w:tc>
              <w:tc>
                <w:tcPr>
                  <w:tcW w:w="1087" w:type="pct"/>
                  <w:vAlign w:val="center"/>
                </w:tcPr>
                <w:p>
                  <w:pPr>
                    <w:widowControl/>
                    <w:spacing w:line="240" w:lineRule="auto"/>
                    <w:ind w:firstLine="0" w:firstLineChars="0"/>
                    <w:jc w:val="center"/>
                    <w:rPr>
                      <w:rFonts w:hint="default" w:ascii="Times New Roman" w:hAnsi="Times New Roman" w:cs="Times New Roman"/>
                      <w:bCs/>
                      <w:sz w:val="21"/>
                      <w:szCs w:val="21"/>
                    </w:rPr>
                  </w:pPr>
                  <w:r>
                    <w:rPr>
                      <w:rFonts w:hint="default" w:ascii="Times New Roman" w:hAnsi="Times New Roman" w:cs="Times New Roman"/>
                      <w:bCs/>
                      <w:sz w:val="21"/>
                      <w:szCs w:val="21"/>
                    </w:rPr>
                    <w:t>活性炭</w:t>
                  </w:r>
                </w:p>
              </w:tc>
              <w:tc>
                <w:tcPr>
                  <w:tcW w:w="1205" w:type="pct"/>
                  <w:vAlign w:val="center"/>
                </w:tcPr>
                <w:p>
                  <w:pPr>
                    <w:widowControl/>
                    <w:spacing w:line="240" w:lineRule="auto"/>
                    <w:ind w:firstLine="0" w:firstLineChars="0"/>
                    <w:jc w:val="center"/>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bCs/>
                      <w:sz w:val="21"/>
                      <w:szCs w:val="21"/>
                    </w:rPr>
                    <w:t>t/a</w:t>
                  </w:r>
                </w:p>
              </w:tc>
              <w:tc>
                <w:tcPr>
                  <w:tcW w:w="1205" w:type="pct"/>
                  <w:vAlign w:val="center"/>
                </w:tcPr>
                <w:p>
                  <w:pPr>
                    <w:widowControl/>
                    <w:spacing w:line="240" w:lineRule="auto"/>
                    <w:ind w:firstLine="0" w:firstLineChars="0"/>
                    <w:jc w:val="center"/>
                    <w:rPr>
                      <w:rFonts w:hint="default" w:ascii="Times New Roman" w:hAnsi="Times New Roman" w:cs="Times New Roman" w:eastAsiaTheme="minorEastAsia"/>
                      <w:bCs/>
                      <w:color w:val="auto"/>
                      <w:kern w:val="2"/>
                      <w:sz w:val="21"/>
                      <w:szCs w:val="21"/>
                      <w:lang w:val="en-US" w:eastAsia="zh-CN" w:bidi="ar-SA"/>
                    </w:rPr>
                  </w:pPr>
                  <w:r>
                    <w:rPr>
                      <w:rFonts w:hint="default" w:ascii="Times New Roman" w:hAnsi="Times New Roman" w:cs="Times New Roman"/>
                      <w:bCs/>
                      <w:color w:val="auto"/>
                      <w:sz w:val="21"/>
                      <w:szCs w:val="21"/>
                    </w:rPr>
                    <w:t>0.0075</w:t>
                  </w:r>
                </w:p>
              </w:tc>
              <w:tc>
                <w:tcPr>
                  <w:tcW w:w="1796" w:type="dxa"/>
                  <w:vAlign w:val="center"/>
                </w:tcPr>
                <w:p>
                  <w:pPr>
                    <w:widowControl/>
                    <w:spacing w:line="240" w:lineRule="auto"/>
                    <w:ind w:firstLine="0" w:firstLineChars="0"/>
                    <w:jc w:val="center"/>
                    <w:rPr>
                      <w:rFonts w:hint="default" w:ascii="Times New Roman" w:hAnsi="Times New Roman" w:cs="Times New Roman"/>
                      <w:bCs/>
                      <w:color w:val="auto"/>
                      <w:sz w:val="21"/>
                      <w:szCs w:val="21"/>
                    </w:rPr>
                  </w:pPr>
                  <w:r>
                    <w:rPr>
                      <w:rFonts w:hint="default" w:ascii="Times New Roman" w:hAnsi="Times New Roman" w:cs="Times New Roman"/>
                      <w:bCs/>
                      <w:color w:val="auto"/>
                      <w:sz w:val="21"/>
                      <w:szCs w:val="21"/>
                    </w:rPr>
                    <w:t>0.0075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2" w:hRule="atLeast"/>
              </w:trPr>
              <w:tc>
                <w:tcPr>
                  <w:tcW w:w="510" w:type="pct"/>
                  <w:vAlign w:val="center"/>
                </w:tcPr>
                <w:p>
                  <w:pPr>
                    <w:widowControl/>
                    <w:spacing w:line="240" w:lineRule="auto"/>
                    <w:ind w:firstLine="0" w:firstLineChars="0"/>
                    <w:jc w:val="center"/>
                    <w:rPr>
                      <w:rFonts w:hint="default" w:ascii="Times New Roman" w:hAnsi="Times New Roman" w:cs="Times New Roman" w:eastAsiaTheme="minorEastAsia"/>
                      <w:bCs/>
                      <w:sz w:val="21"/>
                      <w:szCs w:val="21"/>
                      <w:lang w:eastAsia="zh-CN"/>
                    </w:rPr>
                  </w:pPr>
                  <w:r>
                    <w:rPr>
                      <w:rFonts w:hint="default" w:ascii="Times New Roman" w:hAnsi="Times New Roman" w:cs="Times New Roman"/>
                      <w:bCs/>
                      <w:sz w:val="21"/>
                      <w:szCs w:val="21"/>
                      <w:lang w:val="en-US" w:eastAsia="zh-CN"/>
                    </w:rPr>
                    <w:t>6</w:t>
                  </w:r>
                </w:p>
              </w:tc>
              <w:tc>
                <w:tcPr>
                  <w:tcW w:w="1087" w:type="pct"/>
                  <w:vAlign w:val="center"/>
                </w:tcPr>
                <w:p>
                  <w:pPr>
                    <w:widowControl/>
                    <w:spacing w:line="240" w:lineRule="auto"/>
                    <w:ind w:firstLine="0" w:firstLineChars="0"/>
                    <w:jc w:val="center"/>
                    <w:rPr>
                      <w:rFonts w:hint="default" w:ascii="Times New Roman" w:hAnsi="Times New Roman" w:cs="Times New Roman"/>
                      <w:bCs/>
                      <w:sz w:val="21"/>
                      <w:szCs w:val="21"/>
                    </w:rPr>
                  </w:pPr>
                  <w:r>
                    <w:rPr>
                      <w:rFonts w:hint="default" w:ascii="Times New Roman" w:hAnsi="Times New Roman" w:cs="Times New Roman"/>
                      <w:bCs/>
                      <w:sz w:val="21"/>
                      <w:szCs w:val="21"/>
                    </w:rPr>
                    <w:t>水</w:t>
                  </w:r>
                </w:p>
              </w:tc>
              <w:tc>
                <w:tcPr>
                  <w:tcW w:w="1205" w:type="pct"/>
                  <w:vAlign w:val="center"/>
                </w:tcPr>
                <w:p>
                  <w:pPr>
                    <w:widowControl/>
                    <w:spacing w:line="240" w:lineRule="auto"/>
                    <w:ind w:firstLine="0" w:firstLineChars="0"/>
                    <w:jc w:val="center"/>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bCs/>
                      <w:sz w:val="21"/>
                      <w:szCs w:val="21"/>
                    </w:rPr>
                    <w:t>t/a</w:t>
                  </w:r>
                </w:p>
              </w:tc>
              <w:tc>
                <w:tcPr>
                  <w:tcW w:w="1205" w:type="pct"/>
                  <w:vAlign w:val="center"/>
                </w:tcPr>
                <w:p>
                  <w:pPr>
                    <w:widowControl/>
                    <w:spacing w:line="240" w:lineRule="auto"/>
                    <w:ind w:firstLine="0" w:firstLineChars="0"/>
                    <w:jc w:val="center"/>
                    <w:rPr>
                      <w:rFonts w:hint="default" w:ascii="Times New Roman" w:hAnsi="Times New Roman" w:eastAsia="宋体" w:cs="Times New Roman"/>
                      <w:bCs/>
                      <w:kern w:val="2"/>
                      <w:sz w:val="21"/>
                      <w:szCs w:val="21"/>
                      <w:lang w:val="en-US" w:eastAsia="zh-CN" w:bidi="ar-SA"/>
                    </w:rPr>
                  </w:pPr>
                  <w:r>
                    <w:rPr>
                      <w:rFonts w:hint="default" w:ascii="Times New Roman" w:hAnsi="Times New Roman" w:cs="Times New Roman"/>
                      <w:bCs/>
                      <w:color w:val="auto"/>
                      <w:sz w:val="21"/>
                      <w:szCs w:val="21"/>
                      <w:lang w:val="en-US" w:eastAsia="zh-CN"/>
                    </w:rPr>
                    <w:t>480</w:t>
                  </w:r>
                </w:p>
              </w:tc>
              <w:tc>
                <w:tcPr>
                  <w:tcW w:w="1796" w:type="dxa"/>
                  <w:vAlign w:val="center"/>
                </w:tcPr>
                <w:p>
                  <w:pPr>
                    <w:widowControl/>
                    <w:spacing w:line="240" w:lineRule="auto"/>
                    <w:ind w:firstLine="0" w:firstLineChars="0"/>
                    <w:jc w:val="center"/>
                    <w:rPr>
                      <w:rFonts w:hint="default" w:ascii="Times New Roman" w:hAnsi="Times New Roman" w:eastAsia="宋体" w:cs="Times New Roman"/>
                      <w:bCs/>
                      <w:sz w:val="21"/>
                      <w:szCs w:val="21"/>
                      <w:lang w:val="en-US" w:eastAsia="zh-CN"/>
                    </w:rPr>
                  </w:pPr>
                  <w:r>
                    <w:rPr>
                      <w:rFonts w:hint="default" w:ascii="Times New Roman" w:hAnsi="Times New Roman" w:cs="Times New Roman"/>
                      <w:bCs/>
                      <w:color w:val="auto"/>
                      <w:sz w:val="21"/>
                      <w:szCs w:val="21"/>
                      <w:lang w:val="en-US" w:eastAsia="zh-CN"/>
                    </w:rPr>
                    <w:t>480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510" w:type="pct"/>
                  <w:vAlign w:val="center"/>
                </w:tcPr>
                <w:p>
                  <w:pPr>
                    <w:widowControl/>
                    <w:spacing w:line="240" w:lineRule="auto"/>
                    <w:ind w:firstLine="0" w:firstLineChars="0"/>
                    <w:jc w:val="center"/>
                    <w:rPr>
                      <w:rFonts w:hint="default" w:ascii="Times New Roman" w:hAnsi="Times New Roman" w:cs="Times New Roman" w:eastAsiaTheme="minorEastAsia"/>
                      <w:bCs/>
                      <w:sz w:val="21"/>
                      <w:szCs w:val="21"/>
                      <w:lang w:eastAsia="zh-CN"/>
                    </w:rPr>
                  </w:pPr>
                  <w:r>
                    <w:rPr>
                      <w:rFonts w:hint="default" w:ascii="Times New Roman" w:hAnsi="Times New Roman" w:cs="Times New Roman"/>
                      <w:bCs/>
                      <w:sz w:val="21"/>
                      <w:szCs w:val="21"/>
                      <w:lang w:val="en-US" w:eastAsia="zh-CN"/>
                    </w:rPr>
                    <w:t>7</w:t>
                  </w:r>
                </w:p>
              </w:tc>
              <w:tc>
                <w:tcPr>
                  <w:tcW w:w="1087" w:type="pct"/>
                  <w:vAlign w:val="center"/>
                </w:tcPr>
                <w:p>
                  <w:pPr>
                    <w:widowControl/>
                    <w:spacing w:line="240" w:lineRule="auto"/>
                    <w:ind w:firstLine="0" w:firstLineChars="0"/>
                    <w:jc w:val="center"/>
                    <w:rPr>
                      <w:rFonts w:hint="default" w:ascii="Times New Roman" w:hAnsi="Times New Roman" w:cs="Times New Roman"/>
                      <w:bCs/>
                      <w:sz w:val="21"/>
                      <w:szCs w:val="21"/>
                    </w:rPr>
                  </w:pPr>
                  <w:r>
                    <w:rPr>
                      <w:rFonts w:hint="default" w:ascii="Times New Roman" w:hAnsi="Times New Roman" w:cs="Times New Roman"/>
                      <w:bCs/>
                      <w:sz w:val="21"/>
                      <w:szCs w:val="21"/>
                    </w:rPr>
                    <w:t>电</w:t>
                  </w:r>
                </w:p>
              </w:tc>
              <w:tc>
                <w:tcPr>
                  <w:tcW w:w="1205" w:type="pct"/>
                  <w:vAlign w:val="center"/>
                </w:tcPr>
                <w:p>
                  <w:pPr>
                    <w:widowControl/>
                    <w:spacing w:line="240" w:lineRule="auto"/>
                    <w:ind w:firstLine="0" w:firstLineChars="0"/>
                    <w:jc w:val="center"/>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bCs/>
                      <w:sz w:val="21"/>
                      <w:szCs w:val="21"/>
                    </w:rPr>
                    <w:t>kW·h/a</w:t>
                  </w:r>
                </w:p>
              </w:tc>
              <w:tc>
                <w:tcPr>
                  <w:tcW w:w="1205" w:type="pct"/>
                  <w:vAlign w:val="center"/>
                </w:tcPr>
                <w:p>
                  <w:pPr>
                    <w:widowControl/>
                    <w:spacing w:line="240" w:lineRule="auto"/>
                    <w:ind w:firstLine="0" w:firstLineChars="0"/>
                    <w:jc w:val="center"/>
                    <w:rPr>
                      <w:rFonts w:hint="default" w:ascii="Times New Roman" w:hAnsi="Times New Roman" w:cs="Times New Roman" w:eastAsiaTheme="minorEastAsia"/>
                      <w:bCs/>
                      <w:kern w:val="2"/>
                      <w:sz w:val="21"/>
                      <w:szCs w:val="21"/>
                      <w:lang w:val="en-US" w:eastAsia="zh-CN" w:bidi="ar-SA"/>
                    </w:rPr>
                  </w:pPr>
                  <w:r>
                    <w:rPr>
                      <w:rFonts w:hint="default" w:ascii="Times New Roman" w:hAnsi="Times New Roman" w:cs="Times New Roman"/>
                      <w:bCs/>
                      <w:sz w:val="21"/>
                      <w:szCs w:val="21"/>
                      <w:lang w:val="en-US" w:eastAsia="zh-CN"/>
                    </w:rPr>
                    <w:t>50000</w:t>
                  </w:r>
                </w:p>
              </w:tc>
              <w:tc>
                <w:tcPr>
                  <w:tcW w:w="1796" w:type="dxa"/>
                  <w:vAlign w:val="center"/>
                </w:tcPr>
                <w:p>
                  <w:pPr>
                    <w:widowControl/>
                    <w:spacing w:line="240" w:lineRule="auto"/>
                    <w:ind w:firstLine="0" w:firstLineChars="0"/>
                    <w:jc w:val="center"/>
                    <w:rPr>
                      <w:rFonts w:hint="default" w:ascii="Times New Roman" w:hAnsi="Times New Roman" w:eastAsia="宋体" w:cs="Times New Roman"/>
                      <w:bCs/>
                      <w:sz w:val="21"/>
                      <w:szCs w:val="21"/>
                      <w:lang w:val="en-US" w:eastAsia="zh-CN"/>
                    </w:rPr>
                  </w:pPr>
                  <w:r>
                    <w:rPr>
                      <w:rFonts w:hint="default" w:ascii="Times New Roman" w:hAnsi="Times New Roman" w:cs="Times New Roman"/>
                      <w:bCs/>
                      <w:sz w:val="21"/>
                      <w:szCs w:val="21"/>
                      <w:lang w:val="en-US" w:eastAsia="zh-CN"/>
                    </w:rPr>
                    <w:t>50000</w:t>
                  </w:r>
                </w:p>
              </w:tc>
            </w:tr>
          </w:tbl>
          <w:p>
            <w:pPr>
              <w:widowControl/>
              <w:spacing w:line="360" w:lineRule="auto"/>
              <w:ind w:firstLine="480" w:firstLineChars="200"/>
              <w:rPr>
                <w:rFonts w:hint="default" w:ascii="Times New Roman" w:hAnsi="Times New Roman" w:cs="Times New Roman"/>
                <w:color w:val="000000" w:themeColor="text1"/>
                <w:sz w:val="24"/>
              </w:rPr>
            </w:pPr>
          </w:p>
          <w:p>
            <w:pPr>
              <w:widowControl/>
              <w:spacing w:line="360" w:lineRule="auto"/>
              <w:ind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（2）水平衡一览表</w:t>
            </w:r>
          </w:p>
          <w:p>
            <w:pPr>
              <w:pStyle w:val="38"/>
              <w:spacing w:line="480" w:lineRule="exact"/>
              <w:ind w:firstLine="480"/>
              <w:rPr>
                <w:rFonts w:hint="default" w:ascii="Times New Roman" w:hAnsi="Times New Roman" w:cs="Times New Roman"/>
                <w:sz w:val="24"/>
                <w:szCs w:val="32"/>
                <w:lang w:val="en-US"/>
              </w:rPr>
            </w:pPr>
            <w:r>
              <w:rPr>
                <w:rFonts w:hint="default" w:ascii="Times New Roman" w:hAnsi="Times New Roman" w:cs="Times New Roman"/>
                <w:sz w:val="24"/>
                <w:szCs w:val="32"/>
                <w:lang w:val="en-US"/>
              </w:rPr>
              <w:t>废水</w:t>
            </w:r>
            <w:r>
              <w:rPr>
                <w:rFonts w:hint="default" w:ascii="Times New Roman" w:hAnsi="Times New Roman" w:cs="Times New Roman"/>
                <w:sz w:val="24"/>
                <w:szCs w:val="32"/>
                <w:lang w:val="en-US" w:eastAsia="zh-CN"/>
              </w:rPr>
              <w:t>仅</w:t>
            </w:r>
            <w:r>
              <w:rPr>
                <w:rFonts w:hint="default" w:ascii="Times New Roman" w:hAnsi="Times New Roman" w:cs="Times New Roman"/>
                <w:sz w:val="24"/>
                <w:szCs w:val="32"/>
                <w:lang w:val="en-US"/>
              </w:rPr>
              <w:t>来自生活污水，无生产废水产生。</w:t>
            </w:r>
          </w:p>
          <w:p>
            <w:pPr>
              <w:pStyle w:val="38"/>
              <w:spacing w:line="480" w:lineRule="exact"/>
              <w:ind w:firstLine="480"/>
              <w:rPr>
                <w:rFonts w:hint="default" w:ascii="Times New Roman" w:hAnsi="Times New Roman" w:cs="Times New Roman"/>
                <w:sz w:val="24"/>
                <w:szCs w:val="32"/>
                <w:lang w:val="en-US"/>
              </w:rPr>
            </w:pPr>
            <w:r>
              <w:rPr>
                <w:rFonts w:hint="default" w:ascii="Times New Roman" w:hAnsi="Times New Roman" w:cs="Times New Roman"/>
                <w:sz w:val="24"/>
                <w:szCs w:val="32"/>
              </w:rPr>
              <w:t>项目新增劳动定员</w:t>
            </w:r>
            <w:r>
              <w:rPr>
                <w:rFonts w:hint="default" w:ascii="Times New Roman" w:hAnsi="Times New Roman" w:cs="Times New Roman"/>
                <w:sz w:val="24"/>
                <w:szCs w:val="32"/>
                <w:lang w:val="en-US"/>
              </w:rPr>
              <w:t>10</w:t>
            </w:r>
            <w:r>
              <w:rPr>
                <w:rFonts w:hint="default" w:ascii="Times New Roman" w:hAnsi="Times New Roman" w:cs="Times New Roman"/>
                <w:sz w:val="24"/>
                <w:szCs w:val="32"/>
              </w:rPr>
              <w:t>人，生活用水量为</w:t>
            </w:r>
            <w:r>
              <w:rPr>
                <w:rFonts w:hint="default" w:ascii="Times New Roman" w:hAnsi="Times New Roman" w:cs="Times New Roman"/>
                <w:sz w:val="24"/>
                <w:szCs w:val="32"/>
                <w:lang w:val="en-US"/>
              </w:rPr>
              <w:t>1.6</w:t>
            </w:r>
            <w:r>
              <w:rPr>
                <w:rFonts w:hint="default" w:ascii="Times New Roman" w:hAnsi="Times New Roman" w:cs="Times New Roman"/>
                <w:sz w:val="24"/>
                <w:szCs w:val="32"/>
              </w:rPr>
              <w:t>m</w:t>
            </w:r>
            <w:r>
              <w:rPr>
                <w:rFonts w:hint="default" w:ascii="Times New Roman" w:hAnsi="Times New Roman" w:cs="Times New Roman"/>
                <w:sz w:val="24"/>
                <w:szCs w:val="32"/>
                <w:vertAlign w:val="superscript"/>
              </w:rPr>
              <w:t>3</w:t>
            </w:r>
            <w:r>
              <w:rPr>
                <w:rFonts w:hint="default" w:ascii="Times New Roman" w:hAnsi="Times New Roman" w:cs="Times New Roman"/>
                <w:sz w:val="24"/>
                <w:szCs w:val="32"/>
              </w:rPr>
              <w:t>/d，</w:t>
            </w:r>
            <w:r>
              <w:rPr>
                <w:rFonts w:hint="default" w:ascii="Times New Roman" w:hAnsi="Times New Roman" w:cs="Times New Roman"/>
                <w:sz w:val="24"/>
                <w:szCs w:val="32"/>
                <w:lang w:val="en-US"/>
              </w:rPr>
              <w:t>480</w:t>
            </w:r>
            <w:r>
              <w:rPr>
                <w:rFonts w:hint="default" w:ascii="Times New Roman" w:hAnsi="Times New Roman" w:cs="Times New Roman"/>
                <w:sz w:val="24"/>
                <w:szCs w:val="32"/>
              </w:rPr>
              <w:t>m</w:t>
            </w:r>
            <w:r>
              <w:rPr>
                <w:rFonts w:hint="default" w:ascii="Times New Roman" w:hAnsi="Times New Roman" w:cs="Times New Roman"/>
                <w:sz w:val="24"/>
                <w:szCs w:val="32"/>
                <w:vertAlign w:val="superscript"/>
              </w:rPr>
              <w:t>3</w:t>
            </w:r>
            <w:r>
              <w:rPr>
                <w:rFonts w:hint="default" w:ascii="Times New Roman" w:hAnsi="Times New Roman" w:cs="Times New Roman"/>
                <w:sz w:val="24"/>
                <w:szCs w:val="32"/>
              </w:rPr>
              <w:t>/a；生活污水产生量为</w:t>
            </w:r>
            <w:r>
              <w:rPr>
                <w:rFonts w:hint="default" w:ascii="Times New Roman" w:hAnsi="Times New Roman" w:cs="Times New Roman"/>
                <w:sz w:val="24"/>
                <w:szCs w:val="32"/>
                <w:lang w:val="en-US"/>
              </w:rPr>
              <w:t>1.28</w:t>
            </w:r>
            <w:r>
              <w:rPr>
                <w:rFonts w:hint="default" w:ascii="Times New Roman" w:hAnsi="Times New Roman" w:cs="Times New Roman"/>
                <w:sz w:val="24"/>
                <w:szCs w:val="32"/>
              </w:rPr>
              <w:t>m</w:t>
            </w:r>
            <w:r>
              <w:rPr>
                <w:rFonts w:hint="default" w:ascii="Times New Roman" w:hAnsi="Times New Roman" w:cs="Times New Roman"/>
                <w:sz w:val="24"/>
                <w:szCs w:val="32"/>
                <w:vertAlign w:val="superscript"/>
              </w:rPr>
              <w:t>3</w:t>
            </w:r>
            <w:r>
              <w:rPr>
                <w:rFonts w:hint="default" w:ascii="Times New Roman" w:hAnsi="Times New Roman" w:cs="Times New Roman"/>
                <w:sz w:val="24"/>
                <w:szCs w:val="32"/>
              </w:rPr>
              <w:t>/d，</w:t>
            </w:r>
            <w:r>
              <w:rPr>
                <w:rFonts w:hint="default" w:ascii="Times New Roman" w:hAnsi="Times New Roman" w:cs="Times New Roman"/>
                <w:sz w:val="24"/>
                <w:szCs w:val="32"/>
                <w:lang w:val="en-US"/>
              </w:rPr>
              <w:t>384</w:t>
            </w:r>
            <w:r>
              <w:rPr>
                <w:rFonts w:hint="default" w:ascii="Times New Roman" w:hAnsi="Times New Roman" w:cs="Times New Roman"/>
                <w:sz w:val="24"/>
                <w:szCs w:val="32"/>
              </w:rPr>
              <w:t>m</w:t>
            </w:r>
            <w:r>
              <w:rPr>
                <w:rFonts w:hint="default" w:ascii="Times New Roman" w:hAnsi="Times New Roman" w:cs="Times New Roman"/>
                <w:sz w:val="24"/>
                <w:szCs w:val="32"/>
                <w:vertAlign w:val="superscript"/>
              </w:rPr>
              <w:t>3</w:t>
            </w:r>
            <w:r>
              <w:rPr>
                <w:rFonts w:hint="default" w:ascii="Times New Roman" w:hAnsi="Times New Roman" w:cs="Times New Roman"/>
                <w:sz w:val="24"/>
                <w:szCs w:val="32"/>
              </w:rPr>
              <w:t>/a，生活污水经化粪池处理后定期清掏，用于项目周边农业施肥，综合利用不外排</w:t>
            </w:r>
            <w:r>
              <w:rPr>
                <w:rFonts w:hint="default" w:ascii="Times New Roman" w:hAnsi="Times New Roman" w:cs="Times New Roman"/>
                <w:sz w:val="24"/>
                <w:szCs w:val="32"/>
                <w:lang w:val="en-US"/>
              </w:rPr>
              <w:t>。</w:t>
            </w:r>
          </w:p>
          <w:p>
            <w:pPr>
              <w:pStyle w:val="38"/>
              <w:spacing w:line="480" w:lineRule="exact"/>
              <w:ind w:firstLine="480"/>
              <w:rPr>
                <w:rFonts w:hint="default" w:ascii="Times New Roman" w:hAnsi="Times New Roman" w:cs="Times New Roman"/>
                <w:szCs w:val="24"/>
              </w:rPr>
            </w:pPr>
            <w:r>
              <w:rPr>
                <w:rFonts w:hint="default" w:ascii="Times New Roman" w:hAnsi="Times New Roman" w:cs="Times New Roman"/>
                <w:lang w:val="en-US"/>
              </w:rPr>
              <w:pict>
                <v:shape id="文本框 345" o:spid="_x0000_s2052" o:spt="202" type="#_x0000_t202" style="position:absolute;left:0pt;margin-left:10.3pt;margin-top:12.25pt;height:22.5pt;width:83.1pt;z-index:25166028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b1DFuAEAADoDAAAOAAAAZHJzL2Uyb0RvYy54bWysUkFu2zAQvBfoHwjea8lOlaSC5QBFkF6C&#10;tkDaB9AUaREluQSXseQPtD/oqZfe+y6/I0vadYLkVvRCidzZ4cwsl1eTs2yrIhrwHZ/Pas6Ul9Ab&#10;v+n41y83by45wyR8Lyx41fGdQn61ev1qOYZWLWAA26vIiMRjO4aODymFtqpQDsoJnEFQnooaohOJ&#10;tnFT9VGMxO5stajr82qE2IcIUiHS6fWhyFeFX2sl0yetUSVmO07aUlljWdd5rVZL0W6iCIORRxni&#10;H1Q4YTxdeqK6Fkmw+2heUDkjIyDoNJPgKtDaSFU8kJt5/czN3SCCKl4oHAynmPD/0cqP28+Rmb7j&#10;55x54WhE+58/9r/+7H9/Z2dvmxzQGLAl3F0gZJrew0SDLmYx3IL8hgSpnmAODUjoHMiko8tfssqo&#10;kWawO+WupsRkZqub5uyCSpJqi8vmoimDqR67Q8T0QYFj+afjkeZaFIjtLaZ8v2j/QvJlHm6MtWW2&#10;1rOx4++aRVMaThXqsD5jVXklR5ps46A8/6VpPZVs5kVPPlpDv6MY7kM0m4GUzHNAxT0NqOg4Pqb8&#10;Ap7uC+rxya8eAAAA//8DAFBLAwQUAAYACAAAACEAPjDTv9wAAAAIAQAADwAAAGRycy9kb3ducmV2&#10;LnhtbEyPzU7DMBCE70i8g7VI3KhN1URtyKZCIK4gyo/EzY23SUS8jmK3CW/P9gSn1WhGs9+U29n3&#10;6kRj7AIj3C4MKOI6uI4bhPe3p5s1qJgsO9sHJoQfirCtLi9KW7gw8SuddqlRUsKxsAhtSkOhdaxb&#10;8jYuwkAs3iGM3iaRY6PdaCcp971eGpNrbzuWD60d6KGl+nt39Agfz4evz5V5aR59NkxhNpr9RiNe&#10;X833d6ASzekvDGd8QYdKmPbhyC6qHmFpcknKXWWgzv46lyl7hHyTga5K/X9A9QsAAP//AwBQSwEC&#10;LQAUAAYACAAAACEAtoM4kv4AAADhAQAAEwAAAAAAAAAAAAAAAAAAAAAAW0NvbnRlbnRfVHlwZXNd&#10;LnhtbFBLAQItABQABgAIAAAAIQA4/SH/1gAAAJQBAAALAAAAAAAAAAAAAAAAAC8BAABfcmVscy8u&#10;cmVsc1BLAQItABQABgAIAAAAIQBXb1DFuAEAADoDAAAOAAAAAAAAAAAAAAAAAC4CAABkcnMvZTJv&#10;RG9jLnhtbFBLAQItABQABgAIAAAAIQA+MNO/3AAAAAgBAAAPAAAAAAAAAAAAAAAAABIEAABkcnMv&#10;ZG93bnJldi54bWxQSwUGAAAAAAQABADzAAAAGwUAAAAA&#10;">
                  <v:path/>
                  <v:fill on="f" focussize="0,0"/>
                  <v:stroke on="f" joinstyle="miter"/>
                  <v:imagedata o:title=""/>
                  <o:lock v:ext="edit"/>
                  <v:textbox>
                    <w:txbxContent>
                      <w:p>
                        <w:pPr>
                          <w:spacing w:line="240" w:lineRule="auto"/>
                          <w:ind w:firstLine="0" w:firstLineChars="0"/>
                          <w:rPr>
                            <w:rFonts w:hint="eastAsia" w:eastAsia="宋体"/>
                            <w:sz w:val="21"/>
                            <w:szCs w:val="21"/>
                            <w:lang w:eastAsia="zh-CN"/>
                          </w:rPr>
                        </w:pPr>
                        <w:r>
                          <w:rPr>
                            <w:rFonts w:hint="eastAsia"/>
                            <w:sz w:val="21"/>
                            <w:szCs w:val="21"/>
                          </w:rPr>
                          <w:t>新鲜水1.</w:t>
                        </w:r>
                        <w:r>
                          <w:rPr>
                            <w:rFonts w:hint="eastAsia"/>
                            <w:sz w:val="21"/>
                            <w:szCs w:val="21"/>
                            <w:lang w:val="en-US" w:eastAsia="zh-CN"/>
                          </w:rPr>
                          <w:t>6</w:t>
                        </w:r>
                      </w:p>
                    </w:txbxContent>
                  </v:textbox>
                </v:shape>
              </w:pict>
            </w:r>
          </w:p>
          <w:p>
            <w:pPr>
              <w:pStyle w:val="38"/>
              <w:spacing w:line="480" w:lineRule="exact"/>
              <w:ind w:firstLine="480"/>
              <w:rPr>
                <w:rFonts w:hint="default" w:ascii="Times New Roman" w:hAnsi="Times New Roman" w:cs="Times New Roman"/>
                <w:szCs w:val="24"/>
              </w:rPr>
            </w:pPr>
            <w:r>
              <w:rPr>
                <w:rFonts w:hint="default" w:ascii="Times New Roman" w:hAnsi="Times New Roman" w:cs="Times New Roman"/>
                <w:lang w:val="en-US"/>
              </w:rPr>
              <w:pict>
                <v:line id="直线 344" o:spid="_x0000_s2053" o:spt="20" style="position:absolute;left:0pt;margin-left:35.05pt;margin-top:12.75pt;height:55.8pt;width:0.05pt;z-index:251659264;mso-width-relative:page;mso-height-relative:page;" filled="f"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p6C4QEAAK8DAAAOAAAAZHJzL2Uyb0RvYy54bWysU0uOEzEQ3SNxB8t70p1MEkErnVlMGDYj&#10;iDRwgIrtTlv4J5dJJ2fhGqzYcJy5BmXnwwxsRiN6YZXr86re6/Liem8N26mI2ruWj0c1Z8oJL7Xb&#10;tvzL59s3bznDBE6C8U61/KCQXy9fv1oMoVET33sjVWQE4rAZQsv7lEJTVSh6ZQFHPihHwc5HC4mu&#10;cVvJCAOhW1NN6npeDT7KEL1QiORdHYN8WfC7Ton0qetQJWZaTrOlcsZybvJZLRfQbCOEXovTGPCC&#10;KSxoR00vUCtIwL5F/Q+U1SJ69F0aCW8r33VaqMKB2Izrv9jc9xBU4ULiYLjIhP8PVnzcrSPTsuVT&#10;zhxY+kUP3388/PzFrqbTrM4QsKGkG7eOmZ/Yu/tw58VXpFj1JJgvGI5p+y7anE4E2b6ofbiorfaJ&#10;CXLOr2acCfKP57NxXZd/UUFzLg0R0wflLctGy412WQpoYHeHKTeH5pyS3caxoeXvZpMMCrRJnYFE&#10;pg3EDd221KI3Wt5qY3IFxu3mxkS2g7wb5cuECfdJWm6yAuyPeSV03JpegXzvJEuHQKo5Wm+eR7BK&#10;cmYUvYZsESA0CbR5Tia1Ni4XqLK5J55/dM3WxsvDOp7Fp60oE582OK/d4zvZj9/Z8jcAAAD//wMA&#10;UEsDBBQABgAIAAAAIQAy4itf3QAAAAgBAAAPAAAAZHJzL2Rvd25yZXYueG1sTI9BT4NAEIXvJv6H&#10;zZh4adoFNKUiS2NUbl5abbxOYQQiO0vZbYv+eseTHt+8lzffy9eT7dWJRt85NhAvIlDElas7bgy8&#10;vZbzFSgfkGvsHZOBL/KwLi4vcsxqd+YNnbahUVLCPkMDbQhDprWvWrLoF24gFu/DjRaDyLHR9Yhn&#10;Kbe9TqJoqS12LB9aHOixpepze7QGfLmjQ/k9q2bR+03jKDk8vTyjMddX08M9qEBT+AvDL76gQyFM&#10;e3fk2qveQBovJWkgubsFJX4ap6D2oldy0EWu/w8ofgAAAP//AwBQSwECLQAUAAYACAAAACEAtoM4&#10;kv4AAADhAQAAEwAAAAAAAAAAAAAAAAAAAAAAW0NvbnRlbnRfVHlwZXNdLnhtbFBLAQItABQABgAI&#10;AAAAIQA4/SH/1gAAAJQBAAALAAAAAAAAAAAAAAAAAC8BAABfcmVscy8ucmVsc1BLAQItABQABgAI&#10;AAAAIQDNzp6C4QEAAK8DAAAOAAAAAAAAAAAAAAAAAC4CAABkcnMvZTJvRG9jLnhtbFBLAQItABQA&#10;BgAIAAAAIQAy4itf3QAAAAgBAAAPAAAAAAAAAAAAAAAAADsEAABkcnMvZG93bnJldi54bWxQSwUG&#10;AAAAAAQABADzAAAARQUAAAAA&#10;">
                  <v:path arrowok="t"/>
                  <v:fill on="f" focussize="0,0"/>
                  <v:stroke color="#000000"/>
                  <v:imagedata o:title=""/>
                  <o:lock v:ext="edit" aspectratio="f"/>
                </v:line>
              </w:pict>
            </w:r>
            <w:r>
              <w:rPr>
                <w:rFonts w:hint="default" w:ascii="Times New Roman" w:hAnsi="Times New Roman" w:cs="Times New Roman"/>
                <w:b/>
                <w:bCs/>
                <w:sz w:val="28"/>
              </w:rPr>
              <w:pict>
                <v:shape id="文本框 366" o:spid="_x0000_s2054" o:spt="202" type="#_x0000_t202" style="position:absolute;left:0pt;margin-left:126.7pt;margin-top:22.35pt;height:22.5pt;width:38.65pt;z-index:251668480;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5AdxuAEAADoDAAAOAAAAZHJzL2Uyb0RvYy54bWysUs1uEzEQviPxDpbvxJuFDekqm0qoKpcK&#10;kAoP4HjtrIXtsWw3u3kBeANOXLjzXHmOjp00reBW9eK/+Wb8fd/M6nKyhuxkiBpcR+ezihLpBPTa&#10;bTv67ev1myUlMXHXcwNOdnQvI71cv361Gn0raxjA9DIQLOJiO/qODin5lrEoBml5nIGXDoMKguUJ&#10;r2HL+sBHrG4Nq6tqwUYIvQ8gZIz4enUM0nWpr5QU6bNSUSZiOorcUllDWTd5ZesVb7eB+0GLEw3+&#10;DBaWa4efnktd8cTJXdD/lbJaBIig0kyAZaCUFrJoQDXz6h81twP3smhBc6I/2xRfrqz4tPsSiO47&#10;WteUOG6xR4dfPw+//x7+/CBvF4vs0Ohji8Bbj9A0fYAJO13URn8D4ntECHuCOSZERGdHJhVs3lEr&#10;wURswv5svJwSEfj47qJaNg0lAkP1snnflMawx2QfYvoowZJ86GjAvhYCfHcTU/6etw+Q/JeDa21M&#10;6a1xZOzoRVM3JeEcwQzjMlaWKTmVySqOxPMpTZupeDOfP9iwgX6PLtz5oLcDMimBIh4bVHichilP&#10;wNN7sehx5Nf3AAAA//8DAFBLAwQUAAYACAAAACEAtqfpG94AAAAJAQAADwAAAGRycy9kb3ducmV2&#10;LnhtbEyPwU7DMAyG70i8Q2Qkbixh7dhW6k4IxBXEgEm7Za3XVjRO1WRreXvMCW62/On39+ebyXXq&#10;TENoPSPczgwo4tJXLdcIH+/PNytQIVqubOeZEL4pwKa4vMhtVvmR3+i8jbWSEA6ZRWhi7DOtQ9mQ&#10;s2Hme2K5Hf3gbJR1qHU12FHCXafnxtxpZ1uWD43t6bGh8mt7cgifL8f9LjWv9ZNb9KOfjGa31ojX&#10;V9PDPahIU/yD4Vdf1KEQp4M/cRVUhzBfJKmgCGm6BCVAkhgZDgir9RJ0kev/DYofAAAA//8DAFBL&#10;AQItABQABgAIAAAAIQC2gziS/gAAAOEBAAATAAAAAAAAAAAAAAAAAAAAAABbQ29udGVudF9UeXBl&#10;c10ueG1sUEsBAi0AFAAGAAgAAAAhADj9If/WAAAAlAEAAAsAAAAAAAAAAAAAAAAALwEAAF9yZWxz&#10;Ly5yZWxzUEsBAi0AFAAGAAgAAAAhAC3kB3G4AQAAOgMAAA4AAAAAAAAAAAAAAAAALgIAAGRycy9l&#10;Mm9Eb2MueG1sUEsBAi0AFAAGAAgAAAAhALan6RveAAAACQEAAA8AAAAAAAAAAAAAAAAAEgQAAGRy&#10;cy9kb3ducmV2LnhtbFBLBQYAAAAABAAEAPMAAAAdBQAAAAA=&#10;">
                  <v:path/>
                  <v:fill on="f" focussize="0,0"/>
                  <v:stroke on="f" joinstyle="miter"/>
                  <v:imagedata o:title=""/>
                  <o:lock v:ext="edit"/>
                  <v:textbox>
                    <w:txbxContent>
                      <w:p>
                        <w:pPr>
                          <w:spacing w:line="240" w:lineRule="auto"/>
                          <w:ind w:firstLine="0" w:firstLineChars="0"/>
                          <w:rPr>
                            <w:sz w:val="21"/>
                            <w:szCs w:val="21"/>
                          </w:rPr>
                        </w:pPr>
                        <w:r>
                          <w:rPr>
                            <w:rFonts w:hint="eastAsia"/>
                            <w:sz w:val="21"/>
                            <w:szCs w:val="21"/>
                          </w:rPr>
                          <w:t>0.32</w:t>
                        </w:r>
                      </w:p>
                    </w:txbxContent>
                  </v:textbox>
                </v:shape>
              </w:pict>
            </w:r>
          </w:p>
          <w:p>
            <w:pPr>
              <w:pStyle w:val="38"/>
              <w:spacing w:line="480" w:lineRule="exact"/>
              <w:ind w:firstLine="562"/>
              <w:rPr>
                <w:rFonts w:hint="default" w:ascii="Times New Roman" w:hAnsi="Times New Roman" w:cs="Times New Roman"/>
                <w:szCs w:val="24"/>
              </w:rPr>
            </w:pPr>
            <w:r>
              <w:rPr>
                <w:rFonts w:hint="default" w:ascii="Times New Roman" w:hAnsi="Times New Roman" w:cs="Times New Roman"/>
                <w:b/>
                <w:bCs/>
                <w:sz w:val="28"/>
              </w:rPr>
              <w:pict>
                <v:shape id="文本框 471" o:spid="_x0000_s2055" o:spt="202" type="#_x0000_t202" style="position:absolute;left:0pt;margin-left:361.45pt;margin-top:21.1pt;height:42.4pt;width:79.9pt;z-index:251671552;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v70xuAEAADwDAAAOAAAAZHJzL2Uyb0RvYy54bWysUs1uEzEQviPxDpbvxLtLksIqm0qoKpcK&#10;kAoP4HjtrIX/5HGzmxeAN+DEhTvPlefo2EnTqr0hLv6bbz7P982sLidryE5G0N51tJ5VlEgnfK/d&#10;tqPfvl6/eUcJJO56bryTHd1LoJfr169WY2hl4wdvehkJkjhox9DRIaXQMgZikJbDzAfpMKh8tDzh&#10;NW5ZH/mI7NawpqqWbPSxD9ELCYCvV8cgXRd+paRIn5UCmYjpKNaWyhrLuskrW694u408DFqcyuD/&#10;UIXl2uGnZ6ornji5i/oFldUievAqzYS3zCulhSwaUE1dPVNzO/AgixY0B8LZJvh/tOLT7kskuu/o&#10;vKHEcYs9Ovz6efj99/DnB5lf1NmhMUCLwNuA0DR98BN2uqiFcOPFd0AIe4I5JgCisyOTijbvqJVg&#10;IjZhfzZeTomIzFbV84u3GBIYq6vlsl4u8sfsMT1ESB+ltyQfOhqxs6UEvruBdIQ+QPJvzl9rY/Cd&#10;t8aRsaPvF82iJJwjSG5cBsgyJyearONYej6laTMVd+rmwYiN7/fow12IejtgJcWhIh9bVEo+jVOe&#10;gaf3YtLj0K/vAQAA//8DAFBLAwQUAAYACAAAACEAgUQETd4AAAAKAQAADwAAAGRycy9kb3ducmV2&#10;LnhtbEyPQU/DMAyF70j8h8iTuLFkFVu70nRCIK5MDJi0W9Z4bUXjVE22ln+Pd4Kb7ff0/L1iM7lO&#10;XHAIrScNi7kCgVR521Kt4fPj9T4DEaIhazpPqOEHA2zK25vC5NaP9I6XXawFh1DIjYYmxj6XMlQN&#10;OhPmvkdi7eQHZyKvQy3tYEYOd51MlFpJZ1riD43p8bnB6nt3dhq+3k6H/YPa1i9u2Y9+UpLcWmp9&#10;N5ueHkFEnOKfGa74jA4lMx39mWwQnYY0SdZsZSFNQbAhyxIejnzIliuQZSH/Vyh/AQAA//8DAFBL&#10;AQItABQABgAIAAAAIQC2gziS/gAAAOEBAAATAAAAAAAAAAAAAAAAAAAAAABbQ29udGVudF9UeXBl&#10;c10ueG1sUEsBAi0AFAAGAAgAAAAhADj9If/WAAAAlAEAAAsAAAAAAAAAAAAAAAAALwEAAF9yZWxz&#10;Ly5yZWxzUEsBAi0AFAAGAAgAAAAhAHu/vTG4AQAAPAMAAA4AAAAAAAAAAAAAAAAALgIAAGRycy9l&#10;Mm9Eb2MueG1sUEsBAi0AFAAGAAgAAAAhAIFEBE3eAAAACgEAAA8AAAAAAAAAAAAAAAAAEgQAAGRy&#10;cy9kb3ducmV2LnhtbFBLBQYAAAAABAAEAPMAAAAdBQAAAAA=&#10;">
                  <v:path/>
                  <v:fill on="f" focussize="0,0"/>
                  <v:stroke on="f"/>
                  <v:imagedata o:title=""/>
                  <o:lock v:ext="edit" aspectratio="f"/>
                  <v:textbox>
                    <w:txbxContent>
                      <w:p>
                        <w:pPr>
                          <w:spacing w:line="240" w:lineRule="auto"/>
                          <w:ind w:firstLine="0" w:firstLineChars="0"/>
                          <w:rPr>
                            <w:sz w:val="21"/>
                            <w:szCs w:val="21"/>
                          </w:rPr>
                        </w:pPr>
                        <w:r>
                          <w:rPr>
                            <w:rFonts w:hint="eastAsia"/>
                            <w:sz w:val="21"/>
                            <w:szCs w:val="21"/>
                            <w:lang w:eastAsia="zh-CN"/>
                          </w:rPr>
                          <w:t>定期清掏</w:t>
                        </w:r>
                        <w:r>
                          <w:rPr>
                            <w:rFonts w:hint="eastAsia"/>
                            <w:sz w:val="21"/>
                            <w:szCs w:val="21"/>
                          </w:rPr>
                          <w:t>用于周边农业施肥</w:t>
                        </w:r>
                      </w:p>
                    </w:txbxContent>
                  </v:textbox>
                </v:shape>
              </w:pict>
            </w:r>
            <w:r>
              <w:rPr>
                <w:rFonts w:hint="default" w:ascii="Times New Roman" w:hAnsi="Times New Roman" w:cs="Times New Roman"/>
                <w:lang w:val="en-US"/>
              </w:rPr>
              <w:pict>
                <v:shape id="文本框 357" o:spid="_x0000_s2056" o:spt="202" type="#_x0000_t202" style="position:absolute;left:0pt;margin-left:187.15pt;margin-top:22pt;height:22.5pt;width:38.65pt;z-index:251666432;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zNkqtwEAADoDAAAOAAAAZHJzL2Uyb0RvYy54bWysUktu2zAQ3RfIHQjua8pO1NiC5QBFkG6C&#10;tkCaA9AUaRElOQTJWPIF2ht01U33PZfP0SHtOEGyC7rhb948znszy6vRGrKVIWpwLZ1OKkqkE9Bp&#10;t2np/beb93NKYuKu4wacbOlORnq1Onu3HHwjZ9CD6WQgSOJiM/iW9in5hrEoeml5nICXDoMKguUJ&#10;r2HDusAHZLeGzarqAxsgdD6AkDHi6/UhSFeFXykp0helokzEtBRrS2UNZV3nla2WvNkE7nstjmXw&#10;N1RhuXb46YnqmidOHoJ+RWW1CBBBpYkAy0ApLWTRgGqm1Qs1dz33smhBc6I/2RT/H634vP0aiO6w&#10;dwtKHLfYo/2vn/vff/d/fpDz+jI7NPjYIPDOIzSNH2FEdFEb/S2I7xEh7BnmkBARnR0ZVbB5R60E&#10;E7EJu5PxckxE4OPFoprXNSUCQ7N5fVmXxrCnZB9i+iTBknxoacC+lgL49jam/D1vHiH5Lwc32pjS&#10;W+PI0NJFPatLwimCGcZlrCxTcqTJKg6F51Ma1+PBm/NHG9bQ7dCFBx/0psdKpjlQxGODSh3HYcoT&#10;8PxeUE8jv/oHAAD//wMAUEsDBBQABgAIAAAAIQBi0C/a3gAAAAkBAAAPAAAAZHJzL2Rvd25yZXYu&#10;eG1sTI/LTsMwEEX3SPyDNUjsqF2aljZkUiEQWxDlIbFz42kSEY+j2G3C3zOsYDmao3vPLbaT79SJ&#10;htgGRpjPDCjiKriWa4S318erNaiYLDvbBSaEb4qwLc/PCpu7MPILnXapVhLCMbcITUp9rnWsGvI2&#10;zkJPLL9DGLxNcg61doMdJdx3+tqYlfa2ZWlobE/3DVVfu6NHeH86fH5k5rl+8Mt+DJPR7Dca8fJi&#10;ursFlWhKfzD86os6lOK0D0d2UXUIi5tsIShClskmAbLlfAVqj7DeGNBlof8vKH8AAAD//wMAUEsB&#10;Ai0AFAAGAAgAAAAhALaDOJL+AAAA4QEAABMAAAAAAAAAAAAAAAAAAAAAAFtDb250ZW50X1R5cGVz&#10;XS54bWxQSwECLQAUAAYACAAAACEAOP0h/9YAAACUAQAACwAAAAAAAAAAAAAAAAAvAQAAX3JlbHMv&#10;LnJlbHNQSwECLQAUAAYACAAAACEA6szZKrcBAAA6AwAADgAAAAAAAAAAAAAAAAAuAgAAZHJzL2Uy&#10;b0RvYy54bWxQSwECLQAUAAYACAAAACEAYtAv2t4AAAAJAQAADwAAAAAAAAAAAAAAAAARBAAAZHJz&#10;L2Rvd25yZXYueG1sUEsFBgAAAAAEAAQA8wAAABwFAAAAAA==&#10;">
                  <v:path/>
                  <v:fill on="f" focussize="0,0"/>
                  <v:stroke on="f" joinstyle="miter"/>
                  <v:imagedata o:title=""/>
                  <o:lock v:ext="edit"/>
                  <v:textbox>
                    <w:txbxContent>
                      <w:p>
                        <w:pPr>
                          <w:spacing w:line="240" w:lineRule="auto"/>
                          <w:ind w:firstLine="0" w:firstLineChars="0"/>
                          <w:rPr>
                            <w:sz w:val="21"/>
                            <w:szCs w:val="21"/>
                          </w:rPr>
                        </w:pPr>
                        <w:r>
                          <w:rPr>
                            <w:rFonts w:hint="eastAsia"/>
                            <w:sz w:val="21"/>
                            <w:szCs w:val="21"/>
                          </w:rPr>
                          <w:t>1.28</w:t>
                        </w:r>
                      </w:p>
                    </w:txbxContent>
                  </v:textbox>
                </v:shape>
              </w:pict>
            </w:r>
            <w:r>
              <w:rPr>
                <w:rFonts w:hint="default" w:ascii="Times New Roman" w:hAnsi="Times New Roman" w:cs="Times New Roman"/>
                <w:lang w:val="en-US"/>
              </w:rPr>
              <w:pict>
                <v:shape id="文本框 356" o:spid="_x0000_s2057" o:spt="202" type="#_x0000_t202" style="position:absolute;left:0pt;margin-left:47.05pt;margin-top:20.85pt;height:22.5pt;width:38.65pt;z-index:25166540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SefEtgEAADoDAAAOAAAAZHJzL2Uyb0RvYy54bWysUs1uEzEQviPxDpbvZDehW9JVNpVQVS4V&#10;IBUewPHaWQvbY3nc7OYF4A04ceHOc+U5GDtpWsENcfHffDOe7/tmdT05y3YqogHf8fms5kx5Cb3x&#10;245//nT7askZJuF7YcGrju8V8uv1yxerMbRqAQPYXkVGRTy2Y+j4kFJoqwrloJzAGQTlKaghOpHo&#10;GrdVH8VI1Z2tFnV9WY0Q+xBBKkR6vTkG+brU11rJ9EFrVInZjlNvqayxrJu8VuuVaLdRhMHIUxvi&#10;H7pwwnj69FzqRiTBHqL5q5QzMgKCTjMJrgKtjVSFA7GZ13+wuR9EUIULiYPhLBP+v7Ly/e5jZKYn&#10;78gpLxx5dPj+7fDj1+HnV/a6ucwKjQFbAt4HgqbpLUyELmwx3IH8ggSpnmGOCUjorMiko8s7cWWU&#10;SCbsz8KrKTFJjxdX9bJpOJMUWiybN00xpnpKDhHTOwWO5UPHI/laGhC7O0z5e9E+QvJfHm6NtcVb&#10;69nY8atm0ZSEc4QyrM9YVabkVCazODaeT2naTEdtLh5l2EC/JxUeQjTbgTqZ50AhTwaVPk7DlCfg&#10;+b2gnkZ+/RsAAP//AwBQSwMEFAAGAAgAAAAhAKpYQ+bdAAAACAEAAA8AAABkcnMvZG93bnJldi54&#10;bWxMj8FOwzAQRO9I/IO1SNyoHRSaNmRTIRBXKtqCxM2Nt0lEvI5itwl/X/dEj6MZzbwpVpPtxIkG&#10;3zpGSGYKBHHlTMs1wm77/rAA4YNmozvHhPBHHlbl7U2hc+NG/qTTJtQilrDPNUITQp9L6auGrPYz&#10;1xNH7+AGq0OUQy3NoMdYbjv5qNRcWt1yXGh0T68NVb+bo0X4+jj8fKdqXb/Zp350k5JslxLx/m56&#10;eQYRaAr/YbjgR3QoI9PeHdl40SEs0yQmEdIkA3HxsyQFsUdYzDOQZSGvD5RnAAAA//8DAFBLAQIt&#10;ABQABgAIAAAAIQC2gziS/gAAAOEBAAATAAAAAAAAAAAAAAAAAAAAAABbQ29udGVudF9UeXBlc10u&#10;eG1sUEsBAi0AFAAGAAgAAAAhADj9If/WAAAAlAEAAAsAAAAAAAAAAAAAAAAALwEAAF9yZWxzLy5y&#10;ZWxzUEsBAi0AFAAGAAgAAAAhAApJ58S2AQAAOgMAAA4AAAAAAAAAAAAAAAAALgIAAGRycy9lMm9E&#10;b2MueG1sUEsBAi0AFAAGAAgAAAAhAKpYQ+bdAAAACAEAAA8AAAAAAAAAAAAAAAAAEAQAAGRycy9k&#10;b3ducmV2LnhtbFBLBQYAAAAABAAEAPMAAAAaBQAAAAA=&#10;">
                  <v:path/>
                  <v:fill on="f" focussize="0,0"/>
                  <v:stroke on="f" joinstyle="miter"/>
                  <v:imagedata o:title=""/>
                  <o:lock v:ext="edit"/>
                  <v:textbox>
                    <w:txbxContent>
                      <w:p>
                        <w:pPr>
                          <w:spacing w:line="240" w:lineRule="auto"/>
                          <w:ind w:firstLine="0" w:firstLineChars="0"/>
                          <w:rPr>
                            <w:sz w:val="21"/>
                            <w:szCs w:val="21"/>
                          </w:rPr>
                        </w:pPr>
                        <w:r>
                          <w:rPr>
                            <w:rFonts w:hint="eastAsia"/>
                            <w:sz w:val="21"/>
                            <w:szCs w:val="21"/>
                          </w:rPr>
                          <w:t>1.6</w:t>
                        </w:r>
                      </w:p>
                    </w:txbxContent>
                  </v:textbox>
                </v:shape>
              </w:pict>
            </w:r>
            <w:r>
              <w:rPr>
                <w:rFonts w:hint="default" w:ascii="Times New Roman" w:hAnsi="Times New Roman" w:cs="Times New Roman"/>
                <w:lang w:val="en-US"/>
              </w:rPr>
              <w:pict>
                <v:shape id="任意多边形 353" o:spid="_x0000_s2058" style="position:absolute;left:0pt;margin-left:125.75pt;margin-top:17.25pt;height:12.15pt;width:16.3pt;z-index:251664384;mso-width-relative:page;mso-height-relative:page;" filled="f" coordsize="326,24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ivSZQMAAM0HAAAOAAAAZHJzL2Uyb0RvYy54bWysVduO0zoUfUfiHyw/Ip1JkybTTjUdBMNF&#10;SNwkhg9wHaeJSOwc2206PJ/3884j4icQgq8BxGewbKdtOgwgIfoQ+bK89t5r7+59envT1GQttKmU&#10;nNP4aESJkFzllVzO6cuLB/9MKTGWyZzVSoo5vRSG3j67eeO0a2ciUaWqc6EJSKSZde2clta2sygy&#10;vBQNM0eqFRKXhdINs9jqZZRr1oG9qaNkNDqOOqXzVisujMHpvXBJzzx/UQhunxWFEZbUcwrfrP9q&#10;/124b3R2ymZLzdqy4r0b7A+8aFglYXRHdY9ZRla6+oGqqbhWRhX2iKsmUkVRceFjQDTx6Eo0L0rW&#10;Ch8LxDHtTibz92j50/VzTap8ThNKJGuQos8fPnz97/8v7958+/T+y8e3ZJyNnUxda2ZAv2ifaxeo&#10;aR8r/soQqc5LJpfijtaqKwXL4Vzs8NHBA7cxeEoW3ROVwwpbWeUV2xS6cYTQgmx8Yi53iREbSzgO&#10;k9EE6lDCcRVn6XiUeQtstn3MV8Y+FMoTsfVjY0Nec6x8VvI+tguQFE2NFN+KyIh0ZJwc9zWwg8QD&#10;SJKOSUnwvQqCWjueOMmuZxoPQdPridIDzPR6ouwA9BOXjgcghHU902QASrO9SxFKd6sWK7cC8o3s&#10;FcSKIM0uM07QVhmXLCcnUnIREs5mQLnbn4ChmQN7LWHv12Do4sDbRP8ajNAdeNJXhQcHC737Go3g&#10;agvQlKAFLEJmW2Zd1D42LEk3p640SIniQ/bdeaPW4kJ5hN1Xal8bsLa/56tFxe+K10N0CuXhYzz2&#10;EUFBz3ESwkymvRf+EPUUsP7UxXHAd7gLPHEWJDjkyQJ7PDk8nqInO1emu0z8lj9JQvJivPV/rWB2&#10;nIQC6Pvo9jD4ku5yN6BHNE5qtIew8Jr7EPd/YKkeVHXtzdTSZeIkgyJOeKPqKneXfqOXi/NakzVz&#10;vd3/+vwfwLRaydyTue50v19bVtVYE3vZohlZXaG4a0GdtUbklNQC48yt8BLu1ahr39BcDwu9cKHy&#10;S/QzrcJMwQzEolT6NUgwT+bU/LtiGpT1I4meeBKnKcSyfpNmE6ecHt4shjdMclDBMYp/nVue2zC0&#10;Vq2uliUsxV4Qqe6gjxaV63fev+BVv8HM8N73880NpeHeo/ZT+Ow7AAAA//8DAFBLAwQUAAYACAAA&#10;ACEArxiAg+AAAAAJAQAADwAAAGRycy9kb3ducmV2LnhtbEyPwU7DMAyG70i8Q2QkbixpWVlUmk6A&#10;mJB620CbuGWNaSsap2rSrfD0hBOcLMuffn9/sZ5tz044+s6RgmQhgCHVznTUKHh73dxIYD5oMrp3&#10;hAq+0MO6vLwodG7cmbZ42oWGxRDyuVbQhjDknPu6Rav9wg1I8fbhRqtDXMeGm1GfY7jteSrEHbe6&#10;o/ih1QM+tVh/7iarQEiBXfOyWYXHw7Rffb9Xz1VdKXV9NT/cAws4hz8YfvWjOpTR6egmMp71CtIs&#10;ySKq4HYZZwRSuUyAHRVkUgIvC/6/QfkDAAD//wMAUEsBAi0AFAAGAAgAAAAhALaDOJL+AAAA4QEA&#10;ABMAAAAAAAAAAAAAAAAAAAAAAFtDb250ZW50X1R5cGVzXS54bWxQSwECLQAUAAYACAAAACEAOP0h&#10;/9YAAACUAQAACwAAAAAAAAAAAAAAAAAvAQAAX3JlbHMvLnJlbHNQSwECLQAUAAYACAAAACEA2Por&#10;0mUDAADNBwAADgAAAAAAAAAAAAAAAAAuAgAAZHJzL2Uyb0RvYy54bWxQSwECLQAUAAYACAAAACEA&#10;rxiAg+AAAAAJAQAADwAAAAAAAAAAAAAAAAC/BQAAZHJzL2Rvd25yZXYueG1sUEsFBgAAAAAEAAQA&#10;8wAAAMwGAAAAAA==&#10;" path="m0,243c47,135,94,28,125,18c156,8,154,178,188,183c222,188,320,0,326,45e">
                  <v:path o:connecttype="custom" o:connectlocs="0,154305;79375,11430;119380,116205;207010,28575" o:connectangles="0,0,0,0"/>
                  <v:fill on="f" focussize="0,0"/>
                  <v:stroke endarrow="block"/>
                  <v:imagedata o:title=""/>
                  <o:lock v:ext="edit"/>
                </v:shape>
              </w:pict>
            </w:r>
          </w:p>
          <w:p>
            <w:pPr>
              <w:pStyle w:val="38"/>
              <w:spacing w:line="480" w:lineRule="exact"/>
              <w:ind w:firstLine="562"/>
              <w:rPr>
                <w:rFonts w:hint="default" w:ascii="Times New Roman" w:hAnsi="Times New Roman" w:cs="Times New Roman"/>
                <w:szCs w:val="24"/>
              </w:rPr>
            </w:pPr>
            <w:r>
              <w:rPr>
                <w:rFonts w:hint="default" w:ascii="Times New Roman" w:hAnsi="Times New Roman" w:cs="Times New Roman"/>
                <w:lang w:val="en-US"/>
              </w:rPr>
              <w:pict>
                <v:line id="直线 347" o:spid="_x0000_s2059" o:spt="20" style="position:absolute;left:0pt;margin-left:35.65pt;margin-top:21.25pt;height:0pt;width:57.75pt;z-index:251661312;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AD4z4gEAALEDAAAOAAAAZHJzL2Uyb0RvYy54bWysU0uOEzEQ3SNxB8t70plkhoFWOrOYMGxG&#10;EGngABXb3W3hn1wm3TkL12DFhuPMNSg7n/mJDaIXVtlVflXv9fPiarSGbVVE7V3DzyZTzpQTXmrX&#10;Nfzrl5s37zjDBE6C8U41fKeQXy1fv1oMoVYz33sjVWQE4rAeQsP7lEJdVSh6ZQEnPihHydZHC4m2&#10;satkhIHQralm0+nbavBRhuiFQqTT1T7JlwW/bZVIn9sWVWKm4TRbKmss6yav1XIBdRch9FocxoB/&#10;mMKCdtT0BLWCBOx71C+grBbRo2/TRHhb+bbVQhUOxOZs+ozNXQ9BFS4kDoaTTPj/YMWn7ToyLenf&#10;kTwOLP2j+x8/73/9ZvPzyyzPELCmqmu3jpmgGN1duPXiG1KuepLMGwz7srGNNpcTQzYWuXcnudWY&#10;mKDDy/n8fHbBmTimKqiP90LE9FF5y3LQcKNdFgJq2N5iyp2hPpbkY+PY0PD3FwUOyEetgUTINhAz&#10;dF25i95oeaONyTcwdptrE9kWsjPKl9kS7pOy3GQF2O/rSmrvmV6B/OAkS7tAkjkyN88jWCU5M4re&#10;Qo4IEOoE2jxUpqjBdeYv1dTeuHxJFe8euD4Im6ONl7t1PKpPvihTHzycjfd4T/Hjl7b8AwAA//8D&#10;AFBLAwQUAAYACAAAACEAmMYhxtsAAAAEAQAADwAAAGRycy9kb3ducmV2LnhtbEzOQUvDQBAF4Lvg&#10;f1hG8GY3rahLzKSIUC+tSlsRvW2zYxLMzobdTRv/vZuTHh9vePMVy9F24kg+tI4R5rMMBHHlTMs1&#10;wtt+daVAhKjZ6M4xIfxQgGV5flbo3LgTb+m4i7VIIxxyjdDE2OdShqohq8PM9cSp+3Le6piir6Xx&#10;+pTGbScXWXYrrW45fWh0T48NVd+7wSJsN6u1el8PY+U/n+Yv+9fN80dQiJcX48M9iEhj/DuGiZ/o&#10;UCbTwQ1sgugQ7hZJHhFuQEytUtcgDlOUZSH/48tfAAAA//8DAFBLAQItABQABgAIAAAAIQC2gziS&#10;/gAAAOEBAAATAAAAAAAAAAAAAAAAAAAAAABbQ29udGVudF9UeXBlc10ueG1sUEsBAi0AFAAGAAgA&#10;AAAhADj9If/WAAAAlAEAAAsAAAAAAAAAAAAAAAAALwEAAF9yZWxzLy5yZWxzUEsBAi0AFAAGAAgA&#10;AAAhAOQAPjPiAQAAsQMAAA4AAAAAAAAAAAAAAAAALgIAAGRycy9lMm9Eb2MueG1sUEsBAi0AFAAG&#10;AAgAAAAhAJjGIcbbAAAABAEAAA8AAAAAAAAAAAAAAAAAPAQAAGRycy9kb3ducmV2LnhtbFBLBQYA&#10;AAAABAAEAPMAAABEBQAAAAA=&#10;">
                  <v:path arrowok="t"/>
                  <v:fill focussize="0,0"/>
                  <v:stroke endarrow="block"/>
                  <v:imagedata o:title=""/>
                  <o:lock v:ext="edit"/>
                </v:line>
              </w:pict>
            </w:r>
            <w:r>
              <w:rPr>
                <w:rFonts w:hint="default" w:ascii="Times New Roman" w:hAnsi="Times New Roman" w:cs="Times New Roman"/>
                <w:b/>
                <w:bCs/>
                <w:sz w:val="28"/>
              </w:rPr>
              <w:pict>
                <v:line id="直线 373" o:spid="_x0000_s2060" o:spt="20" style="position:absolute;left:0pt;margin-left:342.15pt;margin-top:0.95pt;height:35.95pt;width:0.05pt;rotation:-5898240f;z-index:251669504;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C7VY8AEAAMIDAAAOAAAAZHJzL2Uyb0RvYy54bWysU0uO00AQ3SNxh1bvJ/bkB1hxZjFh2Iwg&#10;0gwHqLTbdov+qbuJk7NwDVZsOM5cg6p2SBgQG4Qtterz+lXVc3l1czCa7WWIytmaX09KzqQVrlG2&#10;q/nHx7ur15zFBLYB7ays+VFGfrN++WI1+EpOXe90IwNDEhurwde8T8lXRRFFLw3EifPSYrJ1wUBC&#10;N3RFE2BAdqOLaVkui8GFxgcnZIwY3YxJvs78bStF+tC2USama469pXyGfO7oLNYrqLoAvlfi1Ab8&#10;QxcGlMWiZ6oNJGCfg/qDyigRXHRtmghnCte2Ssg8A05zXf42zUMPXuZZUJzozzLF/0cr3u+3gamm&#10;5tM5ZxYMfqOnL1+fvn1ns1czkmfwsULUrd0GGlAc7IO/d+JTxFzxLElO9CPs0AbDgkO9rxbzkp4s&#10;Dw7MDln941l9eUhMYHA5W3AmMD5fLPGl2gVURER1fYjpnXSGkVFzrSwpAxXs72MaoT8hFNaWDTV/&#10;s5gSJ+BitRoSmsbjqNF2+W50WjV3Smu6EUO3u9WB7YFWZWx55H0GoyIbiP2Iy6lxiXoJzVvbsHT0&#10;qKHFbefUgpENZ1riz0EWEkKVQOkLMgUFttN/QaMC2tIlmZf5NOtFabJ2rjluA/VKHi5KFu601LSJ&#10;v/oZdfn11j8AAAD//wMAUEsDBBQABgAIAAAAIQAXUYa73wAAAAkBAAAPAAAAZHJzL2Rvd25yZXYu&#10;eG1sTI/BTsMwDIbvSLxDZCQuiKXrqm2UphMgwYXDROk4e41pC41TJdlW3p7sBEfbn35/f7GZzCCO&#10;5HxvWcF8loAgbqzuuVVQvz/frkH4gKxxsEwKfsjDpry8KDDX9sRvdKxCK2II+xwVdCGMuZS+6cig&#10;n9mRON4+rTMY4uhaqR2eYrgZZJokS2mw5/ihw5GeOmq+q4NRsKunl3qbfr1WY4YOb5pd+/gxV+r6&#10;anq4BxFoCn8wnPWjOpTRaW8PrL0YFCyzdRZRBYtVrBCBVZosQOzPizuQZSH/Nyh/AQAA//8DAFBL&#10;AQItABQABgAIAAAAIQC2gziS/gAAAOEBAAATAAAAAAAAAAAAAAAAAAAAAABbQ29udGVudF9UeXBl&#10;c10ueG1sUEsBAi0AFAAGAAgAAAAhADj9If/WAAAAlAEAAAsAAAAAAAAAAAAAAAAALwEAAF9yZWxz&#10;Ly5yZWxzUEsBAi0AFAAGAAgAAAAhABoLtVjwAQAAwgMAAA4AAAAAAAAAAAAAAAAALgIAAGRycy9l&#10;Mm9Eb2MueG1sUEsBAi0AFAAGAAgAAAAhABdRhrvfAAAACQEAAA8AAAAAAAAAAAAAAAAASgQAAGRy&#10;cy9kb3ducmV2LnhtbFBLBQYAAAAABAAEAPMAAABWBQAAAAA=&#10;">
                  <v:path arrowok="t"/>
                  <v:fill focussize="0,0"/>
                  <v:stroke endarrow="block"/>
                  <v:imagedata o:title=""/>
                  <o:lock v:ext="edit"/>
                </v:line>
              </w:pict>
            </w:r>
            <w:r>
              <w:rPr>
                <w:rFonts w:hint="default" w:ascii="Times New Roman" w:hAnsi="Times New Roman" w:cs="Times New Roman"/>
                <w:lang w:val="en-US"/>
              </w:rPr>
              <w:pict>
                <v:shape id="文本框 359" o:spid="_x0000_s2061" o:spt="202" type="#_x0000_t202" style="position:absolute;left:0pt;margin-left:232.4pt;margin-top:5.8pt;height:25.5pt;width:89.25pt;z-index:251667456;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UzE9DwIAABoEAAAOAAAAZHJzL2Uyb0RvYy54bWysU8uO0zAU3SPxD5b3NElLYSZqOhKUshkB&#10;0sAH3NpOYuGXbE+T/gD8ASs27PmufgfXTukMLwkhsnD8OD4+9557V1ejVmQvfJDWNLSalZQIwyyX&#10;pmvou7fbRxeUhAiGg7JGNPQgAr1aP3ywGlwt5ra3igtPkMSEenAN7WN0dVEE1gsNYWadMHjYWq8h&#10;4tJ3BfcwILtWxbwsnxSD9dx5y0QIuLuZDuk687etYPF12wYRiWooaot59HncpbFYr6DuPLhespMM&#10;+AcVGqTBR89UG4hAbr38hUpL5m2wbZwxqwvbtpKJHANGU5U/RXPTgxM5FkxOcOc0hf9Hy17t33gi&#10;eUPnFSUGNHp0/PTx+Pnr8csHslhepgwNLtQIvHEIjeMzO6LTOdrgri17HxBS3MNMFwKiU0bG1uv0&#10;x1gJXkQTDufEizESltiqxeLx0yUlDM8W88XFMjtT3N12PsSXwmqSJg31aGxWAPvrENP7UH+HpMeC&#10;VZJvpVJ54bvdc+XJHrAItvlLUeGVH2DKkKGhl8t50gFYi62CiFPtMDvBdFPEfyQu8/c74iRsA6Gf&#10;BOQ3p7rTMgqPSqDuBfAXhpN4cGiAwVahSYwWnBIlsLPSLCMjSPU3SIxOmUQtchecspRcmoxJszju&#10;xux9tUzkaWtn+QFdvnVedj0mukoH2VwswJyzU7OkCr+/zqi7ll5/AwAA//8DAFBLAwQUAAYACAAA&#10;ACEAza4W2d8AAAAJAQAADwAAAGRycy9kb3ducmV2LnhtbEyPzU7DMBCE70i8g7VI3KjTJlgoxKn4&#10;ERJCSBVNH8CNlzgQr6PYbcPbs5zobVYzmvm2Ws9+EEecYh9Iw3KRgUBqg+2p07BrXm7uQMRkyJoh&#10;EGr4wQjr+vKiMqUNJ/rA4zZ1gksolkaDS2kspYytQ2/iIoxI7H2GyZvE59RJO5kTl/tBrrJMSW96&#10;4gVnRnxy2H5vD17D81e+2VHvrB/z17emeZ9vN/JR6+ur+eEeRMI5/YfhD5/RoWamfTiQjWLQUKiC&#10;0RMbSwWCA6rIcxB7FisFsq7k+Qf1LwAAAP//AwBQSwECLQAUAAYACAAAACEAtoM4kv4AAADhAQAA&#10;EwAAAAAAAAAAAAAAAAAAAAAAW0NvbnRlbnRfVHlwZXNdLnhtbFBLAQItABQABgAIAAAAIQA4/SH/&#10;1gAAAJQBAAALAAAAAAAAAAAAAAAAAC8BAABfcmVscy8ucmVsc1BLAQItABQABgAIAAAAIQALUzE9&#10;DwIAABoEAAAOAAAAAAAAAAAAAAAAAC4CAABkcnMvZTJvRG9jLnhtbFBLAQItABQABgAIAAAAIQDN&#10;rhbZ3wAAAAkBAAAPAAAAAAAAAAAAAAAAAGkEAABkcnMvZG93bnJldi54bWxQSwUGAAAAAAQABADz&#10;AAAAdQUAAAAA&#10;">
                  <v:path arrowok="t"/>
                  <v:fill focussize="0,0"/>
                  <v:stroke joinstyle="miter"/>
                  <v:imagedata o:title=""/>
                  <o:lock v:ext="edit"/>
                  <v:textbox>
                    <w:txbxContent>
                      <w:p>
                        <w:pPr>
                          <w:spacing w:line="240" w:lineRule="auto"/>
                          <w:ind w:firstLine="0" w:firstLineChars="0"/>
                          <w:jc w:val="center"/>
                          <w:rPr>
                            <w:sz w:val="21"/>
                            <w:szCs w:val="21"/>
                          </w:rPr>
                        </w:pPr>
                        <w:r>
                          <w:rPr>
                            <w:rFonts w:hint="eastAsia"/>
                            <w:sz w:val="21"/>
                            <w:szCs w:val="21"/>
                          </w:rPr>
                          <w:t>化粪池</w:t>
                        </w:r>
                      </w:p>
                    </w:txbxContent>
                  </v:textbox>
                </v:shape>
              </w:pict>
            </w:r>
            <w:r>
              <w:rPr>
                <w:rFonts w:hint="default" w:ascii="Times New Roman" w:hAnsi="Times New Roman" w:cs="Times New Roman"/>
                <w:lang w:val="en-US"/>
              </w:rPr>
              <w:pict>
                <v:line id="直线 352" o:spid="_x0000_s2062" o:spt="20" style="position:absolute;left:0pt;margin-left:175.25pt;margin-top:19.3pt;height:0pt;width:57.75pt;z-index:251663360;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Kd1q4QEAALEDAAAOAAAAZHJzL2Uyb0RvYy54bWysU0uOEzEQ3SNxB8t70pmE8GmlM4sJw2YE&#10;kQYOULHd3Rb+yWXSnbNwDVZsOM5cg7LzmZ/YIHphlV3lV/VePy8vR2vYTkXU3jX8YjLlTDnhpXZd&#10;w79+uX71jjNM4CQY71TD9wr55erli+UQajXzvTdSRUYgDushNLxPKdRVhaJXFnDig3KUbH20kGgb&#10;u0pGGAjdmmo2nb6pBh9liF4oRDpdH5J8VfDbVon0uW1RJWYaTrOlssaybvNarZZQdxFCr8VxDPiH&#10;KSxoR03PUGtIwL5H/QzKahE9+jZNhLeVb1stVOFAbC6mT9jc9hBU4ULiYDjLhP8PVnzabSLTkv7d&#10;gjMHlv7R3Y+fd79+s/liluUZAtZUdeU2MRMUo7sNN158Q8pVj5J5g+FQNrbR5nJiyMYi9/4stxoT&#10;E3T4dj5/PaOu4pSqoD7dCxHTR+Uty0HDjXZZCKhhd4Mpd4b6VJKPjWNDw98vChyQj1oDiZBtIGbo&#10;unIXvdHyWhuTb2Dstlcmsh1kZ5QvsyXcR2W5yRqwP9SV1MEzvQL5wUmW9oEkc2RunkewSnJmFL2F&#10;HBEg1Am0ua9MUYPrzF+qqb1x+ZIq3j1yvRc2R1sv95t4Up98UaY+ejgb7+Ge4ocvbfUHAAD//wMA&#10;UEsDBBQABgAIAAAAIQBoQCt/4AAAAAkBAAAPAAAAZHJzL2Rvd25yZXYueG1sTI9BT8MwDIXvSPyH&#10;yEjcWDpgVVWaTghpXDaYtqFp3LLGtBWNUyXpVv49RhzgZvs9PX+vmI+2Eyf0oXWkYDpJQCBVzrRU&#10;K3jbLW4yECFqMrpzhAq+MMC8vLwodG7cmTZ42sZacAiFXCtoYuxzKUPVoNVh4nok1j6ctzry6mtp&#10;vD5zuO3kbZKk0uqW+EOje3xqsPrcDlbBZrVYZvvlMFb+/Xn6uluvXg4hU+r6anx8ABFxjH9m+MFn&#10;dCiZ6egGMkF0Cu5myYytPGQpCDbcpymXO/4eZFnI/w3KbwAAAP//AwBQSwECLQAUAAYACAAAACEA&#10;toM4kv4AAADhAQAAEwAAAAAAAAAAAAAAAAAAAAAAW0NvbnRlbnRfVHlwZXNdLnhtbFBLAQItABQA&#10;BgAIAAAAIQA4/SH/1gAAAJQBAAALAAAAAAAAAAAAAAAAAC8BAABfcmVscy8ucmVsc1BLAQItABQA&#10;BgAIAAAAIQARKd1q4QEAALEDAAAOAAAAAAAAAAAAAAAAAC4CAABkcnMvZTJvRG9jLnhtbFBLAQIt&#10;ABQABgAIAAAAIQBoQCt/4AAAAAkBAAAPAAAAAAAAAAAAAAAAADsEAABkcnMvZG93bnJldi54bWxQ&#10;SwUGAAAAAAQABADzAAAASAUAAAAA&#10;">
                  <v:path arrowok="t"/>
                  <v:fill focussize="0,0"/>
                  <v:stroke endarrow="block"/>
                  <v:imagedata o:title=""/>
                  <o:lock v:ext="edit"/>
                </v:line>
              </w:pict>
            </w:r>
            <w:r>
              <w:rPr>
                <w:rFonts w:hint="default" w:ascii="Times New Roman" w:hAnsi="Times New Roman" w:cs="Times New Roman"/>
                <w:lang w:val="en-US"/>
              </w:rPr>
              <w:pict>
                <v:shape id="文本框 349" o:spid="_x0000_s2063" o:spt="202" type="#_x0000_t202" style="position:absolute;left:0pt;margin-left:93.55pt;margin-top:5.85pt;height:25.5pt;width:81.75pt;z-index:251662336;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6zIDQIAABoEAAAOAAAAZHJzL2Uyb0RvYy54bWysU0uOEzEQ3SNxB8t70p2EjDKtdEaCEDYj&#10;QBo4QMV2d1v4J9uT7lwAbsCKDXvOlXNQdofMB5AQohduf56fX9WrWl0NWpG98EFaU9PppKREGGa5&#10;NG1NP7zfPltSEiIYDsoaUdODCPRq/fTJqneVmNnOKi48QRITqt7VtIvRVUURWCc0hIl1wuBhY72G&#10;iEvfFtxDj+xaFbOyvCh667nzlokQcHczHtJ15m8aweLbpgkiElVT1Bbz6PO4S2OxXkHVenCdZCcZ&#10;8A8qNEiDj56pNhCB3Hr5C5WWzNtgmzhhVhe2aSQTOQaMZlo+iuamAydyLJic4M5pCv+Plr3Zv/NE&#10;cvRuSokBjR4dv3w+fv1+/PaJzJ9fpgz1LlQIvHEIjcMLOyA6RxvctWUfA0KKe5jxQkB0ysjQeJ3+&#10;GCvBi2jC4Zx4MUTCEls5X85mC0oYns1n8+UiO1Pc3XY+xNfCapImNfVobFYA++sQ0/tQ/YSkx4JV&#10;km+lUnnh291L5ckesAi2+UtR4ZUHMGVIX9PLRdYBWIuNgoiStMPsBNOOEf+RuMzf74iTsA2EbhSQ&#10;3xzrTssoPCqBqhPAXxlO4sGhAQZbhSYxWnBKlMDOSrOMjCDV3yAxOmUStchdcMpScmk0Js3isBtG&#10;7y8SedraWX5Al2+dl22HiZ6mg2wuFmDO2alZUoXfX2fUXUuvfwAAAP//AwBQSwMEFAAGAAgAAAAh&#10;AAgXJiPfAAAACQEAAA8AAABkcnMvZG93bnJldi54bWxMj91Kw0AQRu8F32EZwTu7SUOTErMp/iCI&#10;CMWmD7DNjtlodjZkt218e8erejcfc/jmTLWZ3SBOOIXek4J0kYBAar3pqVOwb17u1iBC1GT04AkV&#10;/GCATX19VenS+DN94GkXO8ElFEqtwMY4llKG1qLTYeFHJN59+snpyHHqpJn0mcvdIJdJkkune+IL&#10;Vo/4ZLH93h2dguevbLun3ho3Zq9vTfM+r7byUanbm/nhHkTEOV5g+NNndajZ6eCPZIIYOK+LlFEe&#10;0gIEA9kqyUEcFOTLAmRdyf8f1L8AAAD//wMAUEsBAi0AFAAGAAgAAAAhALaDOJL+AAAA4QEAABMA&#10;AAAAAAAAAAAAAAAAAAAAAFtDb250ZW50X1R5cGVzXS54bWxQSwECLQAUAAYACAAAACEAOP0h/9YA&#10;AACUAQAACwAAAAAAAAAAAAAAAAAvAQAAX3JlbHMvLnJlbHNQSwECLQAUAAYACAAAACEA1kOsyA0C&#10;AAAaBAAADgAAAAAAAAAAAAAAAAAuAgAAZHJzL2Uyb0RvYy54bWxQSwECLQAUAAYACAAAACEACBcm&#10;I98AAAAJAQAADwAAAAAAAAAAAAAAAABnBAAAZHJzL2Rvd25yZXYueG1sUEsFBgAAAAAEAAQA8wAA&#10;AHMFAAAAAA==&#10;">
                  <v:path arrowok="t"/>
                  <v:fill focussize="0,0"/>
                  <v:stroke joinstyle="miter"/>
                  <v:imagedata o:title=""/>
                  <o:lock v:ext="edit"/>
                  <v:textbox>
                    <w:txbxContent>
                      <w:p>
                        <w:pPr>
                          <w:spacing w:line="240" w:lineRule="auto"/>
                          <w:ind w:firstLine="0" w:firstLineChars="0"/>
                          <w:jc w:val="center"/>
                          <w:rPr>
                            <w:sz w:val="21"/>
                            <w:szCs w:val="21"/>
                          </w:rPr>
                        </w:pPr>
                        <w:r>
                          <w:rPr>
                            <w:rFonts w:hint="eastAsia"/>
                            <w:sz w:val="21"/>
                            <w:szCs w:val="21"/>
                          </w:rPr>
                          <w:t>职工生活用水</w:t>
                        </w:r>
                      </w:p>
                    </w:txbxContent>
                  </v:textbox>
                </v:shape>
              </w:pict>
            </w:r>
          </w:p>
          <w:p>
            <w:pPr>
              <w:pStyle w:val="38"/>
              <w:spacing w:line="480" w:lineRule="exact"/>
              <w:ind w:left="0" w:leftChars="0" w:firstLine="0" w:firstLineChars="0"/>
              <w:rPr>
                <w:rFonts w:hint="default" w:ascii="Times New Roman" w:hAnsi="Times New Roman" w:cs="Times New Roman"/>
                <w:b/>
                <w:szCs w:val="24"/>
              </w:rPr>
            </w:pPr>
          </w:p>
          <w:p>
            <w:pPr>
              <w:pStyle w:val="38"/>
              <w:spacing w:line="480" w:lineRule="exact"/>
              <w:ind w:firstLine="482"/>
              <w:jc w:val="center"/>
              <w:rPr>
                <w:rFonts w:hint="default" w:ascii="Times New Roman" w:hAnsi="Times New Roman" w:cs="Times New Roman"/>
                <w:sz w:val="24"/>
                <w:szCs w:val="22"/>
              </w:rPr>
            </w:pPr>
            <w:r>
              <w:rPr>
                <w:rFonts w:hint="default" w:ascii="Times New Roman" w:hAnsi="Times New Roman" w:cs="Times New Roman"/>
                <w:b/>
                <w:szCs w:val="24"/>
              </w:rPr>
              <w:t>图5.2项目营运期用水平衡分析（m</w:t>
            </w:r>
            <w:r>
              <w:rPr>
                <w:rFonts w:hint="default" w:ascii="Times New Roman" w:hAnsi="Times New Roman" w:cs="Times New Roman"/>
                <w:b/>
                <w:szCs w:val="24"/>
                <w:vertAlign w:val="superscript"/>
              </w:rPr>
              <w:t>3</w:t>
            </w:r>
            <w:r>
              <w:rPr>
                <w:rFonts w:hint="default" w:ascii="Times New Roman" w:hAnsi="Times New Roman" w:cs="Times New Roman"/>
                <w:b/>
                <w:szCs w:val="24"/>
              </w:rPr>
              <w:t>/</w:t>
            </w:r>
            <w:r>
              <w:rPr>
                <w:rFonts w:hint="default" w:ascii="Times New Roman" w:hAnsi="Times New Roman" w:cs="Times New Roman"/>
                <w:b/>
                <w:szCs w:val="24"/>
                <w:lang w:val="en-US"/>
              </w:rPr>
              <w:t>d</w:t>
            </w:r>
            <w:r>
              <w:rPr>
                <w:rFonts w:hint="default" w:ascii="Times New Roman" w:hAnsi="Times New Roman" w:cs="Times New Roman"/>
                <w:b/>
                <w:szCs w:val="24"/>
              </w:rPr>
              <w:t>）</w:t>
            </w: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pStyle w:val="8"/>
              <w:rPr>
                <w:rFonts w:hint="default" w:ascii="Times New Roman" w:hAnsi="Times New Roman" w:cs="Times New Roman"/>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p>
          <w:p>
            <w:pPr>
              <w:widowControl/>
              <w:spacing w:line="360" w:lineRule="auto"/>
              <w:jc w:val="left"/>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4、主要工艺流程及产污环节</w:t>
            </w:r>
          </w:p>
          <w:p>
            <w:pPr>
              <w:adjustRightInd w:val="0"/>
              <w:snapToGrid w:val="0"/>
              <w:spacing w:line="480" w:lineRule="exact"/>
              <w:ind w:firstLine="480" w:firstLineChars="200"/>
              <w:rPr>
                <w:rFonts w:hint="default" w:ascii="Times New Roman" w:hAnsi="Times New Roman" w:cs="Times New Roman"/>
                <w:sz w:val="24"/>
                <w:szCs w:val="32"/>
              </w:rPr>
            </w:pPr>
            <w:r>
              <w:rPr>
                <w:rFonts w:hint="default" w:ascii="Times New Roman" w:hAnsi="Times New Roman" w:cs="Times New Roman"/>
                <w:bCs/>
                <w:sz w:val="24"/>
                <w:szCs w:val="32"/>
              </w:rPr>
              <w:t>工艺流程及产污节点如下：</w:t>
            </w:r>
          </w:p>
          <w:p>
            <w:pPr>
              <w:keepNext w:val="0"/>
              <w:keepLines w:val="0"/>
              <w:pageBreakBefore w:val="0"/>
              <w:widowControl w:val="0"/>
              <w:tabs>
                <w:tab w:val="left" w:pos="1141"/>
              </w:tabs>
              <w:kinsoku/>
              <w:wordWrap/>
              <w:overflowPunct/>
              <w:topLinePunct w:val="0"/>
              <w:autoSpaceDE/>
              <w:autoSpaceDN/>
              <w:bidi w:val="0"/>
              <w:adjustRightInd/>
              <w:snapToGrid/>
              <w:jc w:val="center"/>
              <w:textAlignment w:val="auto"/>
              <w:rPr>
                <w:rFonts w:hint="default" w:ascii="Times New Roman" w:hAnsi="Times New Roman" w:cs="Times New Roman"/>
                <w:sz w:val="20"/>
              </w:rPr>
            </w:pPr>
            <w:r>
              <w:rPr>
                <w:rFonts w:hint="default" w:ascii="Times New Roman" w:hAnsi="Times New Roman" w:cs="Times New Roman"/>
              </w:rPr>
              <w:drawing>
                <wp:inline distT="0" distB="0" distL="114300" distR="114300">
                  <wp:extent cx="3467735" cy="3475990"/>
                  <wp:effectExtent l="0" t="0" r="18415" b="1016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5"/>
                          <a:stretch>
                            <a:fillRect/>
                          </a:stretch>
                        </pic:blipFill>
                        <pic:spPr>
                          <a:xfrm>
                            <a:off x="0" y="0"/>
                            <a:ext cx="3467735" cy="3475990"/>
                          </a:xfrm>
                          <a:prstGeom prst="rect">
                            <a:avLst/>
                          </a:prstGeom>
                          <a:noFill/>
                          <a:ln>
                            <a:noFill/>
                          </a:ln>
                        </pic:spPr>
                      </pic:pic>
                    </a:graphicData>
                  </a:graphic>
                </wp:inline>
              </w:drawing>
            </w:r>
          </w:p>
          <w:p>
            <w:pPr>
              <w:keepNext w:val="0"/>
              <w:keepLines w:val="0"/>
              <w:pageBreakBefore w:val="0"/>
              <w:widowControl w:val="0"/>
              <w:tabs>
                <w:tab w:val="left" w:pos="1141"/>
              </w:tabs>
              <w:kinsoku/>
              <w:wordWrap/>
              <w:overflowPunct/>
              <w:topLinePunct w:val="0"/>
              <w:autoSpaceDE/>
              <w:autoSpaceDN/>
              <w:bidi w:val="0"/>
              <w:adjustRightInd/>
              <w:snapToGrid/>
              <w:jc w:val="center"/>
              <w:textAlignment w:val="auto"/>
              <w:rPr>
                <w:rFonts w:hint="default" w:ascii="Times New Roman" w:hAnsi="Times New Roman" w:cs="Times New Roman" w:eastAsiaTheme="minorEastAsia"/>
              </w:rPr>
            </w:pPr>
            <w:r>
              <w:rPr>
                <w:rFonts w:hint="default" w:ascii="Times New Roman" w:hAnsi="Times New Roman" w:cs="Times New Roman"/>
                <w:b/>
                <w:color w:val="000000" w:themeColor="text1"/>
                <w:sz w:val="24"/>
              </w:rPr>
              <w:t>图2.2   工艺流程及污染产生工序图</w:t>
            </w:r>
          </w:p>
          <w:p>
            <w:pPr>
              <w:pStyle w:val="5"/>
              <w:spacing w:line="360" w:lineRule="auto"/>
              <w:ind w:left="0"/>
              <w:rPr>
                <w:rFonts w:hint="default" w:ascii="Times New Roman" w:hAnsi="Times New Roman" w:cs="Times New Roman" w:eastAsiaTheme="minorEastAsia"/>
                <w:sz w:val="18"/>
              </w:rPr>
            </w:pPr>
            <w:r>
              <w:rPr>
                <w:rFonts w:hint="default" w:ascii="Times New Roman" w:hAnsi="Times New Roman" w:cs="Times New Roman" w:eastAsiaTheme="minorEastAsia"/>
              </w:rPr>
              <w:t>主要工艺说明：</w:t>
            </w:r>
          </w:p>
          <w:p>
            <w:pPr>
              <w:spacing w:line="360" w:lineRule="auto"/>
              <w:ind w:firstLine="482" w:firstLineChars="200"/>
              <w:rPr>
                <w:rFonts w:hint="default" w:ascii="Times New Roman" w:hAnsi="Times New Roman" w:eastAsia="宋体" w:cs="Times New Roman"/>
                <w:b/>
                <w:bCs/>
                <w:sz w:val="24"/>
              </w:rPr>
            </w:pPr>
            <w:r>
              <w:rPr>
                <w:rFonts w:hint="default" w:ascii="Times New Roman" w:hAnsi="Times New Roman" w:eastAsia="宋体" w:cs="Times New Roman"/>
                <w:b/>
                <w:bCs/>
                <w:sz w:val="24"/>
              </w:rPr>
              <w:t>①抛丸打磨：</w:t>
            </w:r>
            <w:r>
              <w:rPr>
                <w:rFonts w:hint="default" w:ascii="Times New Roman" w:hAnsi="Times New Roman" w:eastAsia="宋体" w:cs="Times New Roman"/>
                <w:sz w:val="24"/>
              </w:rPr>
              <w:t>回收后的旧铝模板通过铝模网带通过式抛丸机对其表面上的浆砂打磨去除，打磨过程中产生的粉尘通过布袋除尘器处理回收后，定期外售</w:t>
            </w:r>
            <w:r>
              <w:rPr>
                <w:rFonts w:hint="default" w:ascii="Times New Roman" w:hAnsi="Times New Roman" w:eastAsia="宋体" w:cs="Times New Roman"/>
                <w:bCs/>
                <w:sz w:val="24"/>
              </w:rPr>
              <w:t>。</w:t>
            </w:r>
          </w:p>
          <w:p>
            <w:pPr>
              <w:spacing w:line="360" w:lineRule="auto"/>
              <w:ind w:firstLine="482" w:firstLineChars="200"/>
              <w:rPr>
                <w:rFonts w:hint="default" w:ascii="Times New Roman" w:hAnsi="Times New Roman" w:eastAsia="宋体" w:cs="Times New Roman"/>
                <w:b/>
                <w:bCs/>
                <w:sz w:val="24"/>
              </w:rPr>
            </w:pPr>
            <w:r>
              <w:rPr>
                <w:rFonts w:hint="default" w:ascii="Times New Roman" w:hAnsi="Times New Roman" w:eastAsia="宋体" w:cs="Times New Roman"/>
                <w:b/>
                <w:bCs/>
                <w:sz w:val="24"/>
              </w:rPr>
              <w:t>②除尘：</w:t>
            </w:r>
            <w:r>
              <w:rPr>
                <w:rFonts w:hint="default" w:ascii="Times New Roman" w:hAnsi="Times New Roman" w:eastAsia="宋体" w:cs="Times New Roman"/>
                <w:bCs/>
                <w:sz w:val="24"/>
              </w:rPr>
              <w:t>抛丸打磨后的旧铝模板表面附着大量粉尘，项目设置高压除尘室一套，通过悬挂运输设备将铝模板运输至高压除尘室，通过高压除尘室中的高压风机将铝模板表面粉尘除去。</w:t>
            </w:r>
          </w:p>
          <w:p>
            <w:pPr>
              <w:spacing w:line="360" w:lineRule="auto"/>
              <w:ind w:firstLine="482" w:firstLineChars="200"/>
              <w:rPr>
                <w:rFonts w:hint="default" w:ascii="Times New Roman" w:hAnsi="Times New Roman" w:eastAsia="宋体" w:cs="Times New Roman"/>
                <w:b/>
                <w:bCs/>
                <w:sz w:val="24"/>
              </w:rPr>
            </w:pPr>
            <w:r>
              <w:rPr>
                <w:rFonts w:hint="default" w:ascii="Times New Roman" w:hAnsi="Times New Roman" w:eastAsia="宋体" w:cs="Times New Roman"/>
                <w:b/>
                <w:bCs/>
                <w:sz w:val="24"/>
              </w:rPr>
              <w:t>③喷塑：</w:t>
            </w:r>
            <w:r>
              <w:rPr>
                <w:rFonts w:hint="default" w:ascii="Times New Roman" w:hAnsi="Times New Roman" w:eastAsia="宋体" w:cs="Times New Roman"/>
                <w:sz w:val="24"/>
              </w:rPr>
              <w:t>粉末喷塑由一条悬挂输送链用一套粉末固化炉、喷粉室采用全自动大旋风回收再利用形式，粉未固化炉采用</w:t>
            </w:r>
            <w:r>
              <w:rPr>
                <w:rFonts w:hint="default" w:ascii="Times New Roman" w:hAnsi="Times New Roman" w:eastAsia="宋体" w:cs="Times New Roman"/>
                <w:sz w:val="24"/>
                <w:lang w:eastAsia="zh-CN"/>
              </w:rPr>
              <w:t>燃气</w:t>
            </w:r>
            <w:r>
              <w:rPr>
                <w:rFonts w:hint="default" w:ascii="Times New Roman" w:hAnsi="Times New Roman" w:eastAsia="宋体" w:cs="Times New Roman"/>
                <w:sz w:val="24"/>
              </w:rPr>
              <w:t>热风炉形式加热。项目设置一条全自动喷粉线，粉末在供粉器中与空气混合合被送入喷粉枪，将高压静电发生器生产的高电压接到喷粉枪内部或前端，粉末在喷粉抢的内部或出口处被带上电荷，在气力的静电的共同作用下，粉末粒子定向喷涂到待涂工件上，同时也可吸附到工件背面，当附着在工件止的粉末超过一定厚度时，则发生静电相斥后来的粉末就不易被吸附到工艺表面，使工件表面达到均匀的模厚，多余的粉末在风力的作用下，被吸附在滤芯表面，压缩空气在脉冲控制仪和电磁阀的作用下，对滤芯进行脉冲，将吸附于滤芯表面的粉末振落到位于回收装置底部的供粉器中。</w:t>
            </w:r>
          </w:p>
          <w:p>
            <w:pPr>
              <w:spacing w:line="360" w:lineRule="auto"/>
              <w:ind w:firstLine="482" w:firstLineChars="200"/>
              <w:rPr>
                <w:rFonts w:hint="default" w:ascii="Times New Roman" w:hAnsi="Times New Roman" w:cs="Times New Roman"/>
                <w:b/>
                <w:color w:val="000000" w:themeColor="text1"/>
                <w:sz w:val="24"/>
              </w:rPr>
            </w:pPr>
            <w:r>
              <w:rPr>
                <w:rFonts w:hint="default" w:ascii="Times New Roman" w:hAnsi="Times New Roman" w:eastAsia="宋体" w:cs="Times New Roman"/>
                <w:b/>
                <w:bCs/>
                <w:sz w:val="24"/>
              </w:rPr>
              <w:t>④固化</w:t>
            </w:r>
            <w:r>
              <w:rPr>
                <w:rFonts w:hint="default" w:ascii="Times New Roman" w:hAnsi="Times New Roman" w:eastAsia="宋体" w:cs="Times New Roman"/>
                <w:bCs/>
                <w:sz w:val="24"/>
              </w:rPr>
              <w:t>：扩建项目设置粉末固化炉一套，通过</w:t>
            </w:r>
            <w:r>
              <w:rPr>
                <w:rFonts w:hint="default" w:ascii="Times New Roman" w:hAnsi="Times New Roman" w:eastAsia="宋体" w:cs="Times New Roman"/>
                <w:bCs/>
                <w:sz w:val="24"/>
                <w:lang w:eastAsia="zh-CN"/>
              </w:rPr>
              <w:t>生物质烘干炉</w:t>
            </w:r>
            <w:r>
              <w:rPr>
                <w:rFonts w:hint="default" w:ascii="Times New Roman" w:hAnsi="Times New Roman" w:eastAsia="宋体" w:cs="Times New Roman"/>
                <w:bCs/>
                <w:sz w:val="24"/>
              </w:rPr>
              <w:t>供热，使喷塑之后的铝模板表面的塑粉固化。</w:t>
            </w:r>
          </w:p>
          <w:p>
            <w:pPr>
              <w:spacing w:line="360" w:lineRule="auto"/>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5、项目变动情况</w:t>
            </w:r>
          </w:p>
          <w:p>
            <w:pPr>
              <w:spacing w:line="520" w:lineRule="exact"/>
              <w:ind w:firstLine="480" w:firstLineChars="200"/>
              <w:rPr>
                <w:rFonts w:hint="default" w:ascii="Times New Roman" w:hAnsi="Times New Roman" w:cs="Times New Roman"/>
                <w:color w:val="auto"/>
                <w:sz w:val="24"/>
                <w:szCs w:val="24"/>
                <w:vertAlign w:val="baseline"/>
                <w:lang w:val="en-US" w:eastAsia="zh-CN"/>
              </w:rPr>
            </w:pPr>
            <w:r>
              <w:rPr>
                <w:rFonts w:hint="default" w:ascii="Times New Roman" w:hAnsi="Times New Roman" w:cs="Times New Roman"/>
                <w:color w:val="auto"/>
                <w:sz w:val="24"/>
                <w:szCs w:val="24"/>
                <w:vertAlign w:val="baseline"/>
                <w:lang w:val="en-US" w:eastAsia="zh-CN"/>
              </w:rPr>
              <w:t>根据《关于印发&lt;污染影响类建设项目重大变动清单（试行）&gt;的通知》（环办环评函〔2020〕688号），对项目是否涉及重大变动判定如下：</w:t>
            </w:r>
          </w:p>
          <w:p>
            <w:pPr>
              <w:spacing w:line="520" w:lineRule="exact"/>
              <w:jc w:val="center"/>
              <w:rPr>
                <w:rFonts w:hint="default" w:ascii="Times New Roman" w:hAnsi="Times New Roman" w:cs="Times New Roman"/>
                <w:b/>
                <w:bCs/>
                <w:color w:val="auto"/>
                <w:sz w:val="24"/>
                <w:szCs w:val="24"/>
                <w:vertAlign w:val="baseline"/>
                <w:lang w:val="en-US" w:eastAsia="zh-CN"/>
              </w:rPr>
            </w:pPr>
            <w:r>
              <w:rPr>
                <w:rFonts w:hint="default" w:ascii="Times New Roman" w:hAnsi="Times New Roman" w:cs="Times New Roman"/>
                <w:b/>
                <w:bCs/>
                <w:color w:val="auto"/>
                <w:sz w:val="24"/>
                <w:szCs w:val="24"/>
                <w:vertAlign w:val="baseline"/>
                <w:lang w:val="en-US" w:eastAsia="zh-CN"/>
              </w:rPr>
              <w:t>表3.5 项目变动情况分析表</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3"/>
              <w:gridCol w:w="4453"/>
              <w:gridCol w:w="2455"/>
              <w:gridCol w:w="11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5496" w:type="dxa"/>
                  <w:gridSpan w:val="2"/>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eastAsia="宋体" w:cs="Times New Roman"/>
                      <w:b w:val="0"/>
                      <w:bCs w:val="0"/>
                      <w:color w:val="auto"/>
                      <w:sz w:val="21"/>
                      <w:szCs w:val="21"/>
                      <w:vertAlign w:val="baseline"/>
                      <w:lang w:val="en-US" w:eastAsia="zh-CN"/>
                    </w:rPr>
                    <w:t>《关于印发&lt;污染影响类建设项目重大变动清单（试行）&gt;的通知》（环办环评函〔2020〕688号）</w:t>
                  </w:r>
                  <w:r>
                    <w:rPr>
                      <w:rFonts w:hint="default" w:ascii="Times New Roman" w:hAnsi="Times New Roman" w:cs="Times New Roman"/>
                      <w:b w:val="0"/>
                      <w:bCs w:val="0"/>
                      <w:color w:val="auto"/>
                      <w:sz w:val="21"/>
                      <w:szCs w:val="21"/>
                      <w:vertAlign w:val="baseline"/>
                      <w:lang w:val="en-US" w:eastAsia="zh-CN"/>
                    </w:rPr>
                    <w:t>中属于重大变动的规定内容</w:t>
                  </w:r>
                </w:p>
              </w:tc>
              <w:tc>
                <w:tcPr>
                  <w:tcW w:w="245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本项目实际情况</w:t>
                  </w:r>
                </w:p>
              </w:tc>
              <w:tc>
                <w:tcPr>
                  <w:tcW w:w="1111"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是否属于重大变动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04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一、性质</w:t>
                  </w:r>
                </w:p>
              </w:tc>
              <w:tc>
                <w:tcPr>
                  <w:tcW w:w="445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1、建设项目开发、使用功能发生变化的</w:t>
                  </w:r>
                </w:p>
              </w:tc>
              <w:tc>
                <w:tcPr>
                  <w:tcW w:w="2455" w:type="dxa"/>
                  <w:vMerge w:val="restart"/>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项目生产、处置或储存能力未增加</w:t>
                  </w:r>
                </w:p>
              </w:tc>
              <w:tc>
                <w:tcPr>
                  <w:tcW w:w="1111" w:type="dxa"/>
                  <w:vMerge w:val="restart"/>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eastAsia="宋体"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4" w:hRule="atLeast"/>
              </w:trPr>
              <w:tc>
                <w:tcPr>
                  <w:tcW w:w="1043" w:type="dxa"/>
                  <w:vMerge w:val="restart"/>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二、规模</w:t>
                  </w:r>
                </w:p>
              </w:tc>
              <w:tc>
                <w:tcPr>
                  <w:tcW w:w="445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2、生产、处置或储存能力增大30%及以上的</w:t>
                  </w:r>
                </w:p>
              </w:tc>
              <w:tc>
                <w:tcPr>
                  <w:tcW w:w="2455" w:type="dxa"/>
                  <w:vMerge w:val="continue"/>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11" w:type="dxa"/>
                  <w:vMerge w:val="continue"/>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 w:hRule="atLeast"/>
              </w:trPr>
              <w:tc>
                <w:tcPr>
                  <w:tcW w:w="1043" w:type="dxa"/>
                  <w:vMerge w:val="continue"/>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3、生产、处置或储存能力增大，导致废水第一类污染物排放量增加的</w:t>
                  </w:r>
                </w:p>
              </w:tc>
              <w:tc>
                <w:tcPr>
                  <w:tcW w:w="2455" w:type="dxa"/>
                  <w:vMerge w:val="continue"/>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11" w:type="dxa"/>
                  <w:vMerge w:val="continue"/>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continue"/>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4、位于环境质量不达标区的建设项目生产、处置或储存能力增大，导致相应污染物排放量增加的（细颗粒物不达标区，相应污染物为二氧化硫、氮氧化物、可吸入颗粒物、挥发性有机物；臭氧不达标区，相应污染物为氮氧化物、挥发性有机物；其他大气、水污染物因子不达标区，相应污染物为超标污染因子）；位于达标区的建设项目生产、处置或储存能力增大，导致污染物排放量增加10%及以上的</w:t>
                  </w:r>
                </w:p>
              </w:tc>
              <w:tc>
                <w:tcPr>
                  <w:tcW w:w="2455" w:type="dxa"/>
                  <w:vMerge w:val="continue"/>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1111" w:type="dxa"/>
                  <w:vMerge w:val="continue"/>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三、地点</w:t>
                  </w:r>
                </w:p>
              </w:tc>
              <w:tc>
                <w:tcPr>
                  <w:tcW w:w="445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5、重新选址；在原厂址附近调整（包括总平面布置变化）导致环境防护距离范围变化且新增敏感点的</w:t>
                  </w:r>
                </w:p>
              </w:tc>
              <w:tc>
                <w:tcPr>
                  <w:tcW w:w="245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项目选址不变</w:t>
                  </w:r>
                </w:p>
              </w:tc>
              <w:tc>
                <w:tcPr>
                  <w:tcW w:w="1111"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restart"/>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四、生产工艺</w:t>
                  </w:r>
                </w:p>
              </w:tc>
              <w:tc>
                <w:tcPr>
                  <w:tcW w:w="445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6、新增产品品种或生产工艺（含主要生产装置、设备及配套设施）、主要原辅材料、燃料变化，导致以下情形之一：</w:t>
                  </w:r>
                </w:p>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　　（1）新增排放污染物种类的（毒性、挥发性降低的除外）；</w:t>
                  </w:r>
                </w:p>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　　（2）位于环境质量不达标区的建设项目相应污染物排放量增加的；</w:t>
                  </w:r>
                </w:p>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　　（3）废水第一类污染物排放量增加的；</w:t>
                  </w:r>
                </w:p>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　　（4）其他污染物排放量增加10%及以上的</w:t>
                  </w:r>
                </w:p>
              </w:tc>
              <w:tc>
                <w:tcPr>
                  <w:tcW w:w="245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供热燃料由燃气变为</w:t>
                  </w:r>
                  <w:r>
                    <w:rPr>
                      <w:rFonts w:hint="eastAsia" w:ascii="Times New Roman" w:hAnsi="Times New Roman" w:cs="Times New Roman"/>
                      <w:b w:val="0"/>
                      <w:bCs w:val="0"/>
                      <w:color w:val="auto"/>
                      <w:sz w:val="21"/>
                      <w:szCs w:val="21"/>
                      <w:vertAlign w:val="baseline"/>
                      <w:lang w:val="en-US" w:eastAsia="zh-CN"/>
                    </w:rPr>
                    <w:t>生物质颗粒</w:t>
                  </w:r>
                  <w:r>
                    <w:rPr>
                      <w:rFonts w:hint="default" w:ascii="Times New Roman" w:hAnsi="Times New Roman" w:cs="Times New Roman"/>
                      <w:b w:val="0"/>
                      <w:bCs w:val="0"/>
                      <w:color w:val="auto"/>
                      <w:sz w:val="21"/>
                      <w:szCs w:val="21"/>
                      <w:vertAlign w:val="baseline"/>
                      <w:lang w:val="en-US" w:eastAsia="zh-CN"/>
                    </w:rPr>
                    <w:t>，污染物种类未发生变化，污染物排放量未增加10%</w:t>
                  </w:r>
                </w:p>
              </w:tc>
              <w:tc>
                <w:tcPr>
                  <w:tcW w:w="1111"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trPr>
              <w:tc>
                <w:tcPr>
                  <w:tcW w:w="1043" w:type="dxa"/>
                  <w:vMerge w:val="continue"/>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7、物料运输、装卸、贮存方式变化，导致大气污染物无组织排放量增加10%及以上的</w:t>
                  </w:r>
                </w:p>
              </w:tc>
              <w:tc>
                <w:tcPr>
                  <w:tcW w:w="245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物料运输、装卸、贮存方式不变</w:t>
                  </w:r>
                </w:p>
              </w:tc>
              <w:tc>
                <w:tcPr>
                  <w:tcW w:w="1111"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restart"/>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五、环境保护措施</w:t>
                  </w:r>
                </w:p>
              </w:tc>
              <w:tc>
                <w:tcPr>
                  <w:tcW w:w="445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8、废气、废水污染防治措施变化，导致第6条中所列情形之一（废气无组织排放改为有组织排放、污染防治措施强化或改进的除外）或大气污染物无组织排放量增加10%及以上的</w:t>
                  </w:r>
                </w:p>
              </w:tc>
              <w:tc>
                <w:tcPr>
                  <w:tcW w:w="245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eastAsia" w:ascii="Times New Roman" w:hAnsi="Times New Roman" w:cs="Times New Roman"/>
                      <w:b w:val="0"/>
                      <w:bCs w:val="0"/>
                      <w:color w:val="auto"/>
                      <w:sz w:val="21"/>
                      <w:szCs w:val="21"/>
                      <w:vertAlign w:val="baseline"/>
                      <w:lang w:val="en-US" w:eastAsia="zh-CN"/>
                    </w:rPr>
                    <w:t>环评申报天然气燃烧废气配套低氮燃烧设备，实际采用生物质炉窑供热，燃烧废气经旋风+水膜除尘器处理后由1根15m排气筒排放</w:t>
                  </w:r>
                </w:p>
              </w:tc>
              <w:tc>
                <w:tcPr>
                  <w:tcW w:w="1111"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1043" w:type="dxa"/>
                  <w:vMerge w:val="continue"/>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9、新增废水直接排放口；废水由间接排放改为直接排放；废水直接排放口位置变化，导致不利环境影响加重的</w:t>
                  </w:r>
                </w:p>
              </w:tc>
              <w:tc>
                <w:tcPr>
                  <w:tcW w:w="245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未发生变化</w:t>
                  </w:r>
                </w:p>
              </w:tc>
              <w:tc>
                <w:tcPr>
                  <w:tcW w:w="1111"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continue"/>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10、新增废气主要排放口（废气无组织排放改为有组织排放的除外）；主要排放口排气筒高度降低10%及以上的</w:t>
                  </w:r>
                </w:p>
              </w:tc>
              <w:tc>
                <w:tcPr>
                  <w:tcW w:w="245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未发生变化</w:t>
                  </w:r>
                </w:p>
              </w:tc>
              <w:tc>
                <w:tcPr>
                  <w:tcW w:w="1111"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043" w:type="dxa"/>
                  <w:vMerge w:val="continue"/>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11、噪声、土壤或地下水污染防治措施变化，导致不利环境影响加重的</w:t>
                  </w:r>
                </w:p>
              </w:tc>
              <w:tc>
                <w:tcPr>
                  <w:tcW w:w="245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未发生变化</w:t>
                  </w:r>
                </w:p>
              </w:tc>
              <w:tc>
                <w:tcPr>
                  <w:tcW w:w="1111"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trPr>
              <w:tc>
                <w:tcPr>
                  <w:tcW w:w="1043" w:type="dxa"/>
                  <w:vMerge w:val="continue"/>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12、固体废物利用处置方式由委托外单位利用处置改为自行利用处置的（自行利用处置设施单独开展环境影响评价的除外）；固体废物自行处置方式变化，导致不利环境影响加重的</w:t>
                  </w:r>
                </w:p>
              </w:tc>
              <w:tc>
                <w:tcPr>
                  <w:tcW w:w="245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固体废物利用处置方式未发生变化，均委外处置</w:t>
                  </w:r>
                </w:p>
              </w:tc>
              <w:tc>
                <w:tcPr>
                  <w:tcW w:w="1111"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6" w:hRule="atLeast"/>
              </w:trPr>
              <w:tc>
                <w:tcPr>
                  <w:tcW w:w="1043" w:type="dxa"/>
                  <w:vMerge w:val="continue"/>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p>
              </w:tc>
              <w:tc>
                <w:tcPr>
                  <w:tcW w:w="4453"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left"/>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13、事故废水暂存能力或拦截设施变化，导致环境风险防范能力弱化或降低的</w:t>
                  </w:r>
                </w:p>
              </w:tc>
              <w:tc>
                <w:tcPr>
                  <w:tcW w:w="2455"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未发生变化</w:t>
                  </w:r>
                </w:p>
              </w:tc>
              <w:tc>
                <w:tcPr>
                  <w:tcW w:w="1111" w:type="dxa"/>
                  <w:noWrap w:val="0"/>
                  <w:vAlign w:val="center"/>
                </w:tcPr>
                <w:p>
                  <w:pPr>
                    <w:pStyle w:val="24"/>
                    <w:keepNext w:val="0"/>
                    <w:keepLines w:val="0"/>
                    <w:pageBreakBefore w:val="0"/>
                    <w:widowControl w:val="0"/>
                    <w:kinsoku/>
                    <w:wordWrap/>
                    <w:overflowPunct w:val="0"/>
                    <w:topLinePunct w:val="0"/>
                    <w:autoSpaceDE/>
                    <w:autoSpaceDN/>
                    <w:bidi w:val="0"/>
                    <w:adjustRightInd/>
                    <w:snapToGrid w:val="0"/>
                    <w:spacing w:line="240" w:lineRule="auto"/>
                    <w:ind w:firstLine="0"/>
                    <w:jc w:val="center"/>
                    <w:textAlignment w:val="auto"/>
                    <w:rPr>
                      <w:rFonts w:hint="default" w:ascii="Times New Roman" w:hAnsi="Times New Roman" w:cs="Times New Roman"/>
                      <w:b w:val="0"/>
                      <w:bCs w:val="0"/>
                      <w:color w:val="auto"/>
                      <w:sz w:val="21"/>
                      <w:szCs w:val="21"/>
                      <w:vertAlign w:val="baseline"/>
                      <w:lang w:val="en-US" w:eastAsia="zh-CN"/>
                    </w:rPr>
                  </w:pPr>
                  <w:r>
                    <w:rPr>
                      <w:rFonts w:hint="default" w:ascii="Times New Roman" w:hAnsi="Times New Roman" w:cs="Times New Roman"/>
                      <w:b w:val="0"/>
                      <w:bCs w:val="0"/>
                      <w:color w:val="auto"/>
                      <w:sz w:val="21"/>
                      <w:szCs w:val="21"/>
                      <w:vertAlign w:val="baseline"/>
                      <w:lang w:val="en-US" w:eastAsia="zh-CN"/>
                    </w:rPr>
                    <w:t>不属于</w:t>
                  </w:r>
                </w:p>
              </w:tc>
            </w:tr>
          </w:tbl>
          <w:p>
            <w:pPr>
              <w:pStyle w:val="2"/>
              <w:spacing w:after="0" w:line="360" w:lineRule="auto"/>
              <w:ind w:left="0" w:leftChars="0" w:firstLine="480" w:firstLineChars="200"/>
              <w:rPr>
                <w:rFonts w:hint="default" w:ascii="Times New Roman" w:hAnsi="Times New Roman" w:cs="Times New Roman"/>
                <w:color w:val="000000" w:themeColor="text1"/>
                <w:sz w:val="24"/>
              </w:rPr>
            </w:pPr>
            <w:r>
              <w:rPr>
                <w:rFonts w:hint="default" w:ascii="Times New Roman" w:hAnsi="Times New Roman" w:cs="Times New Roman"/>
                <w:color w:val="000000" w:themeColor="text1"/>
                <w:sz w:val="24"/>
              </w:rPr>
              <w:t>实际建设内容与环评申报内容保持一致。因此，根据《建设项目环境保护管理条例》本项目不属于重大变更，满足验收条件。</w:t>
            </w:r>
          </w:p>
          <w:p>
            <w:pPr>
              <w:pStyle w:val="2"/>
              <w:spacing w:after="0" w:line="360" w:lineRule="auto"/>
              <w:ind w:left="0" w:leftChars="0" w:firstLine="480" w:firstLineChars="200"/>
              <w:rPr>
                <w:rFonts w:hint="default" w:ascii="Times New Roman" w:hAnsi="Times New Roman" w:cs="Times New Roman"/>
                <w:color w:val="000000" w:themeColor="text1"/>
                <w:sz w:val="24"/>
              </w:rPr>
            </w:pPr>
          </w:p>
          <w:p>
            <w:pPr>
              <w:pStyle w:val="2"/>
              <w:spacing w:after="0" w:line="360" w:lineRule="auto"/>
              <w:ind w:left="0" w:leftChars="0" w:firstLine="480" w:firstLineChars="200"/>
              <w:rPr>
                <w:rFonts w:hint="default" w:ascii="Times New Roman" w:hAnsi="Times New Roman" w:cs="Times New Roman"/>
                <w:color w:val="000000" w:themeColor="text1"/>
                <w:sz w:val="24"/>
              </w:rPr>
            </w:pPr>
          </w:p>
          <w:p>
            <w:pPr>
              <w:pStyle w:val="2"/>
              <w:spacing w:after="0" w:line="360" w:lineRule="auto"/>
              <w:ind w:left="0" w:leftChars="0" w:firstLine="480" w:firstLineChars="200"/>
              <w:rPr>
                <w:rFonts w:hint="default" w:ascii="Times New Roman" w:hAnsi="Times New Roman" w:cs="Times New Roman"/>
                <w:color w:val="000000" w:themeColor="text1"/>
                <w:sz w:val="24"/>
              </w:rPr>
            </w:pPr>
          </w:p>
          <w:p>
            <w:pPr>
              <w:pStyle w:val="2"/>
              <w:spacing w:after="0" w:line="360" w:lineRule="auto"/>
              <w:ind w:left="0" w:leftChars="0" w:firstLine="480" w:firstLineChars="200"/>
              <w:rPr>
                <w:rFonts w:hint="default" w:ascii="Times New Roman" w:hAnsi="Times New Roman" w:cs="Times New Roman"/>
                <w:color w:val="000000" w:themeColor="text1"/>
                <w:sz w:val="24"/>
              </w:rPr>
            </w:pPr>
          </w:p>
          <w:p>
            <w:pPr>
              <w:pStyle w:val="2"/>
              <w:spacing w:after="0" w:line="360" w:lineRule="auto"/>
              <w:ind w:left="0" w:leftChars="0" w:firstLine="480" w:firstLineChars="200"/>
              <w:rPr>
                <w:rFonts w:hint="default" w:ascii="Times New Roman" w:hAnsi="Times New Roman" w:cs="Times New Roman"/>
                <w:color w:val="000000" w:themeColor="text1"/>
                <w:sz w:val="24"/>
              </w:rPr>
            </w:pPr>
          </w:p>
          <w:p>
            <w:pPr>
              <w:pStyle w:val="2"/>
              <w:spacing w:after="0" w:line="360" w:lineRule="auto"/>
              <w:ind w:left="0" w:leftChars="0" w:firstLine="480" w:firstLineChars="200"/>
              <w:rPr>
                <w:rFonts w:hint="default" w:ascii="Times New Roman" w:hAnsi="Times New Roman" w:cs="Times New Roman"/>
                <w:color w:val="000000" w:themeColor="text1"/>
                <w:sz w:val="24"/>
              </w:rPr>
            </w:pPr>
          </w:p>
          <w:p>
            <w:pPr>
              <w:pStyle w:val="2"/>
              <w:spacing w:after="0" w:line="360" w:lineRule="auto"/>
              <w:ind w:left="0" w:leftChars="0" w:firstLine="480" w:firstLineChars="200"/>
              <w:rPr>
                <w:rFonts w:hint="default" w:ascii="Times New Roman" w:hAnsi="Times New Roman" w:cs="Times New Roman"/>
                <w:color w:val="000000" w:themeColor="text1"/>
                <w:sz w:val="24"/>
              </w:rPr>
            </w:pPr>
          </w:p>
          <w:p>
            <w:pPr>
              <w:pStyle w:val="2"/>
              <w:spacing w:after="0" w:line="360" w:lineRule="auto"/>
              <w:ind w:left="0" w:leftChars="0" w:firstLine="480" w:firstLineChars="200"/>
              <w:rPr>
                <w:rFonts w:hint="default" w:ascii="Times New Roman" w:hAnsi="Times New Roman" w:cs="Times New Roman"/>
                <w:color w:val="000000" w:themeColor="text1"/>
                <w:sz w:val="24"/>
              </w:rPr>
            </w:pPr>
          </w:p>
          <w:p>
            <w:pPr>
              <w:pStyle w:val="2"/>
              <w:spacing w:after="0" w:line="360" w:lineRule="auto"/>
              <w:ind w:left="0" w:leftChars="0" w:firstLine="0" w:firstLineChars="0"/>
              <w:rPr>
                <w:rFonts w:hint="default" w:ascii="Times New Roman" w:hAnsi="Times New Roman" w:cs="Times New Roman"/>
                <w:color w:val="000000" w:themeColor="text1"/>
                <w:sz w:val="24"/>
              </w:rPr>
            </w:pPr>
          </w:p>
          <w:p>
            <w:pPr>
              <w:pStyle w:val="2"/>
              <w:spacing w:after="0" w:line="360" w:lineRule="auto"/>
              <w:ind w:left="0" w:leftChars="0" w:firstLine="480" w:firstLineChars="200"/>
              <w:rPr>
                <w:rFonts w:hint="default" w:ascii="Times New Roman" w:hAnsi="Times New Roman" w:cs="Times New Roman"/>
                <w:color w:val="000000" w:themeColor="text1"/>
                <w:sz w:val="24"/>
              </w:rPr>
            </w:pPr>
          </w:p>
          <w:p>
            <w:pPr>
              <w:pStyle w:val="2"/>
              <w:spacing w:after="0" w:line="360" w:lineRule="auto"/>
              <w:ind w:left="0" w:leftChars="0" w:firstLine="480" w:firstLineChars="200"/>
              <w:rPr>
                <w:rFonts w:hint="default" w:ascii="Times New Roman" w:hAnsi="Times New Roman" w:cs="Times New Roman"/>
                <w:color w:val="000000" w:themeColor="text1"/>
                <w:sz w:val="24"/>
              </w:rPr>
            </w:pPr>
          </w:p>
          <w:p>
            <w:pPr>
              <w:pStyle w:val="2"/>
              <w:spacing w:after="0" w:line="360" w:lineRule="auto"/>
              <w:ind w:left="0" w:leftChars="0" w:firstLine="480" w:firstLineChars="200"/>
              <w:rPr>
                <w:rFonts w:hint="default" w:ascii="Times New Roman" w:hAnsi="Times New Roman" w:cs="Times New Roman"/>
                <w:color w:val="000000" w:themeColor="text1"/>
                <w:sz w:val="24"/>
              </w:rPr>
            </w:pPr>
          </w:p>
          <w:p>
            <w:pPr>
              <w:pStyle w:val="2"/>
              <w:spacing w:after="0" w:line="360" w:lineRule="auto"/>
              <w:ind w:left="0" w:leftChars="0" w:firstLine="0" w:firstLineChars="0"/>
              <w:rPr>
                <w:rFonts w:hint="default" w:ascii="Times New Roman" w:hAnsi="Times New Roman" w:cs="Times New Roman"/>
                <w:color w:val="000000" w:themeColor="text1"/>
                <w:sz w:val="24"/>
                <w:lang w:eastAsia="zh-CN"/>
              </w:rPr>
            </w:pPr>
          </w:p>
          <w:p>
            <w:pPr>
              <w:pStyle w:val="2"/>
              <w:spacing w:after="0" w:line="360" w:lineRule="auto"/>
              <w:ind w:left="0" w:leftChars="0" w:firstLine="0" w:firstLineChars="0"/>
              <w:rPr>
                <w:rFonts w:hint="default" w:ascii="Times New Roman" w:hAnsi="Times New Roman" w:cs="Times New Roman"/>
                <w:color w:val="000000" w:themeColor="text1"/>
                <w:sz w:val="24"/>
                <w:lang w:eastAsia="zh-CN"/>
              </w:rPr>
            </w:pPr>
          </w:p>
          <w:p>
            <w:pPr>
              <w:pStyle w:val="2"/>
              <w:spacing w:after="0" w:line="360" w:lineRule="auto"/>
              <w:ind w:left="0" w:leftChars="0" w:firstLine="0" w:firstLineChars="0"/>
              <w:rPr>
                <w:rFonts w:hint="default" w:ascii="Times New Roman" w:hAnsi="Times New Roman" w:cs="Times New Roman"/>
                <w:color w:val="000000" w:themeColor="text1"/>
                <w:sz w:val="24"/>
                <w:lang w:eastAsia="zh-CN"/>
              </w:rPr>
            </w:pPr>
          </w:p>
          <w:p>
            <w:pPr>
              <w:pStyle w:val="2"/>
              <w:spacing w:after="0" w:line="360" w:lineRule="auto"/>
              <w:ind w:left="0" w:leftChars="0" w:firstLine="0" w:firstLineChars="0"/>
              <w:rPr>
                <w:rFonts w:hint="default" w:ascii="Times New Roman" w:hAnsi="Times New Roman" w:cs="Times New Roman"/>
                <w:color w:val="000000" w:themeColor="text1"/>
                <w:sz w:val="24"/>
                <w:lang w:eastAsia="zh-CN"/>
              </w:rPr>
            </w:pPr>
          </w:p>
          <w:p>
            <w:pPr>
              <w:pStyle w:val="2"/>
              <w:spacing w:after="0" w:line="360" w:lineRule="auto"/>
              <w:ind w:left="0" w:leftChars="0" w:firstLine="0" w:firstLineChars="0"/>
              <w:rPr>
                <w:rFonts w:hint="default" w:ascii="Times New Roman" w:hAnsi="Times New Roman" w:cs="Times New Roman"/>
                <w:color w:val="000000" w:themeColor="text1"/>
                <w:sz w:val="24"/>
                <w:lang w:eastAsia="zh-CN"/>
              </w:rPr>
            </w:pPr>
          </w:p>
          <w:p>
            <w:pPr>
              <w:pStyle w:val="2"/>
              <w:spacing w:after="0" w:line="360" w:lineRule="auto"/>
              <w:ind w:left="0" w:leftChars="0" w:firstLine="0" w:firstLineChars="0"/>
              <w:rPr>
                <w:rFonts w:hint="default" w:ascii="Times New Roman" w:hAnsi="Times New Roman" w:cs="Times New Roman"/>
                <w:color w:val="000000" w:themeColor="text1"/>
                <w:sz w:val="24"/>
                <w:lang w:eastAsia="zh-CN"/>
              </w:rPr>
            </w:pPr>
          </w:p>
          <w:p>
            <w:pPr>
              <w:pStyle w:val="2"/>
              <w:spacing w:after="0" w:line="360" w:lineRule="auto"/>
              <w:ind w:left="0" w:leftChars="0" w:firstLine="0" w:firstLineChars="0"/>
              <w:rPr>
                <w:rFonts w:hint="default" w:ascii="Times New Roman" w:hAnsi="Times New Roman" w:cs="Times New Roman"/>
                <w:color w:val="000000" w:themeColor="text1"/>
                <w:sz w:val="24"/>
                <w:lang w:eastAsia="zh-CN"/>
              </w:rPr>
            </w:pPr>
          </w:p>
          <w:p>
            <w:pPr>
              <w:pStyle w:val="2"/>
              <w:spacing w:after="0" w:line="360" w:lineRule="auto"/>
              <w:ind w:left="0" w:leftChars="0" w:firstLine="0" w:firstLineChars="0"/>
              <w:rPr>
                <w:rFonts w:hint="default" w:ascii="Times New Roman" w:hAnsi="Times New Roman" w:cs="Times New Roman" w:eastAsiaTheme="minorEastAsia"/>
                <w:color w:val="000000" w:themeColor="text1"/>
                <w:sz w:val="24"/>
                <w:lang w:eastAsia="zh-CN"/>
              </w:rPr>
            </w:pPr>
          </w:p>
        </w:tc>
      </w:tr>
    </w:tbl>
    <w:p>
      <w:pPr>
        <w:widowControl/>
        <w:jc w:val="left"/>
        <w:rPr>
          <w:rFonts w:hint="default" w:ascii="Times New Roman" w:hAnsi="Times New Roman" w:cs="Times New Roman" w:eastAsiaTheme="minorEastAsia"/>
          <w:b/>
          <w:sz w:val="28"/>
          <w:szCs w:val="28"/>
          <w:lang w:eastAsia="zh-CN"/>
        </w:rPr>
      </w:pPr>
      <w:r>
        <w:rPr>
          <w:rFonts w:hint="default" w:ascii="Times New Roman" w:hAnsi="Times New Roman" w:cs="Times New Roman"/>
          <w:b/>
          <w:sz w:val="28"/>
          <w:szCs w:val="28"/>
        </w:rPr>
        <w:t xml:space="preserve">表三  </w:t>
      </w:r>
      <w:r>
        <w:rPr>
          <w:rFonts w:hint="default" w:ascii="Times New Roman" w:hAnsi="Times New Roman" w:cs="Times New Roman"/>
          <w:b/>
          <w:sz w:val="28"/>
          <w:szCs w:val="28"/>
          <w:lang w:eastAsia="zh-CN"/>
        </w:rPr>
        <w:t>环境保护设施</w:t>
      </w:r>
    </w:p>
    <w:tbl>
      <w:tblPr>
        <w:tblStyle w:val="17"/>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068" w:hRule="atLeast"/>
        </w:trPr>
        <w:tc>
          <w:tcPr>
            <w:tcW w:w="9288" w:type="dxa"/>
          </w:tcPr>
          <w:p>
            <w:pPr>
              <w:spacing w:line="360" w:lineRule="auto"/>
              <w:ind w:firstLine="482" w:firstLineChars="200"/>
              <w:rPr>
                <w:rFonts w:hint="default" w:ascii="Times New Roman" w:hAnsi="Times New Roman" w:cs="Times New Roman"/>
                <w:b/>
                <w:bCs/>
                <w:sz w:val="24"/>
              </w:rPr>
            </w:pPr>
            <w:bookmarkStart w:id="0" w:name="_Toc21890"/>
            <w:bookmarkStart w:id="1" w:name="_Toc20734"/>
            <w:bookmarkStart w:id="2" w:name="_Toc18251"/>
            <w:bookmarkStart w:id="3" w:name="_Toc24990"/>
            <w:bookmarkStart w:id="4" w:name="_Toc12457724"/>
            <w:r>
              <w:rPr>
                <w:rFonts w:hint="default" w:ascii="Times New Roman" w:hAnsi="Times New Roman" w:cs="Times New Roman"/>
                <w:b/>
                <w:bCs/>
                <w:sz w:val="24"/>
              </w:rPr>
              <w:t>1、废水污染物</w:t>
            </w:r>
            <w:r>
              <w:rPr>
                <w:rFonts w:hint="default" w:ascii="Times New Roman" w:hAnsi="Times New Roman" w:cs="Times New Roman"/>
                <w:b/>
                <w:bCs/>
                <w:sz w:val="24"/>
                <w:lang w:eastAsia="zh-CN"/>
              </w:rPr>
              <w:t>治理</w:t>
            </w:r>
            <w:r>
              <w:rPr>
                <w:rFonts w:hint="default" w:ascii="Times New Roman" w:hAnsi="Times New Roman" w:cs="Times New Roman"/>
                <w:b/>
                <w:bCs/>
                <w:sz w:val="24"/>
                <w:lang w:val="en-US" w:eastAsia="zh-CN"/>
              </w:rPr>
              <w:t>/处置设施</w:t>
            </w:r>
            <w:r>
              <w:rPr>
                <w:rFonts w:hint="default" w:ascii="Times New Roman" w:hAnsi="Times New Roman" w:cs="Times New Roman"/>
                <w:b/>
                <w:bCs/>
                <w:sz w:val="24"/>
              </w:rPr>
              <w:t>分析</w:t>
            </w:r>
          </w:p>
          <w:p>
            <w:pPr>
              <w:pStyle w:val="2"/>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textAlignment w:val="auto"/>
              <w:rPr>
                <w:rFonts w:hint="default" w:ascii="Times New Roman" w:hAnsi="Times New Roman" w:cs="Times New Roman"/>
                <w:sz w:val="24"/>
                <w:szCs w:val="32"/>
                <w:lang w:eastAsia="zh-CN"/>
              </w:rPr>
            </w:pPr>
            <w:r>
              <w:rPr>
                <w:rFonts w:hint="default" w:ascii="Times New Roman" w:hAnsi="Times New Roman" w:eastAsia="宋体" w:cs="Times New Roman"/>
                <w:color w:val="000000"/>
                <w:kern w:val="0"/>
                <w:sz w:val="24"/>
                <w:szCs w:val="24"/>
                <w:lang w:val="en-US" w:eastAsia="zh-CN" w:bidi="ar"/>
              </w:rPr>
              <w:t>废水主要为职工生活污水。</w:t>
            </w:r>
          </w:p>
          <w:p>
            <w:pPr>
              <w:pStyle w:val="21"/>
              <w:jc w:val="center"/>
              <w:rPr>
                <w:rFonts w:hint="default" w:ascii="Times New Roman" w:hAnsi="Times New Roman" w:cs="Times New Roman"/>
                <w:b/>
                <w:bCs/>
                <w:color w:val="auto"/>
                <w:sz w:val="24"/>
                <w:lang w:val="en-US" w:eastAsia="zh-CN"/>
              </w:rPr>
            </w:pPr>
            <w:r>
              <w:rPr>
                <w:rFonts w:hint="default" w:ascii="Times New Roman" w:hAnsi="Times New Roman" w:cs="Times New Roman"/>
                <w:color w:val="auto"/>
                <w:sz w:val="24"/>
                <w:lang w:eastAsia="zh-CN"/>
              </w:rPr>
              <w:t>表</w:t>
            </w:r>
            <w:r>
              <w:rPr>
                <w:rFonts w:hint="default" w:ascii="Times New Roman" w:hAnsi="Times New Roman" w:cs="Times New Roman"/>
                <w:color w:val="auto"/>
                <w:sz w:val="24"/>
                <w:lang w:val="en-US" w:eastAsia="zh-CN"/>
              </w:rPr>
              <w:t xml:space="preserve">3.1 </w:t>
            </w:r>
            <w:r>
              <w:rPr>
                <w:rFonts w:hint="default" w:ascii="Times New Roman" w:hAnsi="Times New Roman" w:cs="Times New Roman"/>
                <w:b/>
                <w:bCs/>
                <w:color w:val="auto"/>
                <w:sz w:val="24"/>
              </w:rPr>
              <w:t>废</w:t>
            </w:r>
            <w:r>
              <w:rPr>
                <w:rFonts w:hint="default" w:ascii="Times New Roman" w:hAnsi="Times New Roman" w:cs="Times New Roman"/>
                <w:b/>
                <w:bCs/>
                <w:color w:val="auto"/>
                <w:sz w:val="24"/>
                <w:lang w:eastAsia="zh-CN"/>
              </w:rPr>
              <w:t>水污染物情况一览表</w:t>
            </w:r>
          </w:p>
          <w:tbl>
            <w:tblPr>
              <w:tblStyle w:val="18"/>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37"/>
              <w:gridCol w:w="662"/>
              <w:gridCol w:w="1020"/>
              <w:gridCol w:w="641"/>
              <w:gridCol w:w="1003"/>
              <w:gridCol w:w="673"/>
              <w:gridCol w:w="1025"/>
              <w:gridCol w:w="753"/>
              <w:gridCol w:w="739"/>
              <w:gridCol w:w="1007"/>
              <w:gridCol w:w="1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 w:type="pct"/>
                  <w:vAlign w:val="center"/>
                </w:tcPr>
                <w:p>
                  <w:pPr>
                    <w:pStyle w:val="21"/>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废水类别</w:t>
                  </w:r>
                </w:p>
              </w:tc>
              <w:tc>
                <w:tcPr>
                  <w:tcW w:w="365" w:type="pct"/>
                  <w:vAlign w:val="center"/>
                </w:tcPr>
                <w:p>
                  <w:pPr>
                    <w:pStyle w:val="21"/>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来源</w:t>
                  </w:r>
                </w:p>
              </w:tc>
              <w:tc>
                <w:tcPr>
                  <w:tcW w:w="562" w:type="pct"/>
                  <w:vAlign w:val="center"/>
                </w:tcPr>
                <w:p>
                  <w:pPr>
                    <w:pStyle w:val="21"/>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污染物种类</w:t>
                  </w:r>
                </w:p>
              </w:tc>
              <w:tc>
                <w:tcPr>
                  <w:tcW w:w="353" w:type="pct"/>
                  <w:vAlign w:val="center"/>
                </w:tcPr>
                <w:p>
                  <w:pPr>
                    <w:pStyle w:val="21"/>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排放规律</w:t>
                  </w:r>
                </w:p>
              </w:tc>
              <w:tc>
                <w:tcPr>
                  <w:tcW w:w="553" w:type="pct"/>
                  <w:vAlign w:val="center"/>
                </w:tcPr>
                <w:p>
                  <w:pPr>
                    <w:pStyle w:val="21"/>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产生量</w:t>
                  </w:r>
                </w:p>
              </w:tc>
              <w:tc>
                <w:tcPr>
                  <w:tcW w:w="371" w:type="pct"/>
                  <w:vAlign w:val="center"/>
                </w:tcPr>
                <w:p>
                  <w:pPr>
                    <w:pStyle w:val="21"/>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治理设施</w:t>
                  </w:r>
                </w:p>
              </w:tc>
              <w:tc>
                <w:tcPr>
                  <w:tcW w:w="565" w:type="pct"/>
                  <w:vAlign w:val="center"/>
                </w:tcPr>
                <w:p>
                  <w:pPr>
                    <w:pStyle w:val="21"/>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处理工艺</w:t>
                  </w:r>
                </w:p>
              </w:tc>
              <w:tc>
                <w:tcPr>
                  <w:tcW w:w="415" w:type="pct"/>
                  <w:vAlign w:val="center"/>
                </w:tcPr>
                <w:p>
                  <w:pPr>
                    <w:pStyle w:val="21"/>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处理能力</w:t>
                  </w:r>
                </w:p>
              </w:tc>
              <w:tc>
                <w:tcPr>
                  <w:tcW w:w="407" w:type="pct"/>
                  <w:vAlign w:val="center"/>
                </w:tcPr>
                <w:p>
                  <w:pPr>
                    <w:pStyle w:val="21"/>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设计指标</w:t>
                  </w:r>
                </w:p>
              </w:tc>
              <w:tc>
                <w:tcPr>
                  <w:tcW w:w="555" w:type="pct"/>
                  <w:vAlign w:val="center"/>
                </w:tcPr>
                <w:p>
                  <w:pPr>
                    <w:pStyle w:val="21"/>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废水回用量</w:t>
                  </w:r>
                </w:p>
              </w:tc>
              <w:tc>
                <w:tcPr>
                  <w:tcW w:w="552" w:type="pct"/>
                  <w:vAlign w:val="center"/>
                </w:tcPr>
                <w:p>
                  <w:pPr>
                    <w:pStyle w:val="21"/>
                    <w:spacing w:line="240" w:lineRule="auto"/>
                    <w:jc w:val="center"/>
                    <w:rPr>
                      <w:rFonts w:hint="default" w:ascii="Times New Roman" w:hAnsi="Times New Roman"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排放去向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6" w:type="pct"/>
                  <w:vAlign w:val="center"/>
                </w:tcPr>
                <w:p>
                  <w:pPr>
                    <w:pStyle w:val="21"/>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生活污水</w:t>
                  </w:r>
                </w:p>
              </w:tc>
              <w:tc>
                <w:tcPr>
                  <w:tcW w:w="365" w:type="pct"/>
                  <w:vAlign w:val="center"/>
                </w:tcPr>
                <w:p>
                  <w:pPr>
                    <w:pStyle w:val="21"/>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职工生活</w:t>
                  </w:r>
                </w:p>
              </w:tc>
              <w:tc>
                <w:tcPr>
                  <w:tcW w:w="562" w:type="pct"/>
                  <w:vAlign w:val="center"/>
                </w:tcPr>
                <w:p>
                  <w:pPr>
                    <w:pStyle w:val="21"/>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val="0"/>
                      <w:sz w:val="21"/>
                      <w:szCs w:val="21"/>
                    </w:rPr>
                    <w:t>pH、</w:t>
                  </w:r>
                  <w:r>
                    <w:rPr>
                      <w:rFonts w:hint="default" w:ascii="Times New Roman" w:hAnsi="Times New Roman" w:cs="Times New Roman"/>
                      <w:b w:val="0"/>
                      <w:bCs w:val="0"/>
                      <w:sz w:val="21"/>
                      <w:szCs w:val="21"/>
                      <w:lang w:val="en-US" w:eastAsia="zh-CN"/>
                    </w:rPr>
                    <w:t>BOD</w:t>
                  </w:r>
                  <w:r>
                    <w:rPr>
                      <w:rFonts w:hint="default" w:ascii="Times New Roman" w:hAnsi="Times New Roman" w:cs="Times New Roman"/>
                      <w:b w:val="0"/>
                      <w:bCs w:val="0"/>
                      <w:sz w:val="21"/>
                      <w:szCs w:val="21"/>
                      <w:vertAlign w:val="subscript"/>
                      <w:lang w:val="en-US" w:eastAsia="zh-CN"/>
                    </w:rPr>
                    <w:t>5</w:t>
                  </w:r>
                  <w:r>
                    <w:rPr>
                      <w:rFonts w:hint="default" w:ascii="Times New Roman" w:hAnsi="Times New Roman" w:cs="Times New Roman"/>
                      <w:b w:val="0"/>
                      <w:bCs w:val="0"/>
                      <w:sz w:val="21"/>
                      <w:szCs w:val="21"/>
                    </w:rPr>
                    <w:t>、NH</w:t>
                  </w:r>
                  <w:r>
                    <w:rPr>
                      <w:rFonts w:hint="default" w:ascii="Times New Roman" w:hAnsi="Times New Roman" w:cs="Times New Roman"/>
                      <w:b w:val="0"/>
                      <w:bCs w:val="0"/>
                      <w:sz w:val="21"/>
                      <w:szCs w:val="21"/>
                      <w:vertAlign w:val="subscript"/>
                    </w:rPr>
                    <w:t>3</w:t>
                  </w:r>
                  <w:r>
                    <w:rPr>
                      <w:rFonts w:hint="default" w:ascii="Times New Roman" w:hAnsi="Times New Roman" w:cs="Times New Roman"/>
                      <w:b w:val="0"/>
                      <w:bCs w:val="0"/>
                      <w:sz w:val="21"/>
                      <w:szCs w:val="21"/>
                    </w:rPr>
                    <w:t>-N、</w:t>
                  </w:r>
                  <w:r>
                    <w:rPr>
                      <w:rFonts w:hint="default" w:ascii="Times New Roman" w:hAnsi="Times New Roman" w:cs="Times New Roman"/>
                      <w:b w:val="0"/>
                      <w:bCs w:val="0"/>
                      <w:sz w:val="21"/>
                      <w:szCs w:val="21"/>
                      <w:lang w:val="en-US" w:eastAsia="zh-CN"/>
                    </w:rPr>
                    <w:t>SS</w:t>
                  </w:r>
                  <w:r>
                    <w:rPr>
                      <w:rFonts w:hint="default" w:ascii="Times New Roman" w:hAnsi="Times New Roman" w:cs="Times New Roman"/>
                      <w:b w:val="0"/>
                      <w:bCs w:val="0"/>
                      <w:sz w:val="21"/>
                      <w:szCs w:val="21"/>
                      <w:lang w:eastAsia="zh-CN"/>
                    </w:rPr>
                    <w:t>、</w:t>
                  </w:r>
                  <w:r>
                    <w:rPr>
                      <w:rFonts w:hint="default" w:ascii="Times New Roman" w:hAnsi="Times New Roman" w:cs="Times New Roman"/>
                      <w:b w:val="0"/>
                      <w:bCs w:val="0"/>
                      <w:sz w:val="21"/>
                      <w:szCs w:val="21"/>
                      <w:lang w:val="en-US" w:eastAsia="zh-CN"/>
                    </w:rPr>
                    <w:t>TP</w:t>
                  </w:r>
                </w:p>
              </w:tc>
              <w:tc>
                <w:tcPr>
                  <w:tcW w:w="353" w:type="pct"/>
                  <w:vAlign w:val="center"/>
                </w:tcPr>
                <w:p>
                  <w:pPr>
                    <w:pStyle w:val="21"/>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间歇</w:t>
                  </w:r>
                </w:p>
              </w:tc>
              <w:tc>
                <w:tcPr>
                  <w:tcW w:w="553" w:type="pct"/>
                  <w:vAlign w:val="center"/>
                </w:tcPr>
                <w:p>
                  <w:pPr>
                    <w:pStyle w:val="21"/>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lang w:val="en-US" w:eastAsia="zh-CN"/>
                    </w:rPr>
                    <w:t>384t</w:t>
                  </w:r>
                  <w:r>
                    <w:rPr>
                      <w:rFonts w:hint="default" w:ascii="Times New Roman" w:hAnsi="Times New Roman" w:eastAsia="宋体" w:cs="Times New Roman"/>
                      <w:b w:val="0"/>
                      <w:bCs/>
                      <w:color w:val="auto"/>
                      <w:sz w:val="21"/>
                      <w:szCs w:val="21"/>
                    </w:rPr>
                    <w:t>/a</w:t>
                  </w:r>
                </w:p>
              </w:tc>
              <w:tc>
                <w:tcPr>
                  <w:tcW w:w="371" w:type="pct"/>
                  <w:vAlign w:val="center"/>
                </w:tcPr>
                <w:p>
                  <w:pPr>
                    <w:pStyle w:val="21"/>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化粪池</w:t>
                  </w:r>
                </w:p>
              </w:tc>
              <w:tc>
                <w:tcPr>
                  <w:tcW w:w="565" w:type="pct"/>
                  <w:vAlign w:val="center"/>
                </w:tcPr>
                <w:p>
                  <w:pPr>
                    <w:pStyle w:val="21"/>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化粪池</w:t>
                  </w:r>
                </w:p>
              </w:tc>
              <w:tc>
                <w:tcPr>
                  <w:tcW w:w="415" w:type="pct"/>
                  <w:vAlign w:val="center"/>
                </w:tcPr>
                <w:p>
                  <w:pPr>
                    <w:pStyle w:val="21"/>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10t/d</w:t>
                  </w:r>
                </w:p>
              </w:tc>
              <w:tc>
                <w:tcPr>
                  <w:tcW w:w="407" w:type="pct"/>
                  <w:vAlign w:val="center"/>
                </w:tcPr>
                <w:p>
                  <w:pPr>
                    <w:pStyle w:val="21"/>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10t/d</w:t>
                  </w:r>
                </w:p>
              </w:tc>
              <w:tc>
                <w:tcPr>
                  <w:tcW w:w="555" w:type="pct"/>
                  <w:vAlign w:val="center"/>
                </w:tcPr>
                <w:p>
                  <w:pPr>
                    <w:pStyle w:val="21"/>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w:t>
                  </w:r>
                </w:p>
              </w:tc>
              <w:tc>
                <w:tcPr>
                  <w:tcW w:w="552" w:type="pct"/>
                  <w:vAlign w:val="center"/>
                </w:tcPr>
                <w:p>
                  <w:pPr>
                    <w:pStyle w:val="21"/>
                    <w:spacing w:line="240" w:lineRule="auto"/>
                    <w:jc w:val="center"/>
                    <w:rPr>
                      <w:rFonts w:hint="default" w:ascii="Times New Roman" w:hAnsi="Times New Roman" w:eastAsia="宋体" w:cs="Times New Roman"/>
                      <w:b w:val="0"/>
                      <w:bCs/>
                      <w:color w:val="auto"/>
                      <w:sz w:val="21"/>
                      <w:szCs w:val="21"/>
                      <w:vertAlign w:val="baseline"/>
                      <w:lang w:val="en-US" w:eastAsia="zh-CN"/>
                    </w:rPr>
                  </w:pPr>
                  <w:r>
                    <w:rPr>
                      <w:rFonts w:hint="default" w:ascii="Times New Roman" w:hAnsi="Times New Roman" w:cs="Times New Roman"/>
                      <w:b w:val="0"/>
                      <w:bCs/>
                      <w:color w:val="auto"/>
                      <w:sz w:val="21"/>
                      <w:szCs w:val="21"/>
                      <w:vertAlign w:val="baseline"/>
                      <w:lang w:val="en-US" w:eastAsia="zh-CN"/>
                    </w:rPr>
                    <w:t>定期清掏，用于周边农业施肥不外排</w:t>
                  </w:r>
                </w:p>
              </w:tc>
            </w:tr>
          </w:tbl>
          <w:p>
            <w:p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rPr>
              <w:t>2、废气污染物</w:t>
            </w:r>
            <w:r>
              <w:rPr>
                <w:rFonts w:hint="default" w:ascii="Times New Roman" w:hAnsi="Times New Roman" w:cs="Times New Roman"/>
                <w:b/>
                <w:bCs/>
                <w:sz w:val="24"/>
                <w:lang w:eastAsia="zh-CN"/>
              </w:rPr>
              <w:t>治理</w:t>
            </w:r>
            <w:r>
              <w:rPr>
                <w:rFonts w:hint="default" w:ascii="Times New Roman" w:hAnsi="Times New Roman" w:cs="Times New Roman"/>
                <w:b/>
                <w:bCs/>
                <w:sz w:val="24"/>
                <w:lang w:val="en-US" w:eastAsia="zh-CN"/>
              </w:rPr>
              <w:t>/处置设施</w:t>
            </w:r>
            <w:r>
              <w:rPr>
                <w:rFonts w:hint="default" w:ascii="Times New Roman" w:hAnsi="Times New Roman" w:cs="Times New Roman"/>
                <w:b/>
                <w:bCs/>
                <w:sz w:val="24"/>
              </w:rPr>
              <w:t>分析</w:t>
            </w:r>
          </w:p>
          <w:p>
            <w:pPr>
              <w:adjustRightInd w:val="0"/>
              <w:spacing w:line="360" w:lineRule="auto"/>
              <w:ind w:firstLine="480" w:firstLineChars="200"/>
              <w:rPr>
                <w:rFonts w:hint="default" w:ascii="Times New Roman" w:hAnsi="Times New Roman" w:cs="Times New Roman"/>
                <w:b w:val="0"/>
                <w:bCs w:val="0"/>
                <w:sz w:val="24"/>
                <w:lang w:val="en-US" w:eastAsia="zh-CN"/>
              </w:rPr>
            </w:pPr>
            <w:r>
              <w:rPr>
                <w:rFonts w:hint="default" w:ascii="Times New Roman" w:hAnsi="Times New Roman" w:eastAsia="宋体" w:cs="Times New Roman"/>
                <w:color w:val="auto"/>
                <w:sz w:val="24"/>
                <w:lang w:eastAsia="zh-CN"/>
              </w:rPr>
              <w:t>废气主要为烘干、筛分废气，燃料废气，搅拌、包装粉尘，筒仓粉尘，运输扬尘，食堂油烟</w:t>
            </w:r>
            <w:r>
              <w:rPr>
                <w:rFonts w:hint="default" w:ascii="Times New Roman" w:hAnsi="Times New Roman" w:cs="Times New Roman"/>
                <w:b w:val="0"/>
                <w:bCs w:val="0"/>
                <w:sz w:val="24"/>
                <w:lang w:val="en-US" w:eastAsia="zh-CN"/>
              </w:rPr>
              <w:t>，详见下表。</w:t>
            </w:r>
          </w:p>
          <w:p>
            <w:pPr>
              <w:pStyle w:val="21"/>
              <w:jc w:val="center"/>
              <w:rPr>
                <w:rFonts w:hint="default" w:ascii="Times New Roman" w:hAnsi="Times New Roman" w:eastAsia="宋体" w:cs="Times New Roman"/>
                <w:color w:val="000000" w:themeColor="text1"/>
                <w:sz w:val="24"/>
                <w:vertAlign w:val="baseline"/>
                <w:lang w:val="en-US" w:eastAsia="zh-CN"/>
              </w:rPr>
            </w:pPr>
            <w:r>
              <w:rPr>
                <w:rFonts w:hint="default" w:ascii="Times New Roman" w:hAnsi="Times New Roman" w:cs="Times New Roman"/>
                <w:color w:val="000000" w:themeColor="text1"/>
                <w:sz w:val="24"/>
                <w:lang w:eastAsia="zh-CN"/>
              </w:rPr>
              <w:t>表</w:t>
            </w:r>
            <w:r>
              <w:rPr>
                <w:rFonts w:hint="default" w:ascii="Times New Roman" w:hAnsi="Times New Roman" w:cs="Times New Roman"/>
                <w:color w:val="000000" w:themeColor="text1"/>
                <w:sz w:val="24"/>
                <w:lang w:val="en-US" w:eastAsia="zh-CN"/>
              </w:rPr>
              <w:t xml:space="preserve">3.2 </w:t>
            </w:r>
            <w:r>
              <w:rPr>
                <w:rFonts w:hint="default" w:ascii="Times New Roman" w:hAnsi="Times New Roman" w:cs="Times New Roman"/>
                <w:b/>
                <w:bCs/>
                <w:sz w:val="24"/>
              </w:rPr>
              <w:t>废</w:t>
            </w:r>
            <w:r>
              <w:rPr>
                <w:rFonts w:hint="default" w:ascii="Times New Roman" w:hAnsi="Times New Roman" w:cs="Times New Roman"/>
                <w:b/>
                <w:bCs/>
                <w:sz w:val="24"/>
                <w:lang w:eastAsia="zh-CN"/>
              </w:rPr>
              <w:t>气污染物情况一览表</w:t>
            </w: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8"/>
              <w:gridCol w:w="809"/>
              <w:gridCol w:w="832"/>
              <w:gridCol w:w="667"/>
              <w:gridCol w:w="932"/>
              <w:gridCol w:w="810"/>
              <w:gridCol w:w="1031"/>
              <w:gridCol w:w="1179"/>
              <w:gridCol w:w="704"/>
              <w:gridCol w:w="12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7" w:type="pct"/>
                  <w:vAlign w:val="center"/>
                </w:tcPr>
                <w:p>
                  <w:pPr>
                    <w:pStyle w:val="21"/>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废气名称</w:t>
                  </w:r>
                </w:p>
              </w:tc>
              <w:tc>
                <w:tcPr>
                  <w:tcW w:w="448" w:type="pct"/>
                  <w:vAlign w:val="center"/>
                </w:tcPr>
                <w:p>
                  <w:pPr>
                    <w:pStyle w:val="21"/>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来源</w:t>
                  </w:r>
                </w:p>
              </w:tc>
              <w:tc>
                <w:tcPr>
                  <w:tcW w:w="460" w:type="pct"/>
                  <w:vAlign w:val="center"/>
                </w:tcPr>
                <w:p>
                  <w:pPr>
                    <w:pStyle w:val="21"/>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污染物种类</w:t>
                  </w:r>
                </w:p>
              </w:tc>
              <w:tc>
                <w:tcPr>
                  <w:tcW w:w="369" w:type="pct"/>
                  <w:vAlign w:val="center"/>
                </w:tcPr>
                <w:p>
                  <w:pPr>
                    <w:pStyle w:val="21"/>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排放方式</w:t>
                  </w:r>
                </w:p>
              </w:tc>
              <w:tc>
                <w:tcPr>
                  <w:tcW w:w="515" w:type="pct"/>
                  <w:vAlign w:val="center"/>
                </w:tcPr>
                <w:p>
                  <w:pPr>
                    <w:pStyle w:val="21"/>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治理设施</w:t>
                  </w:r>
                </w:p>
              </w:tc>
              <w:tc>
                <w:tcPr>
                  <w:tcW w:w="448" w:type="pct"/>
                  <w:vAlign w:val="center"/>
                </w:tcPr>
                <w:p>
                  <w:pPr>
                    <w:pStyle w:val="21"/>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工艺与规模</w:t>
                  </w:r>
                </w:p>
              </w:tc>
              <w:tc>
                <w:tcPr>
                  <w:tcW w:w="569" w:type="pct"/>
                  <w:vAlign w:val="center"/>
                </w:tcPr>
                <w:p>
                  <w:pPr>
                    <w:pStyle w:val="21"/>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设计指标</w:t>
                  </w:r>
                </w:p>
              </w:tc>
              <w:tc>
                <w:tcPr>
                  <w:tcW w:w="639" w:type="pct"/>
                  <w:vAlign w:val="center"/>
                </w:tcPr>
                <w:p>
                  <w:pPr>
                    <w:pStyle w:val="21"/>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排气筒高度/内径尺寸</w:t>
                  </w:r>
                </w:p>
              </w:tc>
              <w:tc>
                <w:tcPr>
                  <w:tcW w:w="390" w:type="pct"/>
                  <w:vAlign w:val="center"/>
                </w:tcPr>
                <w:p>
                  <w:pPr>
                    <w:pStyle w:val="21"/>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排放去向</w:t>
                  </w:r>
                </w:p>
              </w:tc>
              <w:tc>
                <w:tcPr>
                  <w:tcW w:w="710" w:type="pct"/>
                  <w:vAlign w:val="center"/>
                </w:tcPr>
                <w:p>
                  <w:pPr>
                    <w:pStyle w:val="21"/>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治理设施监测点设置/开孔情况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7" w:type="pct"/>
                  <w:vAlign w:val="center"/>
                </w:tcPr>
                <w:p>
                  <w:pPr>
                    <w:pStyle w:val="21"/>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eastAsia="宋体" w:cs="Times New Roman"/>
                      <w:b w:val="0"/>
                      <w:bCs/>
                      <w:color w:val="000000" w:themeColor="text1"/>
                      <w:sz w:val="21"/>
                      <w:szCs w:val="21"/>
                      <w:vertAlign w:val="baseline"/>
                      <w:lang w:val="en-US" w:eastAsia="zh-CN"/>
                    </w:rPr>
                    <w:t>抛丸打磨粉尘</w:t>
                  </w:r>
                </w:p>
              </w:tc>
              <w:tc>
                <w:tcPr>
                  <w:tcW w:w="448" w:type="pct"/>
                  <w:vAlign w:val="center"/>
                </w:tcPr>
                <w:p>
                  <w:pPr>
                    <w:pStyle w:val="21"/>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eastAsia="宋体" w:cs="Times New Roman"/>
                      <w:b w:val="0"/>
                      <w:bCs/>
                      <w:color w:val="000000" w:themeColor="text1"/>
                      <w:sz w:val="21"/>
                      <w:szCs w:val="21"/>
                      <w:vertAlign w:val="baseline"/>
                      <w:lang w:val="en-US" w:eastAsia="zh-CN"/>
                    </w:rPr>
                    <w:t>抛丸工序</w:t>
                  </w:r>
                </w:p>
              </w:tc>
              <w:tc>
                <w:tcPr>
                  <w:tcW w:w="460" w:type="pct"/>
                  <w:vAlign w:val="center"/>
                </w:tcPr>
                <w:p>
                  <w:pPr>
                    <w:pStyle w:val="21"/>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eastAsia="宋体" w:cs="Times New Roman"/>
                      <w:b w:val="0"/>
                      <w:bCs/>
                      <w:color w:val="000000" w:themeColor="text1"/>
                      <w:sz w:val="21"/>
                      <w:szCs w:val="21"/>
                      <w:vertAlign w:val="baseline"/>
                      <w:lang w:val="en-US" w:eastAsia="zh-CN"/>
                    </w:rPr>
                    <w:t>颗粒物</w:t>
                  </w:r>
                </w:p>
              </w:tc>
              <w:tc>
                <w:tcPr>
                  <w:tcW w:w="369" w:type="pct"/>
                  <w:vAlign w:val="center"/>
                </w:tcPr>
                <w:p>
                  <w:pPr>
                    <w:pStyle w:val="21"/>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有组织</w:t>
                  </w:r>
                </w:p>
              </w:tc>
              <w:tc>
                <w:tcPr>
                  <w:tcW w:w="515" w:type="pct"/>
                  <w:vAlign w:val="center"/>
                </w:tcPr>
                <w:p>
                  <w:pPr>
                    <w:pStyle w:val="21"/>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脉冲布袋除尘器</w:t>
                  </w:r>
                </w:p>
              </w:tc>
              <w:tc>
                <w:tcPr>
                  <w:tcW w:w="448" w:type="pct"/>
                  <w:vAlign w:val="center"/>
                </w:tcPr>
                <w:p>
                  <w:pPr>
                    <w:pStyle w:val="21"/>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除尘系统</w:t>
                  </w:r>
                </w:p>
              </w:tc>
              <w:tc>
                <w:tcPr>
                  <w:tcW w:w="569" w:type="pct"/>
                  <w:vAlign w:val="center"/>
                </w:tcPr>
                <w:p>
                  <w:pPr>
                    <w:pStyle w:val="21"/>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风机风量6000m</w:t>
                  </w:r>
                  <w:r>
                    <w:rPr>
                      <w:rFonts w:hint="default" w:ascii="Times New Roman" w:hAnsi="Times New Roman" w:cs="Times New Roman"/>
                      <w:b w:val="0"/>
                      <w:bCs/>
                      <w:color w:val="000000" w:themeColor="text1"/>
                      <w:sz w:val="21"/>
                      <w:szCs w:val="21"/>
                      <w:vertAlign w:val="superscript"/>
                      <w:lang w:val="en-US" w:eastAsia="zh-CN"/>
                    </w:rPr>
                    <w:t>3</w:t>
                  </w:r>
                  <w:r>
                    <w:rPr>
                      <w:rFonts w:hint="default" w:ascii="Times New Roman" w:hAnsi="Times New Roman" w:cs="Times New Roman"/>
                      <w:b w:val="0"/>
                      <w:bCs/>
                      <w:color w:val="000000" w:themeColor="text1"/>
                      <w:sz w:val="21"/>
                      <w:szCs w:val="21"/>
                      <w:vertAlign w:val="baseline"/>
                      <w:lang w:val="en-US" w:eastAsia="zh-CN"/>
                    </w:rPr>
                    <w:t>/h</w:t>
                  </w:r>
                </w:p>
              </w:tc>
              <w:tc>
                <w:tcPr>
                  <w:tcW w:w="639" w:type="pct"/>
                  <w:vAlign w:val="center"/>
                </w:tcPr>
                <w:p>
                  <w:pPr>
                    <w:pStyle w:val="21"/>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15m/0.5m</w:t>
                  </w:r>
                </w:p>
              </w:tc>
              <w:tc>
                <w:tcPr>
                  <w:tcW w:w="390" w:type="pct"/>
                  <w:vAlign w:val="center"/>
                </w:tcPr>
                <w:p>
                  <w:pPr>
                    <w:pStyle w:val="21"/>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大气</w:t>
                  </w:r>
                </w:p>
              </w:tc>
              <w:tc>
                <w:tcPr>
                  <w:tcW w:w="710" w:type="pct"/>
                  <w:vAlign w:val="center"/>
                </w:tcPr>
                <w:p>
                  <w:pPr>
                    <w:pStyle w:val="21"/>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已开孔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7" w:type="pct"/>
                  <w:vAlign w:val="center"/>
                </w:tcPr>
                <w:p>
                  <w:pPr>
                    <w:pStyle w:val="21"/>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高压除尘粉尘</w:t>
                  </w:r>
                </w:p>
              </w:tc>
              <w:tc>
                <w:tcPr>
                  <w:tcW w:w="448" w:type="pct"/>
                  <w:vAlign w:val="center"/>
                </w:tcPr>
                <w:p>
                  <w:pPr>
                    <w:pStyle w:val="21"/>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高压除尘工序</w:t>
                  </w:r>
                </w:p>
              </w:tc>
              <w:tc>
                <w:tcPr>
                  <w:tcW w:w="460" w:type="pct"/>
                  <w:vAlign w:val="center"/>
                </w:tcPr>
                <w:p>
                  <w:pPr>
                    <w:pStyle w:val="21"/>
                    <w:spacing w:line="240" w:lineRule="auto"/>
                    <w:jc w:val="center"/>
                    <w:rPr>
                      <w:rFonts w:hint="default" w:ascii="Times New Roman" w:hAnsi="Times New Roman" w:eastAsia="宋体"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颗粒物</w:t>
                  </w:r>
                </w:p>
              </w:tc>
              <w:tc>
                <w:tcPr>
                  <w:tcW w:w="369" w:type="pct"/>
                  <w:vAlign w:val="center"/>
                </w:tcPr>
                <w:p>
                  <w:pPr>
                    <w:pStyle w:val="21"/>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无组织</w:t>
                  </w:r>
                </w:p>
              </w:tc>
              <w:tc>
                <w:tcPr>
                  <w:tcW w:w="515" w:type="pct"/>
                  <w:vAlign w:val="center"/>
                </w:tcPr>
                <w:p>
                  <w:pPr>
                    <w:pStyle w:val="21"/>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旋风除尘器</w:t>
                  </w:r>
                </w:p>
              </w:tc>
              <w:tc>
                <w:tcPr>
                  <w:tcW w:w="448" w:type="pct"/>
                  <w:vAlign w:val="center"/>
                </w:tcPr>
                <w:p>
                  <w:pPr>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除尘系统</w:t>
                  </w:r>
                </w:p>
              </w:tc>
              <w:tc>
                <w:tcPr>
                  <w:tcW w:w="569" w:type="pct"/>
                  <w:vAlign w:val="center"/>
                </w:tcPr>
                <w:p>
                  <w:pPr>
                    <w:pStyle w:val="21"/>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风机风量6000m</w:t>
                  </w:r>
                  <w:r>
                    <w:rPr>
                      <w:rFonts w:hint="default" w:ascii="Times New Roman" w:hAnsi="Times New Roman" w:cs="Times New Roman"/>
                      <w:b w:val="0"/>
                      <w:bCs/>
                      <w:color w:val="000000" w:themeColor="text1"/>
                      <w:sz w:val="21"/>
                      <w:szCs w:val="21"/>
                      <w:vertAlign w:val="superscript"/>
                      <w:lang w:val="en-US" w:eastAsia="zh-CN"/>
                    </w:rPr>
                    <w:t>3</w:t>
                  </w:r>
                  <w:r>
                    <w:rPr>
                      <w:rFonts w:hint="default" w:ascii="Times New Roman" w:hAnsi="Times New Roman" w:cs="Times New Roman"/>
                      <w:b w:val="0"/>
                      <w:bCs/>
                      <w:color w:val="000000" w:themeColor="text1"/>
                      <w:sz w:val="21"/>
                      <w:szCs w:val="21"/>
                      <w:vertAlign w:val="baseline"/>
                      <w:lang w:val="en-US" w:eastAsia="zh-CN"/>
                    </w:rPr>
                    <w:t>/h</w:t>
                  </w:r>
                </w:p>
              </w:tc>
              <w:tc>
                <w:tcPr>
                  <w:tcW w:w="639" w:type="pct"/>
                  <w:vAlign w:val="center"/>
                </w:tcPr>
                <w:p>
                  <w:pPr>
                    <w:pStyle w:val="21"/>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w:t>
                  </w:r>
                </w:p>
              </w:tc>
              <w:tc>
                <w:tcPr>
                  <w:tcW w:w="390" w:type="pct"/>
                  <w:vAlign w:val="center"/>
                </w:tcPr>
                <w:p>
                  <w:pPr>
                    <w:pStyle w:val="21"/>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车间内</w:t>
                  </w:r>
                </w:p>
              </w:tc>
              <w:tc>
                <w:tcPr>
                  <w:tcW w:w="710" w:type="pct"/>
                  <w:vAlign w:val="center"/>
                </w:tcPr>
                <w:p>
                  <w:pPr>
                    <w:pStyle w:val="21"/>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7" w:type="pct"/>
                  <w:vAlign w:val="center"/>
                </w:tcPr>
                <w:p>
                  <w:pPr>
                    <w:pStyle w:val="21"/>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喷塑粉尘</w:t>
                  </w:r>
                </w:p>
              </w:tc>
              <w:tc>
                <w:tcPr>
                  <w:tcW w:w="448" w:type="pct"/>
                  <w:vAlign w:val="center"/>
                </w:tcPr>
                <w:p>
                  <w:pPr>
                    <w:pStyle w:val="21"/>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喷塑工序</w:t>
                  </w:r>
                </w:p>
              </w:tc>
              <w:tc>
                <w:tcPr>
                  <w:tcW w:w="460" w:type="pct"/>
                  <w:vAlign w:val="center"/>
                </w:tcPr>
                <w:p>
                  <w:pPr>
                    <w:pStyle w:val="21"/>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颗粒物</w:t>
                  </w:r>
                </w:p>
              </w:tc>
              <w:tc>
                <w:tcPr>
                  <w:tcW w:w="369" w:type="pct"/>
                  <w:vAlign w:val="center"/>
                </w:tcPr>
                <w:p>
                  <w:pPr>
                    <w:pStyle w:val="21"/>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有组织</w:t>
                  </w:r>
                </w:p>
              </w:tc>
              <w:tc>
                <w:tcPr>
                  <w:tcW w:w="515" w:type="pct"/>
                  <w:vAlign w:val="center"/>
                </w:tcPr>
                <w:p>
                  <w:pPr>
                    <w:pStyle w:val="21"/>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旋风+滤芯除尘器</w:t>
                  </w:r>
                </w:p>
              </w:tc>
              <w:tc>
                <w:tcPr>
                  <w:tcW w:w="448" w:type="pct"/>
                  <w:vAlign w:val="center"/>
                </w:tcPr>
                <w:p>
                  <w:pPr>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除尘系统</w:t>
                  </w:r>
                </w:p>
              </w:tc>
              <w:tc>
                <w:tcPr>
                  <w:tcW w:w="569" w:type="pct"/>
                  <w:vAlign w:val="center"/>
                </w:tcPr>
                <w:p>
                  <w:pPr>
                    <w:pStyle w:val="21"/>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风机风量8000m</w:t>
                  </w:r>
                  <w:r>
                    <w:rPr>
                      <w:rFonts w:hint="default" w:ascii="Times New Roman" w:hAnsi="Times New Roman" w:cs="Times New Roman"/>
                      <w:b w:val="0"/>
                      <w:bCs/>
                      <w:color w:val="000000" w:themeColor="text1"/>
                      <w:sz w:val="21"/>
                      <w:szCs w:val="21"/>
                      <w:vertAlign w:val="superscript"/>
                      <w:lang w:val="en-US" w:eastAsia="zh-CN"/>
                    </w:rPr>
                    <w:t>3</w:t>
                  </w:r>
                  <w:r>
                    <w:rPr>
                      <w:rFonts w:hint="default" w:ascii="Times New Roman" w:hAnsi="Times New Roman" w:cs="Times New Roman"/>
                      <w:b w:val="0"/>
                      <w:bCs/>
                      <w:color w:val="000000" w:themeColor="text1"/>
                      <w:sz w:val="21"/>
                      <w:szCs w:val="21"/>
                      <w:vertAlign w:val="baseline"/>
                      <w:lang w:val="en-US" w:eastAsia="zh-CN"/>
                    </w:rPr>
                    <w:t>/h</w:t>
                  </w:r>
                </w:p>
              </w:tc>
              <w:tc>
                <w:tcPr>
                  <w:tcW w:w="639" w:type="pct"/>
                  <w:vAlign w:val="center"/>
                </w:tcPr>
                <w:p>
                  <w:pPr>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15m/0.5m</w:t>
                  </w:r>
                </w:p>
              </w:tc>
              <w:tc>
                <w:tcPr>
                  <w:tcW w:w="390" w:type="pct"/>
                  <w:vAlign w:val="center"/>
                </w:tcPr>
                <w:p>
                  <w:pPr>
                    <w:pStyle w:val="21"/>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大气</w:t>
                  </w:r>
                </w:p>
              </w:tc>
              <w:tc>
                <w:tcPr>
                  <w:tcW w:w="710" w:type="pct"/>
                  <w:vAlign w:val="center"/>
                </w:tcPr>
                <w:p>
                  <w:pPr>
                    <w:pStyle w:val="21"/>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已开孔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7" w:type="pct"/>
                  <w:vAlign w:val="center"/>
                </w:tcPr>
                <w:p>
                  <w:pPr>
                    <w:pStyle w:val="21"/>
                    <w:spacing w:line="240" w:lineRule="auto"/>
                    <w:jc w:val="both"/>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固化有机废气</w:t>
                  </w:r>
                </w:p>
              </w:tc>
              <w:tc>
                <w:tcPr>
                  <w:tcW w:w="448" w:type="pct"/>
                  <w:vAlign w:val="center"/>
                </w:tcPr>
                <w:p>
                  <w:pPr>
                    <w:pStyle w:val="21"/>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固化工序</w:t>
                  </w:r>
                </w:p>
              </w:tc>
              <w:tc>
                <w:tcPr>
                  <w:tcW w:w="460" w:type="pct"/>
                  <w:vAlign w:val="center"/>
                </w:tcPr>
                <w:p>
                  <w:pPr>
                    <w:pStyle w:val="21"/>
                    <w:spacing w:line="240" w:lineRule="auto"/>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非甲烷总烃</w:t>
                  </w:r>
                </w:p>
              </w:tc>
              <w:tc>
                <w:tcPr>
                  <w:tcW w:w="369" w:type="pct"/>
                  <w:vAlign w:val="center"/>
                </w:tcPr>
                <w:p>
                  <w:pPr>
                    <w:pStyle w:val="21"/>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有组织</w:t>
                  </w:r>
                </w:p>
              </w:tc>
              <w:tc>
                <w:tcPr>
                  <w:tcW w:w="515" w:type="pct"/>
                  <w:vAlign w:val="center"/>
                </w:tcPr>
                <w:p>
                  <w:pPr>
                    <w:pStyle w:val="21"/>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二级活性炭</w:t>
                  </w:r>
                </w:p>
              </w:tc>
              <w:tc>
                <w:tcPr>
                  <w:tcW w:w="448" w:type="pct"/>
                  <w:vAlign w:val="center"/>
                </w:tcPr>
                <w:p>
                  <w:pPr>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吸附</w:t>
                  </w:r>
                </w:p>
              </w:tc>
              <w:tc>
                <w:tcPr>
                  <w:tcW w:w="569" w:type="pct"/>
                  <w:vAlign w:val="center"/>
                </w:tcPr>
                <w:p>
                  <w:pPr>
                    <w:pStyle w:val="21"/>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风机风量6000m</w:t>
                  </w:r>
                  <w:r>
                    <w:rPr>
                      <w:rFonts w:hint="default" w:ascii="Times New Roman" w:hAnsi="Times New Roman" w:cs="Times New Roman"/>
                      <w:b w:val="0"/>
                      <w:bCs/>
                      <w:color w:val="000000" w:themeColor="text1"/>
                      <w:sz w:val="21"/>
                      <w:szCs w:val="21"/>
                      <w:vertAlign w:val="superscript"/>
                      <w:lang w:val="en-US" w:eastAsia="zh-CN"/>
                    </w:rPr>
                    <w:t>3</w:t>
                  </w:r>
                  <w:r>
                    <w:rPr>
                      <w:rFonts w:hint="default" w:ascii="Times New Roman" w:hAnsi="Times New Roman" w:cs="Times New Roman"/>
                      <w:b w:val="0"/>
                      <w:bCs/>
                      <w:color w:val="000000" w:themeColor="text1"/>
                      <w:sz w:val="21"/>
                      <w:szCs w:val="21"/>
                      <w:vertAlign w:val="baseline"/>
                      <w:lang w:val="en-US" w:eastAsia="zh-CN"/>
                    </w:rPr>
                    <w:t>/h</w:t>
                  </w:r>
                </w:p>
              </w:tc>
              <w:tc>
                <w:tcPr>
                  <w:tcW w:w="639" w:type="pct"/>
                  <w:vAlign w:val="center"/>
                </w:tcPr>
                <w:p>
                  <w:pPr>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15m/0.5m</w:t>
                  </w:r>
                </w:p>
              </w:tc>
              <w:tc>
                <w:tcPr>
                  <w:tcW w:w="390" w:type="pct"/>
                  <w:vAlign w:val="center"/>
                </w:tcPr>
                <w:p>
                  <w:pPr>
                    <w:pStyle w:val="21"/>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大气</w:t>
                  </w:r>
                </w:p>
              </w:tc>
              <w:tc>
                <w:tcPr>
                  <w:tcW w:w="710" w:type="pct"/>
                  <w:vAlign w:val="center"/>
                </w:tcPr>
                <w:p>
                  <w:pPr>
                    <w:pStyle w:val="21"/>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已开孔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7" w:type="pct"/>
                  <w:vAlign w:val="center"/>
                </w:tcPr>
                <w:p>
                  <w:pPr>
                    <w:pStyle w:val="21"/>
                    <w:spacing w:line="240" w:lineRule="auto"/>
                    <w:ind w:firstLine="0" w:firstLineChars="0"/>
                    <w:jc w:val="both"/>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生物质燃烧废气</w:t>
                  </w:r>
                </w:p>
              </w:tc>
              <w:tc>
                <w:tcPr>
                  <w:tcW w:w="448" w:type="pct"/>
                  <w:vAlign w:val="center"/>
                </w:tcPr>
                <w:p>
                  <w:pPr>
                    <w:pStyle w:val="21"/>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生物质烘干炉</w:t>
                  </w:r>
                </w:p>
              </w:tc>
              <w:tc>
                <w:tcPr>
                  <w:tcW w:w="460" w:type="pct"/>
                  <w:vAlign w:val="center"/>
                </w:tcPr>
                <w:p>
                  <w:pPr>
                    <w:pStyle w:val="21"/>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颗粒物、二氧化硫、氮氧化物</w:t>
                  </w:r>
                </w:p>
              </w:tc>
              <w:tc>
                <w:tcPr>
                  <w:tcW w:w="369" w:type="pct"/>
                  <w:vAlign w:val="center"/>
                </w:tcPr>
                <w:p>
                  <w:pPr>
                    <w:pStyle w:val="21"/>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有组织</w:t>
                  </w:r>
                </w:p>
              </w:tc>
              <w:tc>
                <w:tcPr>
                  <w:tcW w:w="515" w:type="pct"/>
                  <w:vAlign w:val="center"/>
                </w:tcPr>
                <w:p>
                  <w:pPr>
                    <w:pStyle w:val="21"/>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旋风+水膜除尘器</w:t>
                  </w:r>
                </w:p>
              </w:tc>
              <w:tc>
                <w:tcPr>
                  <w:tcW w:w="448" w:type="pct"/>
                  <w:vAlign w:val="center"/>
                </w:tcPr>
                <w:p>
                  <w:pPr>
                    <w:pStyle w:val="21"/>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除尘系统</w:t>
                  </w:r>
                </w:p>
              </w:tc>
              <w:tc>
                <w:tcPr>
                  <w:tcW w:w="569" w:type="pct"/>
                  <w:vAlign w:val="center"/>
                </w:tcPr>
                <w:p>
                  <w:pPr>
                    <w:pStyle w:val="21"/>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风机风量3000m</w:t>
                  </w:r>
                  <w:r>
                    <w:rPr>
                      <w:rFonts w:hint="default" w:ascii="Times New Roman" w:hAnsi="Times New Roman" w:cs="Times New Roman"/>
                      <w:b w:val="0"/>
                      <w:bCs/>
                      <w:color w:val="000000" w:themeColor="text1"/>
                      <w:sz w:val="21"/>
                      <w:szCs w:val="21"/>
                      <w:vertAlign w:val="superscript"/>
                      <w:lang w:val="en-US" w:eastAsia="zh-CN"/>
                    </w:rPr>
                    <w:t>3</w:t>
                  </w:r>
                  <w:r>
                    <w:rPr>
                      <w:rFonts w:hint="default" w:ascii="Times New Roman" w:hAnsi="Times New Roman" w:cs="Times New Roman"/>
                      <w:b w:val="0"/>
                      <w:bCs/>
                      <w:color w:val="000000" w:themeColor="text1"/>
                      <w:sz w:val="21"/>
                      <w:szCs w:val="21"/>
                      <w:vertAlign w:val="baseline"/>
                      <w:lang w:val="en-US" w:eastAsia="zh-CN"/>
                    </w:rPr>
                    <w:t>/h</w:t>
                  </w:r>
                </w:p>
              </w:tc>
              <w:tc>
                <w:tcPr>
                  <w:tcW w:w="639" w:type="pct"/>
                  <w:vAlign w:val="center"/>
                </w:tcPr>
                <w:p>
                  <w:pPr>
                    <w:pStyle w:val="21"/>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15m/0.25m</w:t>
                  </w:r>
                </w:p>
              </w:tc>
              <w:tc>
                <w:tcPr>
                  <w:tcW w:w="390" w:type="pct"/>
                  <w:vAlign w:val="center"/>
                </w:tcPr>
                <w:p>
                  <w:pPr>
                    <w:pStyle w:val="21"/>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大气</w:t>
                  </w:r>
                </w:p>
              </w:tc>
              <w:tc>
                <w:tcPr>
                  <w:tcW w:w="710" w:type="pct"/>
                  <w:vAlign w:val="center"/>
                </w:tcPr>
                <w:p>
                  <w:pPr>
                    <w:pStyle w:val="21"/>
                    <w:spacing w:line="240" w:lineRule="auto"/>
                    <w:ind w:firstLine="0" w:firstLineChars="0"/>
                    <w:jc w:val="center"/>
                    <w:rPr>
                      <w:rFonts w:hint="default" w:ascii="Times New Roman" w:hAnsi="Times New Roman" w:cs="Times New Roman"/>
                      <w:b w:val="0"/>
                      <w:bCs/>
                      <w:color w:val="000000" w:themeColor="text1"/>
                      <w:sz w:val="21"/>
                      <w:szCs w:val="21"/>
                      <w:vertAlign w:val="baseline"/>
                      <w:lang w:val="en-US" w:eastAsia="zh-CN"/>
                    </w:rPr>
                  </w:pPr>
                  <w:r>
                    <w:rPr>
                      <w:rFonts w:hint="default" w:ascii="Times New Roman" w:hAnsi="Times New Roman" w:cs="Times New Roman"/>
                      <w:b w:val="0"/>
                      <w:bCs/>
                      <w:color w:val="000000" w:themeColor="text1"/>
                      <w:sz w:val="21"/>
                      <w:szCs w:val="21"/>
                      <w:vertAlign w:val="baseline"/>
                      <w:lang w:val="en-US" w:eastAsia="zh-CN"/>
                    </w:rPr>
                    <w:t>已开孔</w:t>
                  </w:r>
                </w:p>
              </w:tc>
            </w:tr>
          </w:tbl>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rPr>
              <w:t>3、噪声</w:t>
            </w:r>
            <w:r>
              <w:rPr>
                <w:rFonts w:hint="default" w:ascii="Times New Roman" w:hAnsi="Times New Roman" w:cs="Times New Roman"/>
                <w:b/>
                <w:bCs/>
                <w:sz w:val="24"/>
                <w:lang w:eastAsia="zh-CN"/>
              </w:rPr>
              <w:t>治理</w:t>
            </w:r>
            <w:r>
              <w:rPr>
                <w:rFonts w:hint="default" w:ascii="Times New Roman" w:hAnsi="Times New Roman" w:cs="Times New Roman"/>
                <w:b/>
                <w:bCs/>
                <w:sz w:val="24"/>
                <w:lang w:val="en-US" w:eastAsia="zh-CN"/>
              </w:rPr>
              <w:t>/处置设施</w:t>
            </w:r>
            <w:r>
              <w:rPr>
                <w:rFonts w:hint="default" w:ascii="Times New Roman" w:hAnsi="Times New Roman" w:cs="Times New Roman"/>
                <w:b/>
                <w:bCs/>
                <w:sz w:val="24"/>
              </w:rPr>
              <w:t>分析</w:t>
            </w:r>
          </w:p>
          <w:p>
            <w:pPr>
              <w:pStyle w:val="31"/>
              <w:jc w:val="both"/>
              <w:rPr>
                <w:rFonts w:hint="default" w:ascii="Times New Roman" w:hAnsi="Times New Roman" w:cs="Times New Roman" w:eastAsiaTheme="minorEastAsia"/>
                <w:bCs/>
                <w:color w:val="000000"/>
                <w:lang w:eastAsia="zh-CN"/>
              </w:rPr>
            </w:pPr>
            <w:r>
              <w:rPr>
                <w:rFonts w:hint="default" w:ascii="Times New Roman" w:hAnsi="Times New Roman" w:cs="Times New Roman"/>
              </w:rPr>
              <w:t>噪声主要来自于</w:t>
            </w:r>
            <w:r>
              <w:rPr>
                <w:rFonts w:hint="default" w:ascii="Times New Roman" w:hAnsi="Times New Roman" w:cs="Times New Roman"/>
                <w:lang w:val="en-US"/>
              </w:rPr>
              <w:t>设备运转过程中产生的噪声</w:t>
            </w:r>
            <w:r>
              <w:rPr>
                <w:rFonts w:hint="default" w:ascii="Times New Roman" w:hAnsi="Times New Roman" w:cs="Times New Roman"/>
                <w:bCs/>
                <w:color w:val="000000"/>
              </w:rPr>
              <w:t>，已采取基础减震、设备隔声、厂房隔声以及选用低噪声设备等措施。</w:t>
            </w:r>
            <w:r>
              <w:rPr>
                <w:rFonts w:hint="default" w:ascii="Times New Roman" w:hAnsi="Times New Roman" w:cs="Times New Roman"/>
                <w:bCs/>
                <w:color w:val="000000"/>
                <w:lang w:eastAsia="zh-CN"/>
              </w:rPr>
              <w:t>详见下表。</w:t>
            </w:r>
          </w:p>
          <w:p>
            <w:pPr>
              <w:spacing w:line="360" w:lineRule="auto"/>
              <w:jc w:val="center"/>
              <w:rPr>
                <w:rFonts w:hint="default" w:ascii="Times New Roman" w:hAnsi="Times New Roman" w:cs="Times New Roman"/>
                <w:b/>
                <w:bCs/>
                <w:sz w:val="24"/>
                <w:lang w:eastAsia="zh-CN"/>
              </w:rPr>
            </w:pPr>
            <w:r>
              <w:rPr>
                <w:rFonts w:hint="default" w:ascii="Times New Roman" w:hAnsi="Times New Roman" w:cs="Times New Roman"/>
                <w:b/>
                <w:bCs/>
                <w:sz w:val="24"/>
                <w:lang w:eastAsia="zh-CN"/>
              </w:rPr>
              <w:t>表</w:t>
            </w:r>
            <w:r>
              <w:rPr>
                <w:rFonts w:hint="default" w:ascii="Times New Roman" w:hAnsi="Times New Roman" w:cs="Times New Roman"/>
                <w:b/>
                <w:bCs/>
                <w:sz w:val="24"/>
                <w:lang w:val="en-US" w:eastAsia="zh-CN"/>
              </w:rPr>
              <w:t>3.3 噪声</w:t>
            </w:r>
            <w:r>
              <w:rPr>
                <w:rFonts w:hint="default" w:ascii="Times New Roman" w:hAnsi="Times New Roman" w:cs="Times New Roman"/>
                <w:b/>
                <w:bCs/>
                <w:sz w:val="24"/>
                <w:lang w:eastAsia="zh-CN"/>
              </w:rPr>
              <w:t>治理情况一览表</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Layout w:type="autofit"/>
              <w:tblCellMar>
                <w:top w:w="0" w:type="dxa"/>
                <w:left w:w="108" w:type="dxa"/>
                <w:bottom w:w="0" w:type="dxa"/>
                <w:right w:w="108" w:type="dxa"/>
              </w:tblCellMar>
            </w:tblPr>
            <w:tblGrid>
              <w:gridCol w:w="667"/>
              <w:gridCol w:w="2042"/>
              <w:gridCol w:w="1022"/>
              <w:gridCol w:w="970"/>
              <w:gridCol w:w="1172"/>
              <w:gridCol w:w="1294"/>
              <w:gridCol w:w="946"/>
              <w:gridCol w:w="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FFFFFF" w:themeFill="background1"/>
              </w:tblPrEx>
              <w:trPr>
                <w:trHeight w:val="655" w:hRule="atLeast"/>
                <w:jc w:val="center"/>
              </w:trPr>
              <w:tc>
                <w:tcPr>
                  <w:tcW w:w="368"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序号</w:t>
                  </w:r>
                </w:p>
              </w:tc>
              <w:tc>
                <w:tcPr>
                  <w:tcW w:w="1127"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lang w:eastAsia="zh-CN"/>
                    </w:rPr>
                    <w:t>设备</w:t>
                  </w:r>
                  <w:r>
                    <w:rPr>
                      <w:rFonts w:hint="default" w:ascii="Times New Roman" w:hAnsi="Times New Roman" w:cs="Times New Roman"/>
                      <w:color w:val="000000"/>
                      <w:sz w:val="21"/>
                      <w:szCs w:val="21"/>
                    </w:rPr>
                    <w:t>名称</w:t>
                  </w:r>
                </w:p>
              </w:tc>
              <w:tc>
                <w:tcPr>
                  <w:tcW w:w="564"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bCs/>
                      <w:color w:val="000000"/>
                      <w:sz w:val="21"/>
                      <w:szCs w:val="21"/>
                    </w:rPr>
                    <w:t>数量</w:t>
                  </w:r>
                </w:p>
              </w:tc>
              <w:tc>
                <w:tcPr>
                  <w:tcW w:w="535" w:type="pct"/>
                  <w:shd w:val="clear" w:color="auto" w:fill="FFFFFF" w:themeFill="background1"/>
                  <w:vAlign w:val="center"/>
                </w:tcPr>
                <w:p>
                  <w:pPr>
                    <w:spacing w:line="240" w:lineRule="auto"/>
                    <w:ind w:firstLine="0" w:firstLineChars="0"/>
                    <w:jc w:val="center"/>
                    <w:rPr>
                      <w:rFonts w:hint="default" w:ascii="Times New Roman" w:hAnsi="Times New Roman" w:cs="Times New Roman"/>
                      <w:bCs/>
                      <w:color w:val="000000"/>
                      <w:sz w:val="21"/>
                      <w:szCs w:val="21"/>
                    </w:rPr>
                  </w:pPr>
                  <w:r>
                    <w:rPr>
                      <w:rFonts w:hint="default" w:ascii="Times New Roman" w:hAnsi="Times New Roman" w:cs="Times New Roman"/>
                      <w:bCs/>
                      <w:color w:val="000000"/>
                      <w:sz w:val="21"/>
                      <w:szCs w:val="21"/>
                    </w:rPr>
                    <w:t>单位</w:t>
                  </w:r>
                </w:p>
              </w:tc>
              <w:tc>
                <w:tcPr>
                  <w:tcW w:w="1361" w:type="pct"/>
                  <w:gridSpan w:val="2"/>
                  <w:shd w:val="clear" w:color="auto" w:fill="FFFFFF" w:themeFill="background1"/>
                  <w:vAlign w:val="center"/>
                </w:tcPr>
                <w:p>
                  <w:pPr>
                    <w:spacing w:line="240" w:lineRule="auto"/>
                    <w:ind w:firstLine="0" w:firstLineChars="0"/>
                    <w:jc w:val="center"/>
                    <w:rPr>
                      <w:rFonts w:hint="default" w:ascii="Times New Roman" w:hAnsi="Times New Roman" w:cs="Times New Roman" w:eastAsiaTheme="minorEastAsia"/>
                      <w:bCs/>
                      <w:color w:val="000000"/>
                      <w:sz w:val="21"/>
                      <w:szCs w:val="21"/>
                      <w:lang w:eastAsia="zh-CN"/>
                    </w:rPr>
                  </w:pPr>
                  <w:r>
                    <w:rPr>
                      <w:rFonts w:hint="default" w:ascii="Times New Roman" w:hAnsi="Times New Roman" w:cs="Times New Roman"/>
                      <w:bCs/>
                      <w:color w:val="000000"/>
                      <w:sz w:val="21"/>
                      <w:szCs w:val="21"/>
                      <w:lang w:eastAsia="zh-CN"/>
                    </w:rPr>
                    <w:t>噪声源位置</w:t>
                  </w:r>
                </w:p>
              </w:tc>
              <w:tc>
                <w:tcPr>
                  <w:tcW w:w="521" w:type="pct"/>
                  <w:shd w:val="clear" w:color="auto" w:fill="FFFFFF" w:themeFill="background1"/>
                  <w:vAlign w:val="center"/>
                </w:tcPr>
                <w:p>
                  <w:pPr>
                    <w:spacing w:line="240" w:lineRule="auto"/>
                    <w:ind w:firstLine="0" w:firstLineChars="0"/>
                    <w:jc w:val="center"/>
                    <w:rPr>
                      <w:rFonts w:hint="default" w:ascii="Times New Roman" w:hAnsi="Times New Roman" w:cs="Times New Roman"/>
                      <w:bCs/>
                      <w:color w:val="000000"/>
                      <w:sz w:val="21"/>
                      <w:szCs w:val="21"/>
                      <w:lang w:eastAsia="zh-CN"/>
                    </w:rPr>
                  </w:pPr>
                  <w:r>
                    <w:rPr>
                      <w:rFonts w:hint="default" w:ascii="Times New Roman" w:hAnsi="Times New Roman" w:cs="Times New Roman"/>
                      <w:bCs/>
                      <w:color w:val="000000"/>
                      <w:sz w:val="21"/>
                      <w:szCs w:val="21"/>
                      <w:lang w:eastAsia="zh-CN"/>
                    </w:rPr>
                    <w:t>治理措施</w:t>
                  </w:r>
                </w:p>
              </w:tc>
              <w:tc>
                <w:tcPr>
                  <w:tcW w:w="521" w:type="pct"/>
                  <w:shd w:val="clear" w:color="auto" w:fill="FFFFFF" w:themeFill="background1"/>
                  <w:vAlign w:val="center"/>
                </w:tcPr>
                <w:p>
                  <w:pPr>
                    <w:spacing w:line="240" w:lineRule="auto"/>
                    <w:ind w:firstLine="0" w:firstLineChars="0"/>
                    <w:jc w:val="center"/>
                    <w:rPr>
                      <w:rFonts w:hint="default" w:ascii="Times New Roman" w:hAnsi="Times New Roman" w:cs="Times New Roman"/>
                      <w:bCs/>
                      <w:color w:val="000000"/>
                      <w:sz w:val="21"/>
                      <w:szCs w:val="21"/>
                      <w:lang w:eastAsia="zh-CN"/>
                    </w:rPr>
                  </w:pPr>
                  <w:r>
                    <w:rPr>
                      <w:rFonts w:hint="default" w:ascii="Times New Roman" w:hAnsi="Times New Roman" w:cs="Times New Roman"/>
                      <w:bCs/>
                      <w:color w:val="000000"/>
                      <w:sz w:val="21"/>
                      <w:szCs w:val="21"/>
                      <w:lang w:eastAsia="zh-CN"/>
                    </w:rPr>
                    <w:t>运行方式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368"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1</w:t>
                  </w:r>
                </w:p>
              </w:tc>
              <w:tc>
                <w:tcPr>
                  <w:tcW w:w="1127"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铝模网带通过式抛丸机</w:t>
                  </w:r>
                </w:p>
              </w:tc>
              <w:tc>
                <w:tcPr>
                  <w:tcW w:w="564" w:type="pc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1</w:t>
                  </w:r>
                </w:p>
              </w:tc>
              <w:tc>
                <w:tcPr>
                  <w:tcW w:w="535" w:type="pct"/>
                  <w:vMerge w:val="restar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color w:val="000000"/>
                      <w:sz w:val="21"/>
                      <w:szCs w:val="21"/>
                    </w:rPr>
                    <w:t>套/台</w:t>
                  </w:r>
                </w:p>
              </w:tc>
              <w:tc>
                <w:tcPr>
                  <w:tcW w:w="647" w:type="pct"/>
                  <w:vMerge w:val="restart"/>
                  <w:shd w:val="clear" w:color="auto" w:fill="FFFFFF" w:themeFill="background1"/>
                  <w:vAlign w:val="center"/>
                </w:tcPr>
                <w:p>
                  <w:pPr>
                    <w:spacing w:line="240" w:lineRule="auto"/>
                    <w:ind w:firstLine="0" w:firstLineChars="0"/>
                    <w:jc w:val="center"/>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color w:val="000000"/>
                      <w:sz w:val="21"/>
                      <w:szCs w:val="21"/>
                      <w:lang w:eastAsia="zh-CN"/>
                    </w:rPr>
                    <w:t>生产车间</w:t>
                  </w:r>
                </w:p>
              </w:tc>
              <w:tc>
                <w:tcPr>
                  <w:tcW w:w="1236" w:type="pct"/>
                  <w:gridSpan w:val="2"/>
                  <w:vMerge w:val="restart"/>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r>
                    <w:rPr>
                      <w:rFonts w:hint="default" w:ascii="Times New Roman" w:hAnsi="Times New Roman" w:cs="Times New Roman"/>
                      <w:b w:val="0"/>
                      <w:bCs/>
                      <w:color w:val="auto"/>
                      <w:kern w:val="2"/>
                      <w:sz w:val="21"/>
                      <w:szCs w:val="24"/>
                      <w:lang w:val="en-US" w:bidi="ar-SA"/>
                    </w:rPr>
                    <w:t>低噪声设备、建筑隔声、基础减震等</w:t>
                  </w:r>
                </w:p>
              </w:tc>
              <w:tc>
                <w:tcPr>
                  <w:tcW w:w="521" w:type="pct"/>
                  <w:vMerge w:val="restart"/>
                  <w:shd w:val="clear" w:color="auto" w:fill="FFFFFF" w:themeFill="background1"/>
                  <w:vAlign w:val="center"/>
                </w:tcPr>
                <w:p>
                  <w:pPr>
                    <w:spacing w:line="240" w:lineRule="auto"/>
                    <w:ind w:firstLine="0" w:firstLineChars="0"/>
                    <w:jc w:val="center"/>
                    <w:rPr>
                      <w:rFonts w:hint="default" w:ascii="Times New Roman" w:hAnsi="Times New Roman" w:cs="Times New Roman" w:eastAsiaTheme="minorEastAsia"/>
                      <w:color w:val="000000"/>
                      <w:sz w:val="21"/>
                      <w:szCs w:val="21"/>
                      <w:lang w:eastAsia="zh-CN"/>
                    </w:rPr>
                  </w:pPr>
                  <w:r>
                    <w:rPr>
                      <w:rFonts w:hint="default" w:ascii="Times New Roman" w:hAnsi="Times New Roman" w:cs="Times New Roman"/>
                      <w:color w:val="000000"/>
                      <w:sz w:val="21"/>
                      <w:szCs w:val="21"/>
                      <w:lang w:eastAsia="zh-CN"/>
                    </w:rPr>
                    <w:t>连续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79" w:hRule="atLeast"/>
                <w:jc w:val="center"/>
              </w:trPr>
              <w:tc>
                <w:tcPr>
                  <w:tcW w:w="368" w:type="pct"/>
                  <w:shd w:val="clear" w:color="auto" w:fill="FFFFFF" w:themeFill="background1"/>
                  <w:vAlign w:val="center"/>
                </w:tcPr>
                <w:p>
                  <w:pPr>
                    <w:spacing w:line="240" w:lineRule="auto"/>
                    <w:ind w:firstLine="0" w:firstLine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2</w:t>
                  </w:r>
                </w:p>
              </w:tc>
              <w:tc>
                <w:tcPr>
                  <w:tcW w:w="1127" w:type="pct"/>
                  <w:shd w:val="clear" w:color="auto" w:fill="FFFFFF" w:themeFill="background1"/>
                  <w:vAlign w:val="center"/>
                </w:tcPr>
                <w:p>
                  <w:pPr>
                    <w:spacing w:line="240" w:lineRule="auto"/>
                    <w:ind w:firstLine="0" w:firstLineChars="0"/>
                    <w:jc w:val="center"/>
                    <w:rPr>
                      <w:rFonts w:hint="default" w:ascii="Times New Roman" w:hAnsi="Times New Roman" w:eastAsia="宋体" w:cs="Times New Roman"/>
                      <w:color w:val="000000"/>
                      <w:sz w:val="21"/>
                      <w:szCs w:val="21"/>
                      <w:lang w:eastAsia="zh-CN"/>
                    </w:rPr>
                  </w:pPr>
                  <w:r>
                    <w:rPr>
                      <w:rFonts w:hint="default" w:ascii="Times New Roman" w:hAnsi="Times New Roman" w:cs="Times New Roman"/>
                      <w:color w:val="000000"/>
                      <w:sz w:val="21"/>
                      <w:szCs w:val="21"/>
                      <w:lang w:eastAsia="zh-CN"/>
                    </w:rPr>
                    <w:t>喷塑设备</w:t>
                  </w:r>
                </w:p>
              </w:tc>
              <w:tc>
                <w:tcPr>
                  <w:tcW w:w="564" w:type="pct"/>
                  <w:shd w:val="clear" w:color="auto" w:fill="FFFFFF" w:themeFill="background1"/>
                  <w:vAlign w:val="center"/>
                </w:tcPr>
                <w:p>
                  <w:pPr>
                    <w:spacing w:line="240" w:lineRule="auto"/>
                    <w:ind w:firstLine="0" w:firstLineChars="0"/>
                    <w:jc w:val="center"/>
                    <w:rPr>
                      <w:rFonts w:hint="default" w:ascii="Times New Roman" w:hAnsi="Times New Roman" w:eastAsia="宋体" w:cs="Times New Roman"/>
                      <w:color w:val="000000"/>
                      <w:sz w:val="21"/>
                      <w:szCs w:val="21"/>
                      <w:lang w:val="en-US" w:eastAsia="zh-CN"/>
                    </w:rPr>
                  </w:pPr>
                  <w:r>
                    <w:rPr>
                      <w:rFonts w:hint="default" w:ascii="Times New Roman" w:hAnsi="Times New Roman" w:cs="Times New Roman"/>
                      <w:color w:val="000000"/>
                      <w:sz w:val="21"/>
                      <w:szCs w:val="21"/>
                      <w:lang w:val="en-US" w:eastAsia="zh-CN"/>
                    </w:rPr>
                    <w:t>1</w:t>
                  </w:r>
                </w:p>
              </w:tc>
              <w:tc>
                <w:tcPr>
                  <w:tcW w:w="535" w:type="pct"/>
                  <w:vMerge w:val="continue"/>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647" w:type="pct"/>
                  <w:vMerge w:val="continue"/>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1236" w:type="pct"/>
                  <w:gridSpan w:val="2"/>
                  <w:vMerge w:val="continue"/>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c>
                <w:tcPr>
                  <w:tcW w:w="521" w:type="pct"/>
                  <w:vMerge w:val="continue"/>
                  <w:shd w:val="clear" w:color="auto" w:fill="FFFFFF" w:themeFill="background1"/>
                  <w:vAlign w:val="center"/>
                </w:tcPr>
                <w:p>
                  <w:pPr>
                    <w:spacing w:line="240" w:lineRule="auto"/>
                    <w:ind w:firstLine="0" w:firstLineChars="0"/>
                    <w:jc w:val="center"/>
                    <w:rPr>
                      <w:rFonts w:hint="default" w:ascii="Times New Roman" w:hAnsi="Times New Roman" w:cs="Times New Roman"/>
                      <w:color w:val="000000"/>
                      <w:sz w:val="21"/>
                      <w:szCs w:val="21"/>
                    </w:rPr>
                  </w:pPr>
                </w:p>
              </w:tc>
            </w:tr>
          </w:tbl>
          <w:p>
            <w:pPr>
              <w:spacing w:line="360" w:lineRule="auto"/>
              <w:ind w:firstLine="482" w:firstLineChars="200"/>
              <w:rPr>
                <w:rFonts w:hint="default" w:ascii="Times New Roman" w:hAnsi="Times New Roman" w:cs="Times New Roman"/>
                <w:b/>
                <w:bCs/>
                <w:sz w:val="24"/>
              </w:rPr>
            </w:pPr>
            <w:r>
              <w:rPr>
                <w:rFonts w:hint="default" w:ascii="Times New Roman" w:hAnsi="Times New Roman" w:cs="Times New Roman"/>
                <w:b/>
                <w:bCs/>
                <w:sz w:val="24"/>
              </w:rPr>
              <w:t>4、固体</w:t>
            </w:r>
            <w:r>
              <w:rPr>
                <w:rFonts w:hint="default" w:ascii="Times New Roman" w:hAnsi="Times New Roman" w:cs="Times New Roman"/>
                <w:b/>
                <w:bCs/>
                <w:sz w:val="24"/>
                <w:lang w:eastAsia="zh-CN"/>
              </w:rPr>
              <w:t>治理</w:t>
            </w:r>
            <w:r>
              <w:rPr>
                <w:rFonts w:hint="default" w:ascii="Times New Roman" w:hAnsi="Times New Roman" w:cs="Times New Roman"/>
                <w:b/>
                <w:bCs/>
                <w:sz w:val="24"/>
                <w:lang w:val="en-US" w:eastAsia="zh-CN"/>
              </w:rPr>
              <w:t>/处置设施</w:t>
            </w:r>
            <w:r>
              <w:rPr>
                <w:rFonts w:hint="default" w:ascii="Times New Roman" w:hAnsi="Times New Roman" w:cs="Times New Roman"/>
                <w:b/>
                <w:bCs/>
                <w:sz w:val="24"/>
              </w:rPr>
              <w:t>分析</w:t>
            </w:r>
          </w:p>
          <w:p>
            <w:pPr>
              <w:pStyle w:val="44"/>
              <w:spacing w:line="360" w:lineRule="auto"/>
              <w:ind w:firstLine="480" w:firstLineChars="200"/>
              <w:jc w:val="both"/>
              <w:rPr>
                <w:rFonts w:hint="default" w:ascii="Times New Roman" w:hAnsi="Times New Roman" w:eastAsia="宋体" w:cs="Times New Roman"/>
                <w:color w:val="000000" w:themeColor="text1"/>
                <w:sz w:val="24"/>
              </w:rPr>
            </w:pPr>
            <w:r>
              <w:rPr>
                <w:rFonts w:hint="default" w:ascii="Times New Roman" w:hAnsi="Times New Roman" w:eastAsia="宋体" w:cs="Times New Roman"/>
                <w:sz w:val="24"/>
                <w:lang w:eastAsia="zh-CN"/>
              </w:rPr>
              <w:t>固废包含一般工业固废、危险废物及生活垃圾。</w:t>
            </w:r>
          </w:p>
          <w:p>
            <w:pPr>
              <w:spacing w:line="360" w:lineRule="auto"/>
              <w:ind w:firstLine="482" w:firstLineChars="200"/>
              <w:jc w:val="center"/>
              <w:rPr>
                <w:rFonts w:hint="default" w:ascii="Times New Roman" w:hAnsi="Times New Roman" w:eastAsia="宋体" w:cs="Times New Roman"/>
                <w:b/>
                <w:bCs/>
                <w:color w:val="000000" w:themeColor="text1"/>
                <w:sz w:val="24"/>
              </w:rPr>
            </w:pPr>
            <w:r>
              <w:rPr>
                <w:rFonts w:hint="default" w:ascii="Times New Roman" w:hAnsi="Times New Roman" w:eastAsia="宋体" w:cs="Times New Roman"/>
                <w:b/>
                <w:bCs/>
                <w:color w:val="000000" w:themeColor="text1"/>
                <w:sz w:val="24"/>
              </w:rPr>
              <w:t>表3.</w:t>
            </w:r>
            <w:r>
              <w:rPr>
                <w:rFonts w:hint="default" w:ascii="Times New Roman" w:hAnsi="Times New Roman" w:eastAsia="宋体" w:cs="Times New Roman"/>
                <w:b/>
                <w:bCs/>
                <w:color w:val="000000" w:themeColor="text1"/>
                <w:sz w:val="24"/>
                <w:lang w:val="en-US" w:eastAsia="zh-CN"/>
              </w:rPr>
              <w:t>4</w:t>
            </w:r>
            <w:r>
              <w:rPr>
                <w:rFonts w:hint="default" w:ascii="Times New Roman" w:hAnsi="Times New Roman" w:eastAsia="宋体" w:cs="Times New Roman"/>
                <w:b/>
                <w:bCs/>
                <w:color w:val="000000" w:themeColor="text1"/>
                <w:sz w:val="24"/>
              </w:rPr>
              <w:t xml:space="preserve"> 固废产生及排放去向一览表</w:t>
            </w:r>
          </w:p>
          <w:tbl>
            <w:tblPr>
              <w:tblStyle w:val="17"/>
              <w:tblW w:w="4986" w:type="pct"/>
              <w:tblInd w:w="5" w:type="dxa"/>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Layout w:type="autofit"/>
              <w:tblCellMar>
                <w:top w:w="0" w:type="dxa"/>
                <w:left w:w="0" w:type="dxa"/>
                <w:bottom w:w="0" w:type="dxa"/>
                <w:right w:w="0" w:type="dxa"/>
              </w:tblCellMar>
            </w:tblPr>
            <w:tblGrid>
              <w:gridCol w:w="387"/>
              <w:gridCol w:w="938"/>
              <w:gridCol w:w="728"/>
              <w:gridCol w:w="875"/>
              <w:gridCol w:w="918"/>
              <w:gridCol w:w="866"/>
              <w:gridCol w:w="866"/>
              <w:gridCol w:w="866"/>
              <w:gridCol w:w="866"/>
              <w:gridCol w:w="866"/>
              <w:gridCol w:w="866"/>
            </w:tblGrid>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PrEx>
              <w:trPr>
                <w:trHeight w:val="827" w:hRule="atLeast"/>
              </w:trPr>
              <w:tc>
                <w:tcPr>
                  <w:tcW w:w="214"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序号</w:t>
                  </w:r>
                </w:p>
              </w:tc>
              <w:tc>
                <w:tcPr>
                  <w:tcW w:w="5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固废名</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称</w:t>
                  </w:r>
                </w:p>
              </w:tc>
              <w:tc>
                <w:tcPr>
                  <w:tcW w:w="402"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性质</w:t>
                  </w:r>
                </w:p>
              </w:tc>
              <w:tc>
                <w:tcPr>
                  <w:tcW w:w="483"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来源</w:t>
                  </w:r>
                </w:p>
              </w:tc>
              <w:tc>
                <w:tcPr>
                  <w:tcW w:w="507"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产生</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量</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（t/a）</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处置方式</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暂存场所</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标识标牌</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GB" w:eastAsia="zh-CN"/>
                    </w:rPr>
                    <w:t>台账</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GB" w:eastAsia="zh-CN"/>
                    </w:rPr>
                    <w:t>协议签订情况</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GB" w:eastAsia="zh-CN"/>
                    </w:rPr>
                    <w:t>出入库情况</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576" w:hRule="atLeast"/>
              </w:trPr>
              <w:tc>
                <w:tcPr>
                  <w:tcW w:w="214"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1</w:t>
                  </w:r>
                </w:p>
              </w:tc>
              <w:tc>
                <w:tcPr>
                  <w:tcW w:w="518" w:type="pct"/>
                  <w:tcBorders>
                    <w:tl2br w:val="nil"/>
                    <w:tr2bl w:val="nil"/>
                  </w:tcBorders>
                  <w:vAlign w:val="center"/>
                </w:tcPr>
                <w:p>
                  <w:pPr>
                    <w:topLinePunct/>
                    <w:adjustRightInd w:val="0"/>
                    <w:snapToGrid w:val="0"/>
                    <w:spacing w:line="240" w:lineRule="auto"/>
                    <w:ind w:firstLine="0" w:firstLineChars="0"/>
                    <w:jc w:val="center"/>
                    <w:rPr>
                      <w:rFonts w:hint="default" w:ascii="Times New Roman" w:hAnsi="Times New Roman" w:eastAsia="宋体" w:cs="Times New Roman"/>
                      <w:b w:val="0"/>
                      <w:bCs/>
                      <w:sz w:val="21"/>
                      <w:szCs w:val="21"/>
                    </w:rPr>
                  </w:pPr>
                  <w:r>
                    <w:rPr>
                      <w:rFonts w:hint="default" w:ascii="Times New Roman" w:hAnsi="Times New Roman" w:cs="Times New Roman"/>
                      <w:sz w:val="21"/>
                      <w:szCs w:val="21"/>
                    </w:rPr>
                    <w:t>抛丸打磨后回收的粉尘</w:t>
                  </w:r>
                </w:p>
              </w:tc>
              <w:tc>
                <w:tcPr>
                  <w:tcW w:w="402"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一般</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固废</w:t>
                  </w:r>
                </w:p>
              </w:tc>
              <w:tc>
                <w:tcPr>
                  <w:tcW w:w="483"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废气处</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理</w:t>
                  </w:r>
                </w:p>
              </w:tc>
              <w:tc>
                <w:tcPr>
                  <w:tcW w:w="507" w:type="pct"/>
                  <w:tcBorders>
                    <w:tl2br w:val="nil"/>
                    <w:tr2bl w:val="nil"/>
                  </w:tcBorders>
                  <w:vAlign w:val="center"/>
                </w:tcPr>
                <w:p>
                  <w:pPr>
                    <w:topLinePunct/>
                    <w:adjustRightInd w:val="0"/>
                    <w:snapToGrid w:val="0"/>
                    <w:spacing w:line="240" w:lineRule="auto"/>
                    <w:ind w:firstLine="0" w:firstLineChars="0"/>
                    <w:jc w:val="center"/>
                    <w:rPr>
                      <w:rFonts w:hint="default" w:ascii="Times New Roman" w:hAnsi="Times New Roman" w:eastAsia="宋体" w:cs="Times New Roman"/>
                      <w:b w:val="0"/>
                      <w:bCs/>
                      <w:sz w:val="21"/>
                      <w:szCs w:val="21"/>
                    </w:rPr>
                  </w:pPr>
                  <w:r>
                    <w:rPr>
                      <w:rFonts w:hint="default" w:ascii="Times New Roman" w:hAnsi="Times New Roman" w:cs="Times New Roman"/>
                      <w:sz w:val="21"/>
                      <w:szCs w:val="21"/>
                    </w:rPr>
                    <w:t>0.149</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资源外售</w:t>
                  </w:r>
                </w:p>
              </w:tc>
              <w:tc>
                <w:tcPr>
                  <w:tcW w:w="478" w:type="pct"/>
                  <w:vMerge w:val="restar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一般工业固废间</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71" w:hRule="atLeast"/>
              </w:trPr>
              <w:tc>
                <w:tcPr>
                  <w:tcW w:w="214"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2</w:t>
                  </w:r>
                </w:p>
              </w:tc>
              <w:tc>
                <w:tcPr>
                  <w:tcW w:w="518" w:type="pct"/>
                  <w:tcBorders>
                    <w:tl2br w:val="nil"/>
                    <w:tr2bl w:val="nil"/>
                  </w:tcBorders>
                  <w:vAlign w:val="center"/>
                </w:tcPr>
                <w:p>
                  <w:pPr>
                    <w:topLinePunct/>
                    <w:adjustRightInd w:val="0"/>
                    <w:snapToGri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default" w:ascii="Times New Roman" w:hAnsi="Times New Roman" w:cs="Times New Roman"/>
                      <w:sz w:val="21"/>
                      <w:szCs w:val="21"/>
                    </w:rPr>
                    <w:t>高压除尘后回收粉尘</w:t>
                  </w:r>
                </w:p>
              </w:tc>
              <w:tc>
                <w:tcPr>
                  <w:tcW w:w="402"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一般</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固废</w:t>
                  </w:r>
                </w:p>
              </w:tc>
              <w:tc>
                <w:tcPr>
                  <w:tcW w:w="483"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废气处</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理</w:t>
                  </w:r>
                </w:p>
              </w:tc>
              <w:tc>
                <w:tcPr>
                  <w:tcW w:w="507" w:type="pct"/>
                  <w:tcBorders>
                    <w:tl2br w:val="nil"/>
                    <w:tr2bl w:val="nil"/>
                  </w:tcBorders>
                  <w:vAlign w:val="center"/>
                </w:tcPr>
                <w:p>
                  <w:pPr>
                    <w:topLinePunct/>
                    <w:adjustRightInd w:val="0"/>
                    <w:snapToGri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default" w:ascii="Times New Roman" w:hAnsi="Times New Roman" w:cs="Times New Roman"/>
                      <w:sz w:val="21"/>
                      <w:szCs w:val="21"/>
                    </w:rPr>
                    <w:t>0.0065</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eastAsia="zh-CN"/>
                    </w:rPr>
                    <w:t>资源外售</w:t>
                  </w:r>
                </w:p>
              </w:tc>
              <w:tc>
                <w:tcPr>
                  <w:tcW w:w="478"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PrEx>
              <w:trPr>
                <w:trHeight w:val="421" w:hRule="atLeast"/>
              </w:trPr>
              <w:tc>
                <w:tcPr>
                  <w:tcW w:w="214"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3</w:t>
                  </w:r>
                </w:p>
              </w:tc>
              <w:tc>
                <w:tcPr>
                  <w:tcW w:w="518" w:type="pct"/>
                  <w:tcBorders>
                    <w:tl2br w:val="nil"/>
                    <w:tr2bl w:val="nil"/>
                  </w:tcBorders>
                  <w:vAlign w:val="center"/>
                </w:tcPr>
                <w:p>
                  <w:pPr>
                    <w:topLinePunct/>
                    <w:adjustRightInd w:val="0"/>
                    <w:snapToGri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default" w:ascii="Times New Roman" w:hAnsi="Times New Roman" w:cs="Times New Roman"/>
                      <w:sz w:val="21"/>
                      <w:szCs w:val="21"/>
                    </w:rPr>
                    <w:t>喷塑过程中回收的塑粉</w:t>
                  </w:r>
                </w:p>
              </w:tc>
              <w:tc>
                <w:tcPr>
                  <w:tcW w:w="402"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一般</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固废</w:t>
                  </w:r>
                </w:p>
              </w:tc>
              <w:tc>
                <w:tcPr>
                  <w:tcW w:w="483"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废气处</w:t>
                  </w:r>
                </w:p>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rPr>
                    <w:t>理</w:t>
                  </w:r>
                </w:p>
              </w:tc>
              <w:tc>
                <w:tcPr>
                  <w:tcW w:w="507" w:type="pct"/>
                  <w:tcBorders>
                    <w:tl2br w:val="nil"/>
                    <w:tr2bl w:val="nil"/>
                  </w:tcBorders>
                  <w:vAlign w:val="center"/>
                </w:tcPr>
                <w:p>
                  <w:pPr>
                    <w:topLinePunct/>
                    <w:adjustRightInd w:val="0"/>
                    <w:snapToGrid w:val="0"/>
                    <w:spacing w:line="240" w:lineRule="auto"/>
                    <w:ind w:firstLine="0" w:firstLineChars="0"/>
                    <w:jc w:val="center"/>
                    <w:rPr>
                      <w:rFonts w:hint="default" w:ascii="Times New Roman" w:hAnsi="Times New Roman" w:eastAsia="宋体" w:cs="Times New Roman"/>
                      <w:b w:val="0"/>
                      <w:bCs/>
                      <w:sz w:val="21"/>
                      <w:szCs w:val="21"/>
                      <w:lang w:val="en-US" w:eastAsia="zh-CN"/>
                    </w:rPr>
                  </w:pPr>
                  <w:r>
                    <w:rPr>
                      <w:rFonts w:hint="default" w:ascii="Times New Roman" w:hAnsi="Times New Roman" w:cs="Times New Roman"/>
                      <w:sz w:val="21"/>
                      <w:szCs w:val="21"/>
                    </w:rPr>
                    <w:t>0.282</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eastAsia="zh-CN"/>
                    </w:rPr>
                    <w:t>回用</w:t>
                  </w:r>
                </w:p>
              </w:tc>
              <w:tc>
                <w:tcPr>
                  <w:tcW w:w="478"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PrEx>
              <w:trPr>
                <w:trHeight w:val="960" w:hRule="atLeast"/>
              </w:trPr>
              <w:tc>
                <w:tcPr>
                  <w:tcW w:w="214"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val="en-US" w:eastAsia="zh-CN"/>
                    </w:rPr>
                    <w:t>5</w:t>
                  </w:r>
                </w:p>
              </w:tc>
              <w:tc>
                <w:tcPr>
                  <w:tcW w:w="938" w:type="dxa"/>
                  <w:tcBorders>
                    <w:tl2br w:val="nil"/>
                    <w:tr2bl w:val="nil"/>
                  </w:tcBorders>
                  <w:vAlign w:val="center"/>
                </w:tcPr>
                <w:p>
                  <w:pPr>
                    <w:topLinePunct/>
                    <w:adjustRightInd w:val="0"/>
                    <w:snapToGrid w:val="0"/>
                    <w:spacing w:line="240" w:lineRule="auto"/>
                    <w:ind w:firstLine="0" w:firstLineChars="0"/>
                    <w:jc w:val="center"/>
                    <w:rPr>
                      <w:rFonts w:hint="default" w:ascii="Times New Roman" w:hAnsi="Times New Roman" w:eastAsia="宋体" w:cs="Times New Roman"/>
                      <w:b w:val="0"/>
                      <w:bCs/>
                      <w:sz w:val="21"/>
                      <w:szCs w:val="21"/>
                    </w:rPr>
                  </w:pPr>
                  <w:r>
                    <w:rPr>
                      <w:rFonts w:hint="default" w:ascii="Times New Roman" w:hAnsi="Times New Roman" w:cs="Times New Roman"/>
                      <w:sz w:val="21"/>
                      <w:szCs w:val="21"/>
                    </w:rPr>
                    <w:t>废润滑油桶</w:t>
                  </w:r>
                </w:p>
              </w:tc>
              <w:tc>
                <w:tcPr>
                  <w:tcW w:w="402"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危险</w:t>
                  </w:r>
                  <w:r>
                    <w:rPr>
                      <w:rFonts w:hint="default" w:ascii="Times New Roman" w:hAnsi="Times New Roman" w:eastAsia="宋体" w:cs="Times New Roman"/>
                      <w:b w:val="0"/>
                      <w:bCs/>
                      <w:sz w:val="21"/>
                      <w:szCs w:val="21"/>
                      <w:lang w:eastAsia="zh-CN"/>
                    </w:rPr>
                    <w:t>废物</w:t>
                  </w:r>
                </w:p>
              </w:tc>
              <w:tc>
                <w:tcPr>
                  <w:tcW w:w="483"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设备维修保养</w:t>
                  </w:r>
                </w:p>
              </w:tc>
              <w:tc>
                <w:tcPr>
                  <w:tcW w:w="918" w:type="dxa"/>
                  <w:tcBorders>
                    <w:tl2br w:val="nil"/>
                    <w:tr2bl w:val="nil"/>
                  </w:tcBorders>
                  <w:vAlign w:val="center"/>
                </w:tcPr>
                <w:p>
                  <w:pPr>
                    <w:topLinePunct/>
                    <w:adjustRightInd w:val="0"/>
                    <w:snapToGrid w:val="0"/>
                    <w:spacing w:line="240" w:lineRule="auto"/>
                    <w:ind w:firstLine="0" w:firstLineChars="0"/>
                    <w:jc w:val="center"/>
                    <w:rPr>
                      <w:rFonts w:hint="default" w:ascii="Times New Roman" w:hAnsi="Times New Roman" w:eastAsia="宋体" w:cs="Times New Roman"/>
                      <w:b w:val="0"/>
                      <w:bCs/>
                      <w:sz w:val="21"/>
                      <w:szCs w:val="21"/>
                    </w:rPr>
                  </w:pPr>
                  <w:r>
                    <w:rPr>
                      <w:rFonts w:hint="default" w:ascii="Times New Roman" w:hAnsi="Times New Roman" w:cs="Times New Roman"/>
                      <w:sz w:val="21"/>
                      <w:szCs w:val="21"/>
                    </w:rPr>
                    <w:t>0.05</w:t>
                  </w:r>
                </w:p>
              </w:tc>
              <w:tc>
                <w:tcPr>
                  <w:tcW w:w="478" w:type="pct"/>
                  <w:vMerge w:val="restar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交有资质</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rPr>
                    <w:t>单位</w:t>
                  </w:r>
                  <w:r>
                    <w:rPr>
                      <w:rFonts w:hint="default" w:ascii="Times New Roman" w:hAnsi="Times New Roman" w:eastAsia="宋体" w:cs="Times New Roman"/>
                      <w:b w:val="0"/>
                      <w:bCs/>
                      <w:sz w:val="21"/>
                      <w:szCs w:val="21"/>
                      <w:lang w:eastAsia="zh-CN"/>
                    </w:rPr>
                    <w:t>处置</w:t>
                  </w:r>
                </w:p>
              </w:tc>
              <w:tc>
                <w:tcPr>
                  <w:tcW w:w="478" w:type="pct"/>
                  <w:vMerge w:val="restar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危废暂存间</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有</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有</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eastAsia="zh-CN"/>
                    </w:rPr>
                    <w:t>已签</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暂未产生，未入库</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PrEx>
              <w:trPr>
                <w:trHeight w:val="960" w:hRule="atLeast"/>
              </w:trPr>
              <w:tc>
                <w:tcPr>
                  <w:tcW w:w="214"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en-US" w:eastAsia="zh-CN"/>
                    </w:rPr>
                    <w:t>6</w:t>
                  </w:r>
                </w:p>
              </w:tc>
              <w:tc>
                <w:tcPr>
                  <w:tcW w:w="938" w:type="dxa"/>
                  <w:tcBorders>
                    <w:tl2br w:val="nil"/>
                    <w:tr2bl w:val="nil"/>
                  </w:tcBorders>
                  <w:vAlign w:val="center"/>
                </w:tcPr>
                <w:p>
                  <w:pPr>
                    <w:topLinePunct/>
                    <w:adjustRightInd w:val="0"/>
                    <w:snapToGrid w:val="0"/>
                    <w:spacing w:line="240" w:lineRule="auto"/>
                    <w:ind w:firstLine="0" w:firstLineChars="0"/>
                    <w:jc w:val="center"/>
                    <w:rPr>
                      <w:rFonts w:hint="default" w:ascii="Times New Roman" w:hAnsi="Times New Roman" w:eastAsia="宋体" w:cs="Times New Roman"/>
                      <w:b w:val="0"/>
                      <w:bCs/>
                      <w:sz w:val="21"/>
                      <w:szCs w:val="21"/>
                    </w:rPr>
                  </w:pPr>
                  <w:r>
                    <w:rPr>
                      <w:rFonts w:hint="default" w:ascii="Times New Roman" w:hAnsi="Times New Roman" w:cs="Times New Roman"/>
                      <w:sz w:val="21"/>
                      <w:szCs w:val="21"/>
                    </w:rPr>
                    <w:t>废润滑油</w:t>
                  </w:r>
                </w:p>
              </w:tc>
              <w:tc>
                <w:tcPr>
                  <w:tcW w:w="40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危险</w:t>
                  </w:r>
                  <w:r>
                    <w:rPr>
                      <w:rFonts w:hint="default" w:ascii="Times New Roman" w:hAnsi="Times New Roman" w:eastAsia="宋体" w:cs="Times New Roman"/>
                      <w:b w:val="0"/>
                      <w:bCs/>
                      <w:sz w:val="21"/>
                      <w:szCs w:val="21"/>
                      <w:lang w:eastAsia="zh-CN"/>
                    </w:rPr>
                    <w:t>废物</w:t>
                  </w:r>
                </w:p>
              </w:tc>
              <w:tc>
                <w:tcPr>
                  <w:tcW w:w="483"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rPr>
                    <w:t>设备维修保养</w:t>
                  </w:r>
                </w:p>
              </w:tc>
              <w:tc>
                <w:tcPr>
                  <w:tcW w:w="918" w:type="dxa"/>
                  <w:tcBorders>
                    <w:tl2br w:val="nil"/>
                    <w:tr2bl w:val="nil"/>
                  </w:tcBorders>
                  <w:vAlign w:val="center"/>
                </w:tcPr>
                <w:p>
                  <w:pPr>
                    <w:topLinePunct/>
                    <w:adjustRightInd w:val="0"/>
                    <w:snapToGrid w:val="0"/>
                    <w:spacing w:line="240" w:lineRule="auto"/>
                    <w:ind w:firstLine="0" w:firstLineChars="0"/>
                    <w:jc w:val="center"/>
                    <w:rPr>
                      <w:rFonts w:hint="default" w:ascii="Times New Roman" w:hAnsi="Times New Roman" w:eastAsia="宋体" w:cs="Times New Roman"/>
                      <w:b w:val="0"/>
                      <w:bCs/>
                      <w:sz w:val="21"/>
                      <w:szCs w:val="21"/>
                    </w:rPr>
                  </w:pPr>
                  <w:r>
                    <w:rPr>
                      <w:rFonts w:hint="default" w:ascii="Times New Roman" w:hAnsi="Times New Roman" w:cs="Times New Roman"/>
                      <w:sz w:val="21"/>
                      <w:szCs w:val="21"/>
                    </w:rPr>
                    <w:t>0.13</w:t>
                  </w:r>
                </w:p>
              </w:tc>
              <w:tc>
                <w:tcPr>
                  <w:tcW w:w="478"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78"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p>
              </w:tc>
              <w:tc>
                <w:tcPr>
                  <w:tcW w:w="866" w:type="dxa"/>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有</w:t>
                  </w:r>
                </w:p>
              </w:tc>
              <w:tc>
                <w:tcPr>
                  <w:tcW w:w="866" w:type="dxa"/>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有</w:t>
                  </w:r>
                </w:p>
              </w:tc>
              <w:tc>
                <w:tcPr>
                  <w:tcW w:w="866" w:type="dxa"/>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已签</w:t>
                  </w:r>
                </w:p>
              </w:tc>
              <w:tc>
                <w:tcPr>
                  <w:tcW w:w="866" w:type="dxa"/>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暂未产生，未入库</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12" w:hRule="atLeast"/>
              </w:trPr>
              <w:tc>
                <w:tcPr>
                  <w:tcW w:w="214"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en-US" w:eastAsia="zh-CN"/>
                    </w:rPr>
                    <w:t>7</w:t>
                  </w:r>
                </w:p>
              </w:tc>
              <w:tc>
                <w:tcPr>
                  <w:tcW w:w="938" w:type="dxa"/>
                  <w:tcBorders>
                    <w:tl2br w:val="nil"/>
                    <w:tr2bl w:val="nil"/>
                  </w:tcBorders>
                  <w:vAlign w:val="center"/>
                </w:tcPr>
                <w:p>
                  <w:pPr>
                    <w:topLinePunct/>
                    <w:adjustRightInd w:val="0"/>
                    <w:snapToGrid w:val="0"/>
                    <w:spacing w:line="240" w:lineRule="auto"/>
                    <w:ind w:firstLine="0" w:firstLineChars="0"/>
                    <w:jc w:val="center"/>
                    <w:rPr>
                      <w:rFonts w:hint="default" w:ascii="Times New Roman" w:hAnsi="Times New Roman" w:eastAsia="宋体" w:cs="Times New Roman"/>
                      <w:b w:val="0"/>
                      <w:bCs/>
                      <w:sz w:val="21"/>
                      <w:szCs w:val="21"/>
                    </w:rPr>
                  </w:pPr>
                  <w:r>
                    <w:rPr>
                      <w:rFonts w:hint="default" w:ascii="Times New Roman" w:hAnsi="Times New Roman" w:cs="Times New Roman"/>
                      <w:sz w:val="21"/>
                      <w:szCs w:val="21"/>
                    </w:rPr>
                    <w:t>废活性炭</w:t>
                  </w:r>
                </w:p>
              </w:tc>
              <w:tc>
                <w:tcPr>
                  <w:tcW w:w="40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危险</w:t>
                  </w:r>
                  <w:r>
                    <w:rPr>
                      <w:rFonts w:hint="default" w:ascii="Times New Roman" w:hAnsi="Times New Roman" w:eastAsia="宋体" w:cs="Times New Roman"/>
                      <w:b w:val="0"/>
                      <w:bCs/>
                      <w:sz w:val="21"/>
                      <w:szCs w:val="21"/>
                      <w:lang w:eastAsia="zh-CN"/>
                    </w:rPr>
                    <w:t>废物</w:t>
                  </w:r>
                </w:p>
              </w:tc>
              <w:tc>
                <w:tcPr>
                  <w:tcW w:w="483"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环保设备更换</w:t>
                  </w:r>
                </w:p>
              </w:tc>
              <w:tc>
                <w:tcPr>
                  <w:tcW w:w="918" w:type="dxa"/>
                  <w:tcBorders>
                    <w:tl2br w:val="nil"/>
                    <w:tr2bl w:val="nil"/>
                  </w:tcBorders>
                  <w:vAlign w:val="center"/>
                </w:tcPr>
                <w:p>
                  <w:pPr>
                    <w:topLinePunct/>
                    <w:adjustRightInd w:val="0"/>
                    <w:snapToGrid w:val="0"/>
                    <w:spacing w:line="240" w:lineRule="auto"/>
                    <w:ind w:firstLine="0" w:firstLineChars="0"/>
                    <w:jc w:val="center"/>
                    <w:rPr>
                      <w:rFonts w:hint="default" w:ascii="Times New Roman" w:hAnsi="Times New Roman" w:eastAsia="宋体" w:cs="Times New Roman"/>
                      <w:b w:val="0"/>
                      <w:bCs/>
                      <w:sz w:val="21"/>
                      <w:szCs w:val="21"/>
                    </w:rPr>
                  </w:pPr>
                  <w:r>
                    <w:rPr>
                      <w:rFonts w:hint="default" w:ascii="Times New Roman" w:hAnsi="Times New Roman" w:cs="Times New Roman"/>
                      <w:sz w:val="21"/>
                      <w:szCs w:val="21"/>
                    </w:rPr>
                    <w:t>0.0075</w:t>
                  </w:r>
                </w:p>
              </w:tc>
              <w:tc>
                <w:tcPr>
                  <w:tcW w:w="478"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78"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有</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有</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已签</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暂未产生，未入库</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367" w:hRule="atLeast"/>
              </w:trPr>
              <w:tc>
                <w:tcPr>
                  <w:tcW w:w="214"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leftChars="0" w:right="0" w:rightChars="0" w:firstLine="0" w:firstLineChars="0"/>
                    <w:jc w:val="center"/>
                    <w:textAlignment w:val="auto"/>
                    <w:rPr>
                      <w:rFonts w:hint="default" w:ascii="Times New Roman" w:hAnsi="Times New Roman" w:eastAsia="宋体" w:cs="Times New Roman"/>
                      <w:b w:val="0"/>
                      <w:bCs/>
                      <w:kern w:val="2"/>
                      <w:sz w:val="21"/>
                      <w:szCs w:val="21"/>
                      <w:lang w:val="en-US" w:eastAsia="zh-CN" w:bidi="ar-SA"/>
                    </w:rPr>
                  </w:pPr>
                  <w:r>
                    <w:rPr>
                      <w:rFonts w:hint="default" w:ascii="Times New Roman" w:hAnsi="Times New Roman" w:eastAsia="宋体" w:cs="Times New Roman"/>
                      <w:b w:val="0"/>
                      <w:bCs/>
                      <w:sz w:val="21"/>
                      <w:szCs w:val="21"/>
                      <w:lang w:val="en-US" w:eastAsia="zh-CN"/>
                    </w:rPr>
                    <w:t>8</w:t>
                  </w:r>
                </w:p>
              </w:tc>
              <w:tc>
                <w:tcPr>
                  <w:tcW w:w="938" w:type="dxa"/>
                  <w:tcBorders>
                    <w:tl2br w:val="nil"/>
                    <w:tr2bl w:val="nil"/>
                  </w:tcBorders>
                  <w:vAlign w:val="center"/>
                </w:tcPr>
                <w:p>
                  <w:pPr>
                    <w:topLinePunct/>
                    <w:adjustRightInd w:val="0"/>
                    <w:snapToGrid w:val="0"/>
                    <w:spacing w:line="240" w:lineRule="auto"/>
                    <w:ind w:firstLine="0" w:firstLineChars="0"/>
                    <w:jc w:val="center"/>
                    <w:rPr>
                      <w:rFonts w:hint="default" w:ascii="Times New Roman" w:hAnsi="Times New Roman" w:eastAsia="宋体" w:cs="Times New Roman"/>
                      <w:b w:val="0"/>
                      <w:bCs/>
                      <w:sz w:val="21"/>
                      <w:szCs w:val="21"/>
                    </w:rPr>
                  </w:pPr>
                  <w:r>
                    <w:rPr>
                      <w:rFonts w:hint="default" w:ascii="Times New Roman" w:hAnsi="Times New Roman" w:cs="Times New Roman"/>
                      <w:sz w:val="21"/>
                      <w:szCs w:val="21"/>
                    </w:rPr>
                    <w:t>废弃的含油抹布、劳保用品</w:t>
                  </w:r>
                </w:p>
              </w:tc>
              <w:tc>
                <w:tcPr>
                  <w:tcW w:w="402" w:type="pct"/>
                  <w:tcBorders>
                    <w:tl2br w:val="nil"/>
                    <w:tr2bl w:val="nil"/>
                  </w:tcBorders>
                  <w:vAlign w:val="center"/>
                </w:tcPr>
                <w:p>
                  <w:pPr>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危险</w:t>
                  </w:r>
                  <w:r>
                    <w:rPr>
                      <w:rFonts w:hint="default" w:ascii="Times New Roman" w:hAnsi="Times New Roman" w:eastAsia="宋体" w:cs="Times New Roman"/>
                      <w:b w:val="0"/>
                      <w:bCs/>
                      <w:sz w:val="21"/>
                      <w:szCs w:val="21"/>
                      <w:lang w:eastAsia="zh-CN"/>
                    </w:rPr>
                    <w:t>废物</w:t>
                  </w:r>
                </w:p>
              </w:tc>
              <w:tc>
                <w:tcPr>
                  <w:tcW w:w="483"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设备维修保养</w:t>
                  </w:r>
                </w:p>
              </w:tc>
              <w:tc>
                <w:tcPr>
                  <w:tcW w:w="918" w:type="dxa"/>
                  <w:tcBorders>
                    <w:tl2br w:val="nil"/>
                    <w:tr2bl w:val="nil"/>
                  </w:tcBorders>
                  <w:vAlign w:val="center"/>
                </w:tcPr>
                <w:p>
                  <w:pPr>
                    <w:topLinePunct/>
                    <w:adjustRightInd w:val="0"/>
                    <w:snapToGrid w:val="0"/>
                    <w:spacing w:line="240" w:lineRule="auto"/>
                    <w:ind w:firstLine="0" w:firstLineChars="0"/>
                    <w:jc w:val="center"/>
                    <w:rPr>
                      <w:rFonts w:hint="default" w:ascii="Times New Roman" w:hAnsi="Times New Roman" w:eastAsia="宋体" w:cs="Times New Roman"/>
                      <w:b w:val="0"/>
                      <w:bCs/>
                      <w:sz w:val="21"/>
                      <w:szCs w:val="21"/>
                    </w:rPr>
                  </w:pPr>
                  <w:r>
                    <w:rPr>
                      <w:rFonts w:hint="default" w:ascii="Times New Roman" w:hAnsi="Times New Roman" w:cs="Times New Roman"/>
                      <w:sz w:val="21"/>
                      <w:szCs w:val="21"/>
                    </w:rPr>
                    <w:t>0.05</w:t>
                  </w:r>
                </w:p>
              </w:tc>
              <w:tc>
                <w:tcPr>
                  <w:tcW w:w="478" w:type="pct"/>
                  <w:vMerge w:val="restar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委托</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环卫</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部门</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清运</w:t>
                  </w:r>
                </w:p>
              </w:tc>
              <w:tc>
                <w:tcPr>
                  <w:tcW w:w="478"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有</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有</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已签</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eastAsia="zh-CN"/>
                    </w:rPr>
                    <w:t>暂未产生，未入库</w:t>
                  </w:r>
                </w:p>
              </w:tc>
            </w:tr>
            <w:tr>
              <w:tblPrEx>
                <w:tblBorders>
                  <w:top w:val="single" w:color="000000" w:sz="2" w:space="0"/>
                  <w:left w:val="single" w:color="000000" w:sz="2" w:space="0"/>
                  <w:bottom w:val="single" w:color="000000" w:sz="2" w:space="0"/>
                  <w:right w:val="single" w:color="000000" w:sz="2" w:space="0"/>
                  <w:insideH w:val="single" w:color="000000" w:sz="4" w:space="0"/>
                  <w:insideV w:val="single" w:color="000000" w:sz="4" w:space="0"/>
                </w:tblBorders>
                <w:tblCellMar>
                  <w:top w:w="0" w:type="dxa"/>
                  <w:left w:w="0" w:type="dxa"/>
                  <w:bottom w:w="0" w:type="dxa"/>
                  <w:right w:w="0" w:type="dxa"/>
                </w:tblCellMar>
              </w:tblPrEx>
              <w:trPr>
                <w:trHeight w:val="99" w:hRule="atLeast"/>
              </w:trPr>
              <w:tc>
                <w:tcPr>
                  <w:tcW w:w="214"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eastAsia" w:eastAsia="宋体" w:cs="Times New Roman"/>
                      <w:b w:val="0"/>
                      <w:bCs/>
                      <w:sz w:val="21"/>
                      <w:szCs w:val="21"/>
                      <w:lang w:val="en-US" w:eastAsia="zh-CN"/>
                    </w:rPr>
                    <w:t>9</w:t>
                  </w:r>
                </w:p>
              </w:tc>
              <w:tc>
                <w:tcPr>
                  <w:tcW w:w="51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生活垃</w:t>
                  </w:r>
                </w:p>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圾</w:t>
                  </w:r>
                </w:p>
              </w:tc>
              <w:tc>
                <w:tcPr>
                  <w:tcW w:w="402"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固废</w:t>
                  </w:r>
                </w:p>
              </w:tc>
              <w:tc>
                <w:tcPr>
                  <w:tcW w:w="483"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rPr>
                    <w:t>生活</w:t>
                  </w:r>
                </w:p>
              </w:tc>
              <w:tc>
                <w:tcPr>
                  <w:tcW w:w="507"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1.5</w:t>
                  </w:r>
                </w:p>
              </w:tc>
              <w:tc>
                <w:tcPr>
                  <w:tcW w:w="478" w:type="pct"/>
                  <w:vMerge w:val="continue"/>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eastAsia="zh-CN"/>
                    </w:rPr>
                  </w:pPr>
                  <w:r>
                    <w:rPr>
                      <w:rFonts w:hint="default" w:ascii="Times New Roman" w:hAnsi="Times New Roman" w:eastAsia="宋体" w:cs="Times New Roman"/>
                      <w:b w:val="0"/>
                      <w:bCs/>
                      <w:sz w:val="21"/>
                      <w:szCs w:val="21"/>
                      <w:lang w:eastAsia="zh-CN"/>
                    </w:rPr>
                    <w:t>垃圾桶</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lang w:val="en-US" w:eastAsia="zh-CN"/>
                    </w:rPr>
                  </w:pPr>
                  <w:r>
                    <w:rPr>
                      <w:rFonts w:hint="default" w:ascii="Times New Roman" w:hAnsi="Times New Roman" w:eastAsia="宋体" w:cs="Times New Roman"/>
                      <w:b w:val="0"/>
                      <w:bCs/>
                      <w:sz w:val="21"/>
                      <w:szCs w:val="21"/>
                      <w:lang w:val="en-US" w:eastAsia="zh-CN"/>
                    </w:rPr>
                    <w:t>/</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c>
                <w:tcPr>
                  <w:tcW w:w="478" w:type="pct"/>
                  <w:tcBorders>
                    <w:tl2br w:val="nil"/>
                    <w:tr2bl w:val="nil"/>
                  </w:tcBorders>
                  <w:vAlign w:val="center"/>
                </w:tcPr>
                <w:p>
                  <w:pPr>
                    <w:pStyle w:val="44"/>
                    <w:keepNext w:val="0"/>
                    <w:keepLines w:val="0"/>
                    <w:pageBreakBefore w:val="0"/>
                    <w:widowControl w:val="0"/>
                    <w:kinsoku/>
                    <w:wordWrap/>
                    <w:overflowPunct/>
                    <w:topLinePunct w:val="0"/>
                    <w:autoSpaceDE w:val="0"/>
                    <w:autoSpaceDN w:val="0"/>
                    <w:bidi w:val="0"/>
                    <w:adjustRightInd/>
                    <w:snapToGrid/>
                    <w:spacing w:before="0" w:line="240" w:lineRule="auto"/>
                    <w:ind w:left="0" w:right="0" w:firstLine="0"/>
                    <w:jc w:val="center"/>
                    <w:textAlignment w:val="auto"/>
                    <w:rPr>
                      <w:rFonts w:hint="default" w:ascii="Times New Roman" w:hAnsi="Times New Roman" w:eastAsia="宋体" w:cs="Times New Roman"/>
                      <w:b w:val="0"/>
                      <w:bCs/>
                      <w:sz w:val="21"/>
                      <w:szCs w:val="21"/>
                    </w:rPr>
                  </w:pPr>
                  <w:r>
                    <w:rPr>
                      <w:rFonts w:hint="default" w:ascii="Times New Roman" w:hAnsi="Times New Roman" w:eastAsia="宋体" w:cs="Times New Roman"/>
                      <w:b w:val="0"/>
                      <w:bCs/>
                      <w:sz w:val="21"/>
                      <w:szCs w:val="21"/>
                      <w:lang w:val="en-US" w:eastAsia="zh-CN"/>
                    </w:rPr>
                    <w:t>/</w:t>
                  </w:r>
                </w:p>
              </w:tc>
            </w:tr>
          </w:tbl>
          <w:p>
            <w:pPr>
              <w:spacing w:line="360" w:lineRule="auto"/>
              <w:ind w:firstLine="482" w:firstLineChars="200"/>
              <w:jc w:val="center"/>
              <w:rPr>
                <w:rFonts w:hint="default" w:ascii="Times New Roman" w:hAnsi="Times New Roman" w:eastAsia="宋体" w:cs="Times New Roman"/>
                <w:b/>
                <w:bCs/>
                <w:color w:val="000000" w:themeColor="text1"/>
                <w:sz w:val="24"/>
              </w:rPr>
            </w:pPr>
          </w:p>
          <w:p>
            <w:pPr>
              <w:pStyle w:val="8"/>
              <w:rPr>
                <w:rFonts w:hint="default" w:ascii="Times New Roman" w:hAnsi="Times New Roman" w:eastAsia="宋体" w:cs="Times New Roman"/>
                <w:b/>
                <w:bCs/>
                <w:color w:val="000000" w:themeColor="text1"/>
                <w:sz w:val="24"/>
              </w:rPr>
            </w:pPr>
          </w:p>
          <w:p>
            <w:pPr>
              <w:pStyle w:val="27"/>
              <w:snapToGrid/>
              <w:spacing w:line="240" w:lineRule="auto"/>
              <w:rPr>
                <w:rFonts w:hint="default" w:ascii="Times New Roman" w:hAnsi="Times New Roman" w:cs="Times New Roman"/>
                <w:color w:val="auto"/>
              </w:rPr>
            </w:pPr>
          </w:p>
          <w:p>
            <w:pPr>
              <w:pStyle w:val="27"/>
              <w:snapToGrid/>
              <w:spacing w:line="240" w:lineRule="auto"/>
              <w:ind w:firstLine="482" w:firstLineChars="200"/>
              <w:rPr>
                <w:rFonts w:hint="default" w:ascii="Times New Roman" w:hAnsi="Times New Roman" w:cs="Times New Roman"/>
                <w:color w:val="auto"/>
              </w:rPr>
            </w:pPr>
            <w:r>
              <w:rPr>
                <w:rFonts w:hint="default" w:ascii="Times New Roman" w:hAnsi="Times New Roman" w:cs="Times New Roman"/>
                <w:color w:val="auto"/>
              </w:rPr>
              <w:t>5、</w:t>
            </w:r>
            <w:bookmarkEnd w:id="0"/>
            <w:bookmarkEnd w:id="1"/>
            <w:bookmarkEnd w:id="2"/>
            <w:bookmarkEnd w:id="3"/>
            <w:r>
              <w:rPr>
                <w:rFonts w:hint="default" w:ascii="Times New Roman" w:hAnsi="Times New Roman" w:cs="Times New Roman"/>
                <w:color w:val="auto"/>
              </w:rPr>
              <w:t>环保设施投资及“三同时”落实情况</w:t>
            </w:r>
            <w:bookmarkEnd w:id="4"/>
          </w:p>
          <w:p>
            <w:pPr>
              <w:widowControl/>
              <w:spacing w:line="360" w:lineRule="auto"/>
              <w:jc w:val="center"/>
              <w:rPr>
                <w:rFonts w:hint="default" w:ascii="Times New Roman" w:hAnsi="Times New Roman" w:cs="Times New Roman"/>
                <w:b/>
                <w:sz w:val="24"/>
              </w:rPr>
            </w:pPr>
            <w:bookmarkStart w:id="5" w:name="_Toc26729"/>
            <w:r>
              <w:rPr>
                <w:rFonts w:hint="default" w:ascii="Times New Roman" w:hAnsi="Times New Roman" w:cs="Times New Roman"/>
                <w:b/>
                <w:sz w:val="24"/>
              </w:rPr>
              <w:t>表3.2 项目实际环保投资及“三同时”落实情况一览表</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9"/>
              <w:gridCol w:w="1546"/>
              <w:gridCol w:w="1896"/>
              <w:gridCol w:w="1528"/>
              <w:gridCol w:w="2205"/>
              <w:gridCol w:w="1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9" w:hRule="atLeast"/>
                <w:jc w:val="center"/>
              </w:trPr>
              <w:tc>
                <w:tcPr>
                  <w:tcW w:w="425" w:type="pct"/>
                  <w:vAlign w:val="center"/>
                </w:tcPr>
                <w:p>
                  <w:pPr>
                    <w:pStyle w:val="39"/>
                    <w:spacing w:line="240" w:lineRule="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项目</w:t>
                  </w:r>
                </w:p>
              </w:tc>
              <w:tc>
                <w:tcPr>
                  <w:tcW w:w="852" w:type="pct"/>
                  <w:vAlign w:val="center"/>
                </w:tcPr>
                <w:p>
                  <w:pPr>
                    <w:pStyle w:val="39"/>
                    <w:spacing w:line="240" w:lineRule="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rPr>
                    <w:t>污染源名称</w:t>
                  </w:r>
                </w:p>
              </w:tc>
              <w:tc>
                <w:tcPr>
                  <w:tcW w:w="1046" w:type="pct"/>
                  <w:vAlign w:val="center"/>
                </w:tcPr>
                <w:p>
                  <w:pPr>
                    <w:pStyle w:val="39"/>
                    <w:spacing w:line="240" w:lineRule="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eastAsia="zh-CN"/>
                    </w:rPr>
                    <w:t>环评申报</w:t>
                  </w:r>
                  <w:r>
                    <w:rPr>
                      <w:rFonts w:hint="default" w:ascii="Times New Roman" w:hAnsi="Times New Roman" w:eastAsia="宋体" w:cs="Times New Roman"/>
                      <w:bCs/>
                      <w:sz w:val="21"/>
                      <w:szCs w:val="21"/>
                    </w:rPr>
                    <w:t>数量</w:t>
                  </w:r>
                </w:p>
              </w:tc>
              <w:tc>
                <w:tcPr>
                  <w:tcW w:w="843" w:type="pct"/>
                  <w:vAlign w:val="center"/>
                </w:tcPr>
                <w:p>
                  <w:pPr>
                    <w:pStyle w:val="39"/>
                    <w:spacing w:line="240" w:lineRule="auto"/>
                    <w:rPr>
                      <w:rFonts w:hint="default" w:ascii="Times New Roman" w:hAnsi="Times New Roman" w:eastAsia="宋体" w:cs="Times New Roman"/>
                      <w:bCs/>
                      <w:sz w:val="21"/>
                      <w:szCs w:val="21"/>
                    </w:rPr>
                  </w:pPr>
                  <w:r>
                    <w:rPr>
                      <w:rFonts w:hint="default" w:ascii="Times New Roman" w:hAnsi="Times New Roman" w:eastAsia="宋体" w:cs="Times New Roman"/>
                      <w:bCs/>
                      <w:sz w:val="21"/>
                      <w:szCs w:val="21"/>
                      <w:lang w:eastAsia="zh-CN"/>
                    </w:rPr>
                    <w:t>环评申报投资</w:t>
                  </w:r>
                  <w:r>
                    <w:rPr>
                      <w:rFonts w:hint="default" w:ascii="Times New Roman" w:hAnsi="Times New Roman" w:eastAsia="宋体" w:cs="Times New Roman"/>
                      <w:bCs/>
                      <w:sz w:val="21"/>
                      <w:szCs w:val="21"/>
                    </w:rPr>
                    <w:t>（万元）</w:t>
                  </w:r>
                </w:p>
              </w:tc>
              <w:tc>
                <w:tcPr>
                  <w:tcW w:w="1217" w:type="pct"/>
                  <w:vAlign w:val="center"/>
                </w:tcPr>
                <w:p>
                  <w:pPr>
                    <w:pStyle w:val="39"/>
                    <w:spacing w:line="240" w:lineRule="auto"/>
                    <w:rPr>
                      <w:rFonts w:hint="default" w:ascii="Times New Roman" w:hAnsi="Times New Roman" w:eastAsia="宋体" w:cs="Times New Roman"/>
                      <w:bCs/>
                      <w:sz w:val="21"/>
                      <w:szCs w:val="21"/>
                      <w:lang w:eastAsia="zh-CN"/>
                    </w:rPr>
                  </w:pPr>
                  <w:r>
                    <w:rPr>
                      <w:rFonts w:hint="default" w:ascii="Times New Roman" w:hAnsi="Times New Roman" w:eastAsia="宋体" w:cs="Times New Roman"/>
                      <w:bCs/>
                      <w:sz w:val="21"/>
                      <w:szCs w:val="21"/>
                      <w:lang w:eastAsia="zh-CN"/>
                    </w:rPr>
                    <w:t>实际投产数量</w:t>
                  </w:r>
                </w:p>
              </w:tc>
              <w:tc>
                <w:tcPr>
                  <w:tcW w:w="614" w:type="pct"/>
                  <w:vAlign w:val="center"/>
                </w:tcPr>
                <w:p>
                  <w:pPr>
                    <w:pStyle w:val="39"/>
                    <w:spacing w:line="240" w:lineRule="auto"/>
                    <w:rPr>
                      <w:rFonts w:hint="default" w:ascii="Times New Roman" w:hAnsi="Times New Roman" w:eastAsia="宋体" w:cs="Times New Roman"/>
                      <w:bCs/>
                      <w:sz w:val="21"/>
                      <w:szCs w:val="21"/>
                      <w:lang w:eastAsia="zh-CN"/>
                    </w:rPr>
                  </w:pPr>
                  <w:r>
                    <w:rPr>
                      <w:rFonts w:hint="default" w:ascii="Times New Roman" w:hAnsi="Times New Roman" w:eastAsia="宋体" w:cs="Times New Roman"/>
                      <w:bCs/>
                      <w:sz w:val="21"/>
                      <w:szCs w:val="21"/>
                      <w:lang w:eastAsia="zh-CN"/>
                    </w:rPr>
                    <w:t>实际投资（万元）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425" w:type="pct"/>
                  <w:vMerge w:val="restart"/>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废气治理</w:t>
                  </w:r>
                </w:p>
              </w:tc>
              <w:tc>
                <w:tcPr>
                  <w:tcW w:w="852" w:type="pct"/>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抛丸打磨粉尘</w:t>
                  </w:r>
                </w:p>
              </w:tc>
              <w:tc>
                <w:tcPr>
                  <w:tcW w:w="1046" w:type="pct"/>
                  <w:shd w:val="clear" w:color="auto" w:fill="auto"/>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布袋除尘器1套</w:t>
                  </w:r>
                </w:p>
              </w:tc>
              <w:tc>
                <w:tcPr>
                  <w:tcW w:w="843" w:type="pct"/>
                  <w:shd w:val="clear" w:color="auto" w:fill="auto"/>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c>
                <w:tcPr>
                  <w:tcW w:w="1217" w:type="pct"/>
                  <w:shd w:val="clear" w:color="auto" w:fill="auto"/>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布袋除尘器1套</w:t>
                  </w:r>
                </w:p>
              </w:tc>
              <w:tc>
                <w:tcPr>
                  <w:tcW w:w="614" w:type="pct"/>
                  <w:shd w:val="clear" w:color="auto" w:fill="auto"/>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 w:hRule="atLeast"/>
                <w:jc w:val="center"/>
              </w:trPr>
              <w:tc>
                <w:tcPr>
                  <w:tcW w:w="425" w:type="pct"/>
                  <w:vMerge w:val="continue"/>
                  <w:vAlign w:val="center"/>
                </w:tcPr>
                <w:p>
                  <w:pPr>
                    <w:pStyle w:val="39"/>
                    <w:spacing w:line="240" w:lineRule="auto"/>
                    <w:rPr>
                      <w:rFonts w:hint="default" w:ascii="Times New Roman" w:hAnsi="Times New Roman" w:eastAsia="宋体" w:cs="Times New Roman"/>
                      <w:sz w:val="21"/>
                      <w:szCs w:val="21"/>
                    </w:rPr>
                  </w:pPr>
                </w:p>
              </w:tc>
              <w:tc>
                <w:tcPr>
                  <w:tcW w:w="852" w:type="pct"/>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高压除尘粉尘</w:t>
                  </w:r>
                </w:p>
              </w:tc>
              <w:tc>
                <w:tcPr>
                  <w:tcW w:w="1046" w:type="pct"/>
                  <w:shd w:val="clear" w:color="auto" w:fill="auto"/>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旋风除尘设施1套</w:t>
                  </w:r>
                </w:p>
              </w:tc>
              <w:tc>
                <w:tcPr>
                  <w:tcW w:w="843" w:type="pct"/>
                  <w:shd w:val="clear" w:color="auto" w:fill="auto"/>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c>
                <w:tcPr>
                  <w:tcW w:w="1217" w:type="pct"/>
                  <w:shd w:val="clear" w:color="auto" w:fill="auto"/>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旋风除尘设施1套</w:t>
                  </w:r>
                </w:p>
              </w:tc>
              <w:tc>
                <w:tcPr>
                  <w:tcW w:w="614" w:type="pct"/>
                  <w:shd w:val="clear" w:color="auto" w:fill="auto"/>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65" w:hRule="atLeast"/>
                <w:jc w:val="center"/>
              </w:trPr>
              <w:tc>
                <w:tcPr>
                  <w:tcW w:w="425" w:type="pct"/>
                  <w:vMerge w:val="continue"/>
                  <w:vAlign w:val="center"/>
                </w:tcPr>
                <w:p>
                  <w:pPr>
                    <w:pStyle w:val="39"/>
                    <w:spacing w:line="240" w:lineRule="auto"/>
                    <w:rPr>
                      <w:rFonts w:hint="default" w:ascii="Times New Roman" w:hAnsi="Times New Roman" w:eastAsia="宋体" w:cs="Times New Roman"/>
                      <w:sz w:val="21"/>
                      <w:szCs w:val="21"/>
                    </w:rPr>
                  </w:pPr>
                </w:p>
              </w:tc>
              <w:tc>
                <w:tcPr>
                  <w:tcW w:w="852" w:type="pct"/>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喷塑粉尘</w:t>
                  </w:r>
                </w:p>
              </w:tc>
              <w:tc>
                <w:tcPr>
                  <w:tcW w:w="1046" w:type="pct"/>
                  <w:shd w:val="clear" w:color="auto" w:fill="auto"/>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滤筒</w:t>
                  </w:r>
                  <w:r>
                    <w:rPr>
                      <w:rFonts w:hint="default" w:ascii="Times New Roman" w:hAnsi="Times New Roman" w:eastAsia="宋体" w:cs="Times New Roman"/>
                      <w:sz w:val="21"/>
                      <w:szCs w:val="21"/>
                    </w:rPr>
                    <w:t>+脉冲布袋除尘器1套</w:t>
                  </w:r>
                </w:p>
              </w:tc>
              <w:tc>
                <w:tcPr>
                  <w:tcW w:w="843" w:type="pct"/>
                  <w:shd w:val="clear" w:color="auto" w:fill="auto"/>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8</w:t>
                  </w:r>
                </w:p>
              </w:tc>
              <w:tc>
                <w:tcPr>
                  <w:tcW w:w="1217" w:type="pct"/>
                  <w:shd w:val="clear" w:color="auto" w:fill="auto"/>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旋风</w:t>
                  </w:r>
                  <w:r>
                    <w:rPr>
                      <w:rFonts w:hint="default" w:ascii="Times New Roman" w:hAnsi="Times New Roman" w:eastAsia="宋体" w:cs="Times New Roman"/>
                      <w:sz w:val="21"/>
                      <w:szCs w:val="21"/>
                      <w:lang w:val="en-US" w:eastAsia="zh-CN"/>
                    </w:rPr>
                    <w:t>+滤芯</w:t>
                  </w:r>
                  <w:r>
                    <w:rPr>
                      <w:rFonts w:hint="default" w:ascii="Times New Roman" w:hAnsi="Times New Roman" w:eastAsia="宋体" w:cs="Times New Roman"/>
                      <w:sz w:val="21"/>
                      <w:szCs w:val="21"/>
                    </w:rPr>
                    <w:t>除尘器1套</w:t>
                  </w:r>
                </w:p>
              </w:tc>
              <w:tc>
                <w:tcPr>
                  <w:tcW w:w="614" w:type="pct"/>
                  <w:shd w:val="clear" w:color="auto" w:fill="auto"/>
                  <w:vAlign w:val="center"/>
                </w:tcPr>
                <w:p>
                  <w:pPr>
                    <w:pStyle w:val="39"/>
                    <w:spacing w:line="240" w:lineRule="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425" w:type="pct"/>
                  <w:vMerge w:val="continue"/>
                  <w:vAlign w:val="center"/>
                </w:tcPr>
                <w:p>
                  <w:pPr>
                    <w:pStyle w:val="39"/>
                    <w:spacing w:line="240" w:lineRule="auto"/>
                    <w:rPr>
                      <w:rFonts w:hint="default" w:ascii="Times New Roman" w:hAnsi="Times New Roman" w:eastAsia="宋体" w:cs="Times New Roman"/>
                      <w:sz w:val="21"/>
                      <w:szCs w:val="21"/>
                    </w:rPr>
                  </w:pPr>
                </w:p>
              </w:tc>
              <w:tc>
                <w:tcPr>
                  <w:tcW w:w="852" w:type="pct"/>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固化有机废气</w:t>
                  </w:r>
                </w:p>
              </w:tc>
              <w:tc>
                <w:tcPr>
                  <w:tcW w:w="1046" w:type="pct"/>
                  <w:shd w:val="clear" w:color="auto" w:fill="auto"/>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活性炭吸附装置1套</w:t>
                  </w:r>
                </w:p>
              </w:tc>
              <w:tc>
                <w:tcPr>
                  <w:tcW w:w="843" w:type="pct"/>
                  <w:shd w:val="clear" w:color="auto" w:fill="auto"/>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5</w:t>
                  </w:r>
                </w:p>
              </w:tc>
              <w:tc>
                <w:tcPr>
                  <w:tcW w:w="1217" w:type="pct"/>
                  <w:shd w:val="clear" w:color="auto" w:fill="auto"/>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活性炭吸附装置1套</w:t>
                  </w:r>
                </w:p>
              </w:tc>
              <w:tc>
                <w:tcPr>
                  <w:tcW w:w="614" w:type="pct"/>
                  <w:shd w:val="clear" w:color="auto" w:fill="auto"/>
                  <w:vAlign w:val="center"/>
                </w:tcPr>
                <w:p>
                  <w:pPr>
                    <w:pStyle w:val="39"/>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791" w:hRule="atLeast"/>
                <w:jc w:val="center"/>
              </w:trPr>
              <w:tc>
                <w:tcPr>
                  <w:tcW w:w="425" w:type="pct"/>
                  <w:vMerge w:val="continue"/>
                  <w:vAlign w:val="center"/>
                </w:tcPr>
                <w:p>
                  <w:pPr>
                    <w:pStyle w:val="39"/>
                    <w:spacing w:line="240" w:lineRule="auto"/>
                    <w:rPr>
                      <w:rFonts w:hint="default" w:ascii="Times New Roman" w:hAnsi="Times New Roman" w:eastAsia="宋体" w:cs="Times New Roman"/>
                      <w:sz w:val="21"/>
                      <w:szCs w:val="21"/>
                    </w:rPr>
                  </w:pPr>
                </w:p>
              </w:tc>
              <w:tc>
                <w:tcPr>
                  <w:tcW w:w="852" w:type="pct"/>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燃烧废气</w:t>
                  </w:r>
                </w:p>
              </w:tc>
              <w:tc>
                <w:tcPr>
                  <w:tcW w:w="1046" w:type="pct"/>
                  <w:shd w:val="clear" w:color="auto" w:fill="auto"/>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先进燃烧</w:t>
                  </w:r>
                  <w:r>
                    <w:rPr>
                      <w:rFonts w:hint="default" w:ascii="Times New Roman" w:hAnsi="Times New Roman" w:eastAsia="宋体" w:cs="Times New Roman"/>
                      <w:sz w:val="21"/>
                      <w:szCs w:val="21"/>
                    </w:rPr>
                    <w:t>设施1套</w:t>
                  </w:r>
                </w:p>
              </w:tc>
              <w:tc>
                <w:tcPr>
                  <w:tcW w:w="843" w:type="pct"/>
                  <w:shd w:val="clear" w:color="auto" w:fill="auto"/>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rPr>
                    <w:t>5</w:t>
                  </w:r>
                </w:p>
              </w:tc>
              <w:tc>
                <w:tcPr>
                  <w:tcW w:w="1217" w:type="pct"/>
                  <w:shd w:val="clear" w:color="auto" w:fill="auto"/>
                  <w:vAlign w:val="center"/>
                </w:tcPr>
                <w:p>
                  <w:pPr>
                    <w:pStyle w:val="39"/>
                    <w:spacing w:line="240" w:lineRule="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eastAsia="zh-CN"/>
                    </w:rPr>
                    <w:t>旋风</w:t>
                  </w:r>
                  <w:r>
                    <w:rPr>
                      <w:rFonts w:hint="default" w:ascii="Times New Roman" w:hAnsi="Times New Roman" w:eastAsia="宋体" w:cs="Times New Roman"/>
                      <w:sz w:val="21"/>
                      <w:szCs w:val="21"/>
                      <w:lang w:val="en-US" w:eastAsia="zh-CN"/>
                    </w:rPr>
                    <w:t>+水膜除尘器</w:t>
                  </w:r>
                  <w:r>
                    <w:rPr>
                      <w:rFonts w:hint="default" w:ascii="Times New Roman" w:hAnsi="Times New Roman" w:eastAsia="宋体" w:cs="Times New Roman"/>
                      <w:sz w:val="21"/>
                      <w:szCs w:val="21"/>
                    </w:rPr>
                    <w:t>1套</w:t>
                  </w:r>
                </w:p>
              </w:tc>
              <w:tc>
                <w:tcPr>
                  <w:tcW w:w="614" w:type="pct"/>
                  <w:shd w:val="clear" w:color="auto" w:fill="auto"/>
                  <w:vAlign w:val="center"/>
                </w:tcPr>
                <w:p>
                  <w:pPr>
                    <w:pStyle w:val="39"/>
                    <w:spacing w:line="240" w:lineRule="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1</w:t>
                  </w:r>
                  <w:r>
                    <w:rPr>
                      <w:rFonts w:hint="default" w:ascii="Times New Roman" w:hAnsi="Times New Roman" w:eastAsia="宋体" w:cs="Times New Roman"/>
                      <w:sz w:val="21"/>
                      <w:szCs w:val="21"/>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5" w:hRule="atLeast"/>
                <w:jc w:val="center"/>
              </w:trPr>
              <w:tc>
                <w:tcPr>
                  <w:tcW w:w="425" w:type="pct"/>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废水治理</w:t>
                  </w:r>
                </w:p>
              </w:tc>
              <w:tc>
                <w:tcPr>
                  <w:tcW w:w="852" w:type="pct"/>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生活污水</w:t>
                  </w:r>
                </w:p>
              </w:tc>
              <w:tc>
                <w:tcPr>
                  <w:tcW w:w="1046" w:type="pct"/>
                  <w:vAlign w:val="center"/>
                </w:tcPr>
                <w:p>
                  <w:pPr>
                    <w:pStyle w:val="39"/>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依托原有</w:t>
                  </w:r>
                </w:p>
              </w:tc>
              <w:tc>
                <w:tcPr>
                  <w:tcW w:w="843" w:type="pct"/>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c>
                <w:tcPr>
                  <w:tcW w:w="1217" w:type="pct"/>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依托原有</w:t>
                  </w:r>
                </w:p>
              </w:tc>
              <w:tc>
                <w:tcPr>
                  <w:tcW w:w="614" w:type="pct"/>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45" w:hRule="atLeast"/>
                <w:jc w:val="center"/>
              </w:trPr>
              <w:tc>
                <w:tcPr>
                  <w:tcW w:w="425" w:type="pct"/>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噪声治理</w:t>
                  </w:r>
                </w:p>
              </w:tc>
              <w:tc>
                <w:tcPr>
                  <w:tcW w:w="852" w:type="pct"/>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机械噪声</w:t>
                  </w:r>
                </w:p>
              </w:tc>
              <w:tc>
                <w:tcPr>
                  <w:tcW w:w="1046" w:type="pct"/>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设置专用设备间，墙体隔声及消声、减振等措施，加强设备维护，加强厂区绿化等</w:t>
                  </w:r>
                </w:p>
              </w:tc>
              <w:tc>
                <w:tcPr>
                  <w:tcW w:w="843" w:type="pct"/>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3.0</w:t>
                  </w:r>
                </w:p>
              </w:tc>
              <w:tc>
                <w:tcPr>
                  <w:tcW w:w="1217" w:type="pct"/>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设置专用设备间，墙体隔声及消声、减振等措施，加强设备维护，加强厂区绿化等</w:t>
                  </w:r>
                </w:p>
              </w:tc>
              <w:tc>
                <w:tcPr>
                  <w:tcW w:w="614" w:type="pct"/>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425" w:type="pct"/>
                  <w:vMerge w:val="restart"/>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固废治理</w:t>
                  </w:r>
                </w:p>
              </w:tc>
              <w:tc>
                <w:tcPr>
                  <w:tcW w:w="852" w:type="pct"/>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生产固废</w:t>
                  </w:r>
                </w:p>
              </w:tc>
              <w:tc>
                <w:tcPr>
                  <w:tcW w:w="1046" w:type="pct"/>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设置1座建筑面积10m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的危废暂存房、建筑面积为10m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的一般工业固废暂存场所</w:t>
                  </w:r>
                </w:p>
              </w:tc>
              <w:tc>
                <w:tcPr>
                  <w:tcW w:w="843" w:type="pct"/>
                  <w:vMerge w:val="restart"/>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1.0</w:t>
                  </w:r>
                </w:p>
              </w:tc>
              <w:tc>
                <w:tcPr>
                  <w:tcW w:w="1217" w:type="pct"/>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设置1座建筑面积10m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的危废暂存房、建筑面积为10m</w:t>
                  </w:r>
                  <w:r>
                    <w:rPr>
                      <w:rFonts w:hint="default" w:ascii="Times New Roman" w:hAnsi="Times New Roman" w:eastAsia="宋体" w:cs="Times New Roman"/>
                      <w:sz w:val="21"/>
                      <w:szCs w:val="21"/>
                      <w:vertAlign w:val="superscript"/>
                    </w:rPr>
                    <w:t>3</w:t>
                  </w:r>
                  <w:r>
                    <w:rPr>
                      <w:rFonts w:hint="default" w:ascii="Times New Roman" w:hAnsi="Times New Roman" w:eastAsia="宋体" w:cs="Times New Roman"/>
                      <w:sz w:val="21"/>
                      <w:szCs w:val="21"/>
                    </w:rPr>
                    <w:t>的一般工业固废暂存场所</w:t>
                  </w:r>
                </w:p>
              </w:tc>
              <w:tc>
                <w:tcPr>
                  <w:tcW w:w="614" w:type="pct"/>
                  <w:vMerge w:val="restart"/>
                  <w:vAlign w:val="center"/>
                </w:tcPr>
                <w:p>
                  <w:pPr>
                    <w:pStyle w:val="39"/>
                    <w:spacing w:line="240" w:lineRule="auto"/>
                    <w:rPr>
                      <w:rFonts w:hint="default" w:ascii="Times New Roman" w:hAnsi="Times New Roman" w:eastAsia="宋体" w:cs="Times New Roman"/>
                      <w:sz w:val="21"/>
                      <w:szCs w:val="21"/>
                      <w:lang w:val="en-US" w:eastAsia="zh-CN"/>
                    </w:rPr>
                  </w:pPr>
                  <w:r>
                    <w:rPr>
                      <w:rFonts w:hint="eastAsia" w:eastAsia="宋体" w:cs="Times New Roman"/>
                      <w:sz w:val="21"/>
                      <w:szCs w:val="21"/>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32" w:hRule="atLeast"/>
                <w:jc w:val="center"/>
              </w:trPr>
              <w:tc>
                <w:tcPr>
                  <w:tcW w:w="425" w:type="pct"/>
                  <w:vMerge w:val="continue"/>
                  <w:vAlign w:val="center"/>
                </w:tcPr>
                <w:p>
                  <w:pPr>
                    <w:pStyle w:val="39"/>
                    <w:spacing w:line="240" w:lineRule="auto"/>
                    <w:rPr>
                      <w:rFonts w:hint="default" w:ascii="Times New Roman" w:hAnsi="Times New Roman" w:eastAsia="宋体" w:cs="Times New Roman"/>
                      <w:sz w:val="21"/>
                      <w:szCs w:val="21"/>
                    </w:rPr>
                  </w:pPr>
                </w:p>
              </w:tc>
              <w:tc>
                <w:tcPr>
                  <w:tcW w:w="852" w:type="pct"/>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生活垃圾</w:t>
                  </w:r>
                </w:p>
              </w:tc>
              <w:tc>
                <w:tcPr>
                  <w:tcW w:w="1046" w:type="pct"/>
                  <w:vAlign w:val="center"/>
                </w:tcPr>
                <w:p>
                  <w:pPr>
                    <w:pStyle w:val="39"/>
                    <w:spacing w:line="240" w:lineRule="auto"/>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垃圾桶</w:t>
                  </w:r>
                </w:p>
              </w:tc>
              <w:tc>
                <w:tcPr>
                  <w:tcW w:w="843" w:type="pct"/>
                  <w:vMerge w:val="continue"/>
                  <w:vAlign w:val="center"/>
                </w:tcPr>
                <w:p>
                  <w:pPr>
                    <w:pStyle w:val="39"/>
                    <w:spacing w:line="240" w:lineRule="auto"/>
                    <w:rPr>
                      <w:rFonts w:hint="default" w:ascii="Times New Roman" w:hAnsi="Times New Roman" w:eastAsia="宋体" w:cs="Times New Roman"/>
                      <w:sz w:val="21"/>
                      <w:szCs w:val="21"/>
                    </w:rPr>
                  </w:pPr>
                </w:p>
              </w:tc>
              <w:tc>
                <w:tcPr>
                  <w:tcW w:w="1217" w:type="pct"/>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eastAsia="zh-CN"/>
                    </w:rPr>
                    <w:t>垃圾桶</w:t>
                  </w:r>
                </w:p>
              </w:tc>
              <w:tc>
                <w:tcPr>
                  <w:tcW w:w="614" w:type="pct"/>
                  <w:vMerge w:val="continue"/>
                  <w:vAlign w:val="center"/>
                </w:tcPr>
                <w:p>
                  <w:pPr>
                    <w:pStyle w:val="39"/>
                    <w:spacing w:line="240" w:lineRule="auto"/>
                    <w:rPr>
                      <w:rFonts w:hint="default" w:ascii="Times New Roman" w:hAnsi="Times New Roman" w:eastAsia="宋体" w:cs="Times New Roman"/>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7" w:hRule="atLeast"/>
                <w:jc w:val="center"/>
              </w:trPr>
              <w:tc>
                <w:tcPr>
                  <w:tcW w:w="1278" w:type="pct"/>
                  <w:gridSpan w:val="2"/>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合计</w:t>
                  </w:r>
                </w:p>
              </w:tc>
              <w:tc>
                <w:tcPr>
                  <w:tcW w:w="1046" w:type="pct"/>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w:t>
                  </w:r>
                </w:p>
              </w:tc>
              <w:tc>
                <w:tcPr>
                  <w:tcW w:w="843" w:type="pct"/>
                  <w:vAlign w:val="center"/>
                </w:tcPr>
                <w:p>
                  <w:pPr>
                    <w:pStyle w:val="39"/>
                    <w:spacing w:line="240" w:lineRule="auto"/>
                    <w:rPr>
                      <w:rFonts w:hint="default" w:ascii="Times New Roman" w:hAnsi="Times New Roman" w:eastAsia="宋体" w:cs="Times New Roman"/>
                      <w:sz w:val="21"/>
                      <w:szCs w:val="21"/>
                    </w:rPr>
                  </w:pPr>
                  <w:r>
                    <w:rPr>
                      <w:rFonts w:hint="default" w:ascii="Times New Roman" w:hAnsi="Times New Roman" w:eastAsia="宋体" w:cs="Times New Roman"/>
                      <w:sz w:val="21"/>
                      <w:szCs w:val="21"/>
                      <w:lang w:val="en-US" w:eastAsia="zh-CN"/>
                    </w:rPr>
                    <w:t>4</w:t>
                  </w:r>
                  <w:r>
                    <w:rPr>
                      <w:rFonts w:hint="default" w:ascii="Times New Roman" w:hAnsi="Times New Roman" w:eastAsia="宋体" w:cs="Times New Roman"/>
                      <w:sz w:val="21"/>
                      <w:szCs w:val="21"/>
                    </w:rPr>
                    <w:t>0.0</w:t>
                  </w:r>
                </w:p>
              </w:tc>
              <w:tc>
                <w:tcPr>
                  <w:tcW w:w="1217" w:type="pct"/>
                  <w:vAlign w:val="center"/>
                </w:tcPr>
                <w:p>
                  <w:pPr>
                    <w:pStyle w:val="39"/>
                    <w:spacing w:line="240" w:lineRule="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w:t>
                  </w:r>
                </w:p>
              </w:tc>
              <w:tc>
                <w:tcPr>
                  <w:tcW w:w="614" w:type="pct"/>
                  <w:vAlign w:val="center"/>
                </w:tcPr>
                <w:p>
                  <w:pPr>
                    <w:pStyle w:val="39"/>
                    <w:spacing w:line="240" w:lineRule="auto"/>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lang w:val="en-US" w:eastAsia="zh-CN"/>
                    </w:rPr>
                    <w:t>43</w:t>
                  </w:r>
                </w:p>
              </w:tc>
            </w:tr>
          </w:tbl>
          <w:p>
            <w:pPr>
              <w:widowControl/>
              <w:spacing w:line="360" w:lineRule="auto"/>
              <w:jc w:val="center"/>
              <w:rPr>
                <w:rFonts w:hint="default" w:ascii="Times New Roman" w:hAnsi="Times New Roman" w:cs="Times New Roman"/>
                <w:b/>
                <w:sz w:val="24"/>
              </w:rPr>
            </w:pPr>
          </w:p>
          <w:p>
            <w:pPr>
              <w:pStyle w:val="2"/>
              <w:rPr>
                <w:rFonts w:hint="default" w:ascii="Times New Roman" w:hAnsi="Times New Roman" w:cs="Times New Roman"/>
                <w:b/>
                <w:sz w:val="24"/>
              </w:rPr>
            </w:pPr>
          </w:p>
          <w:p>
            <w:pPr>
              <w:rPr>
                <w:rFonts w:hint="default" w:ascii="Times New Roman" w:hAnsi="Times New Roman" w:cs="Times New Roman"/>
              </w:rPr>
            </w:pPr>
          </w:p>
          <w:bookmarkEnd w:id="5"/>
          <w:p>
            <w:pPr>
              <w:rPr>
                <w:rFonts w:hint="default" w:ascii="Times New Roman" w:hAnsi="Times New Roman" w:cs="Times New Roman"/>
                <w:sz w:val="24"/>
                <w:lang w:eastAsia="zh-CN"/>
              </w:rPr>
            </w:pPr>
          </w:p>
          <w:p>
            <w:pPr>
              <w:rPr>
                <w:rFonts w:hint="default" w:ascii="Times New Roman" w:hAnsi="Times New Roman" w:cs="Times New Roman" w:eastAsiaTheme="minorEastAsia"/>
                <w:sz w:val="24"/>
                <w:lang w:eastAsia="zh-CN"/>
              </w:rPr>
            </w:pPr>
          </w:p>
        </w:tc>
      </w:tr>
    </w:tbl>
    <w:p>
      <w:pPr>
        <w:rPr>
          <w:rFonts w:hint="default" w:ascii="Times New Roman" w:hAnsi="Times New Roman" w:cs="Times New Roman"/>
          <w:b/>
          <w:sz w:val="24"/>
        </w:rPr>
      </w:pPr>
      <w:r>
        <w:rPr>
          <w:rFonts w:hint="default" w:ascii="Times New Roman" w:hAnsi="Times New Roman" w:cs="Times New Roman"/>
          <w:b/>
          <w:sz w:val="24"/>
        </w:rPr>
        <w:br w:type="page"/>
      </w: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表四 建设项目环境影响报告表主要结论及审批部门审批决定</w:t>
      </w:r>
    </w:p>
    <w:tbl>
      <w:tblPr>
        <w:tblStyle w:val="17"/>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9288" w:type="dxa"/>
          </w:tcPr>
          <w:p>
            <w:pPr>
              <w:spacing w:line="360" w:lineRule="auto"/>
              <w:ind w:firstLine="482" w:firstLineChars="200"/>
              <w:rPr>
                <w:rFonts w:hint="default" w:ascii="Times New Roman" w:hAnsi="Times New Roman" w:cs="Times New Roman"/>
                <w:b/>
                <w:bCs/>
                <w:sz w:val="24"/>
                <w:szCs w:val="32"/>
              </w:rPr>
            </w:pPr>
            <w:r>
              <w:rPr>
                <w:rFonts w:hint="default" w:ascii="Times New Roman" w:hAnsi="Times New Roman" w:cs="Times New Roman"/>
                <w:b/>
                <w:bCs/>
                <w:sz w:val="24"/>
                <w:szCs w:val="32"/>
              </w:rPr>
              <w:t>1、环评主要结论</w:t>
            </w:r>
          </w:p>
          <w:p>
            <w:pPr>
              <w:pStyle w:val="2"/>
              <w:spacing w:after="0" w:line="360" w:lineRule="auto"/>
              <w:ind w:firstLine="0"/>
              <w:jc w:val="center"/>
              <w:rPr>
                <w:rFonts w:hint="default" w:ascii="Times New Roman" w:hAnsi="Times New Roman" w:cs="Times New Roman"/>
                <w:b/>
                <w:bCs/>
                <w:sz w:val="24"/>
                <w:szCs w:val="32"/>
              </w:rPr>
            </w:pPr>
            <w:r>
              <w:rPr>
                <w:rFonts w:hint="default" w:ascii="Times New Roman" w:hAnsi="Times New Roman" w:cs="Times New Roman"/>
                <w:b/>
                <w:bCs/>
                <w:sz w:val="24"/>
                <w:szCs w:val="32"/>
              </w:rPr>
              <w:t>表4.1 环评表主要结论</w:t>
            </w:r>
          </w:p>
          <w:tbl>
            <w:tblPr>
              <w:tblStyle w:val="1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6"/>
              <w:gridCol w:w="5123"/>
              <w:gridCol w:w="32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74" w:hRule="atLeast"/>
                <w:jc w:val="center"/>
              </w:trPr>
              <w:tc>
                <w:tcPr>
                  <w:tcW w:w="373"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项目</w:t>
                  </w:r>
                </w:p>
              </w:tc>
              <w:tc>
                <w:tcPr>
                  <w:tcW w:w="2827"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环评结论</w:t>
                  </w:r>
                </w:p>
              </w:tc>
              <w:tc>
                <w:tcPr>
                  <w:tcW w:w="1798"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实际建设状况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6" w:hRule="atLeast"/>
                <w:jc w:val="center"/>
              </w:trPr>
              <w:tc>
                <w:tcPr>
                  <w:tcW w:w="373"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大气环境影响分析结论</w:t>
                  </w:r>
                </w:p>
              </w:tc>
              <w:tc>
                <w:tcPr>
                  <w:tcW w:w="2827" w:type="pct"/>
                  <w:vAlign w:val="center"/>
                </w:tcPr>
                <w:p>
                  <w:pPr>
                    <w:pStyle w:val="45"/>
                    <w:keepNext w:val="0"/>
                    <w:keepLines w:val="0"/>
                    <w:pageBreakBefore w:val="0"/>
                    <w:widowControl w:val="0"/>
                    <w:kinsoku/>
                    <w:wordWrap/>
                    <w:overflowPunct/>
                    <w:topLinePunct w:val="0"/>
                    <w:bidi w:val="0"/>
                    <w:adjustRightInd/>
                    <w:snapToGrid/>
                    <w:spacing w:line="240" w:lineRule="auto"/>
                    <w:ind w:left="0" w:leftChars="0" w:right="0" w:firstLine="0" w:firstLineChars="0"/>
                    <w:jc w:val="center"/>
                    <w:textAlignment w:val="auto"/>
                    <w:rPr>
                      <w:rFonts w:hint="default" w:ascii="Times New Roman" w:hAnsi="Times New Roman" w:cs="Times New Roman"/>
                      <w:spacing w:val="0"/>
                      <w:sz w:val="21"/>
                      <w:szCs w:val="21"/>
                    </w:rPr>
                  </w:pPr>
                  <w:r>
                    <w:rPr>
                      <w:rFonts w:hint="default" w:ascii="Times New Roman" w:hAnsi="Times New Roman" w:cs="Times New Roman"/>
                      <w:spacing w:val="0"/>
                      <w:sz w:val="21"/>
                      <w:szCs w:val="21"/>
                      <w:lang w:val="en-US"/>
                    </w:rPr>
                    <w:t>扩建项目</w:t>
                  </w:r>
                  <w:r>
                    <w:rPr>
                      <w:rFonts w:hint="default" w:ascii="Times New Roman" w:hAnsi="Times New Roman" w:cs="Times New Roman"/>
                      <w:spacing w:val="0"/>
                      <w:sz w:val="21"/>
                      <w:szCs w:val="21"/>
                    </w:rPr>
                    <w:t>产生的废气主要为</w:t>
                  </w:r>
                  <w:r>
                    <w:rPr>
                      <w:rFonts w:hint="default" w:ascii="Times New Roman" w:hAnsi="Times New Roman" w:cs="Times New Roman"/>
                      <w:spacing w:val="0"/>
                      <w:sz w:val="21"/>
                      <w:szCs w:val="21"/>
                      <w:lang w:val="en-US"/>
                    </w:rPr>
                    <w:t>抛丸打磨粉尘、高压除尘粉尘</w:t>
                  </w:r>
                  <w:r>
                    <w:rPr>
                      <w:rFonts w:hint="default" w:ascii="Times New Roman" w:hAnsi="Times New Roman" w:cs="Times New Roman"/>
                      <w:spacing w:val="0"/>
                      <w:sz w:val="21"/>
                      <w:szCs w:val="21"/>
                    </w:rPr>
                    <w:t>、</w:t>
                  </w:r>
                  <w:r>
                    <w:rPr>
                      <w:rFonts w:hint="default" w:ascii="Times New Roman" w:hAnsi="Times New Roman" w:cs="Times New Roman"/>
                      <w:spacing w:val="0"/>
                      <w:sz w:val="21"/>
                      <w:szCs w:val="21"/>
                      <w:lang w:val="en-US"/>
                    </w:rPr>
                    <w:t>喷塑</w:t>
                  </w:r>
                  <w:r>
                    <w:rPr>
                      <w:rFonts w:hint="default" w:ascii="Times New Roman" w:hAnsi="Times New Roman" w:cs="Times New Roman"/>
                      <w:spacing w:val="0"/>
                      <w:sz w:val="21"/>
                      <w:szCs w:val="21"/>
                    </w:rPr>
                    <w:t>粉尘、</w:t>
                  </w:r>
                  <w:r>
                    <w:rPr>
                      <w:rFonts w:hint="default" w:ascii="Times New Roman" w:hAnsi="Times New Roman" w:cs="Times New Roman"/>
                      <w:spacing w:val="0"/>
                      <w:sz w:val="21"/>
                      <w:szCs w:val="21"/>
                      <w:lang w:val="en-US"/>
                    </w:rPr>
                    <w:t>固化有机废气、</w:t>
                  </w:r>
                  <w:r>
                    <w:rPr>
                      <w:rFonts w:hint="default" w:ascii="Times New Roman" w:hAnsi="Times New Roman" w:cs="Times New Roman"/>
                      <w:spacing w:val="0"/>
                      <w:sz w:val="21"/>
                      <w:szCs w:val="21"/>
                      <w:lang w:val="en-US" w:eastAsia="zh-CN"/>
                    </w:rPr>
                    <w:t>燃气</w:t>
                  </w:r>
                  <w:r>
                    <w:rPr>
                      <w:rFonts w:hint="default" w:ascii="Times New Roman" w:hAnsi="Times New Roman" w:cs="Times New Roman"/>
                      <w:spacing w:val="0"/>
                      <w:sz w:val="21"/>
                      <w:szCs w:val="21"/>
                      <w:lang w:val="en-US"/>
                    </w:rPr>
                    <w:t>燃烧废气，</w:t>
                  </w:r>
                  <w:r>
                    <w:rPr>
                      <w:rFonts w:hint="default" w:ascii="Times New Roman" w:hAnsi="Times New Roman" w:cs="Times New Roman"/>
                      <w:spacing w:val="0"/>
                      <w:sz w:val="21"/>
                      <w:szCs w:val="21"/>
                    </w:rPr>
                    <w:t>其中抛丸粉尘经设备配套布袋除尘器处理后由1根15m排气筒（</w:t>
                  </w:r>
                  <w:r>
                    <w:rPr>
                      <w:rFonts w:hint="default" w:ascii="Times New Roman" w:hAnsi="Times New Roman" w:cs="Times New Roman"/>
                      <w:spacing w:val="0"/>
                      <w:sz w:val="21"/>
                      <w:szCs w:val="21"/>
                      <w:lang w:val="en-US"/>
                    </w:rPr>
                    <w:t>DA00</w:t>
                  </w:r>
                  <w:r>
                    <w:rPr>
                      <w:rFonts w:hint="default" w:ascii="Times New Roman" w:hAnsi="Times New Roman" w:cs="Times New Roman"/>
                      <w:spacing w:val="0"/>
                      <w:sz w:val="21"/>
                      <w:szCs w:val="21"/>
                    </w:rPr>
                    <w:t>1）排放。高压除尘粉尘经除尘室配套旋风除尘设施处理后无组织排放；喷塑粉尘经喷塑室配套</w:t>
                  </w:r>
                  <w:r>
                    <w:rPr>
                      <w:rFonts w:hint="default" w:ascii="Times New Roman" w:hAnsi="Times New Roman" w:cs="Times New Roman"/>
                      <w:spacing w:val="0"/>
                      <w:sz w:val="21"/>
                      <w:szCs w:val="21"/>
                      <w:lang w:eastAsia="zh-CN"/>
                    </w:rPr>
                    <w:t>滤筒</w:t>
                  </w:r>
                  <w:r>
                    <w:rPr>
                      <w:rFonts w:hint="default" w:ascii="Times New Roman" w:hAnsi="Times New Roman" w:cs="Times New Roman"/>
                      <w:spacing w:val="0"/>
                      <w:sz w:val="21"/>
                      <w:szCs w:val="21"/>
                      <w:lang w:val="en-US"/>
                    </w:rPr>
                    <w:t>+脉冲布袋除尘器处理后由1根15m排气筒（DA002）排放；固化有机废气经集气罩收集后由二级活性炭吸附装置处理后由1根15m排气筒（DA003）排放；</w:t>
                  </w:r>
                  <w:r>
                    <w:rPr>
                      <w:rFonts w:hint="default" w:ascii="Times New Roman" w:hAnsi="Times New Roman" w:cs="Times New Roman"/>
                      <w:spacing w:val="0"/>
                      <w:sz w:val="21"/>
                      <w:szCs w:val="21"/>
                      <w:lang w:val="en-US" w:eastAsia="zh-CN"/>
                    </w:rPr>
                    <w:t>燃气</w:t>
                  </w:r>
                  <w:r>
                    <w:rPr>
                      <w:rFonts w:hint="default" w:ascii="Times New Roman" w:hAnsi="Times New Roman" w:cs="Times New Roman"/>
                      <w:spacing w:val="0"/>
                      <w:sz w:val="21"/>
                      <w:szCs w:val="21"/>
                      <w:lang w:val="en-US"/>
                    </w:rPr>
                    <w:t>废气经</w:t>
                  </w:r>
                  <w:r>
                    <w:rPr>
                      <w:rFonts w:hint="default" w:ascii="Times New Roman" w:hAnsi="Times New Roman" w:cs="Times New Roman"/>
                      <w:spacing w:val="0"/>
                      <w:sz w:val="21"/>
                      <w:szCs w:val="21"/>
                      <w:lang w:val="en-US" w:eastAsia="zh-CN"/>
                    </w:rPr>
                    <w:t>低氮燃烧装置处理后</w:t>
                  </w:r>
                  <w:r>
                    <w:rPr>
                      <w:rFonts w:hint="default" w:ascii="Times New Roman" w:hAnsi="Times New Roman" w:cs="Times New Roman"/>
                      <w:spacing w:val="0"/>
                      <w:sz w:val="21"/>
                      <w:szCs w:val="21"/>
                      <w:lang w:val="en-US"/>
                    </w:rPr>
                    <w:t>由1根</w:t>
                  </w:r>
                  <w:r>
                    <w:rPr>
                      <w:rFonts w:hint="default" w:ascii="Times New Roman" w:hAnsi="Times New Roman" w:cs="Times New Roman"/>
                      <w:spacing w:val="0"/>
                      <w:sz w:val="21"/>
                      <w:szCs w:val="21"/>
                      <w:lang w:val="en-US" w:eastAsia="zh-CN"/>
                    </w:rPr>
                    <w:t>8</w:t>
                  </w:r>
                  <w:r>
                    <w:rPr>
                      <w:rFonts w:hint="default" w:ascii="Times New Roman" w:hAnsi="Times New Roman" w:cs="Times New Roman"/>
                      <w:spacing w:val="0"/>
                      <w:sz w:val="21"/>
                      <w:szCs w:val="21"/>
                      <w:lang w:val="en-US"/>
                    </w:rPr>
                    <w:t>m排气筒（DA004）排放。本次扩建</w:t>
                  </w:r>
                  <w:r>
                    <w:rPr>
                      <w:rFonts w:hint="default" w:ascii="Times New Roman" w:hAnsi="Times New Roman" w:cs="Times New Roman"/>
                      <w:spacing w:val="0"/>
                      <w:sz w:val="21"/>
                      <w:szCs w:val="21"/>
                    </w:rPr>
                    <w:t>项目经以上环保措施有效处理后，</w:t>
                  </w:r>
                  <w:r>
                    <w:rPr>
                      <w:rFonts w:hint="default" w:ascii="Times New Roman" w:hAnsi="Times New Roman" w:cs="Times New Roman"/>
                      <w:spacing w:val="0"/>
                      <w:sz w:val="21"/>
                      <w:szCs w:val="21"/>
                      <w:lang w:val="en-US"/>
                    </w:rPr>
                    <w:t>抛丸粉尘、高压除尘粉尘、喷塑粉尘及固化有机废气有组织排放</w:t>
                  </w:r>
                  <w:r>
                    <w:rPr>
                      <w:rFonts w:hint="default" w:ascii="Times New Roman" w:hAnsi="Times New Roman" w:cs="Times New Roman"/>
                      <w:spacing w:val="0"/>
                      <w:sz w:val="21"/>
                      <w:szCs w:val="21"/>
                    </w:rPr>
                    <w:t>能够满足《</w:t>
                  </w:r>
                  <w:r>
                    <w:rPr>
                      <w:rFonts w:hint="default" w:ascii="Times New Roman" w:hAnsi="Times New Roman" w:cs="Times New Roman"/>
                      <w:spacing w:val="0"/>
                      <w:sz w:val="21"/>
                      <w:szCs w:val="21"/>
                      <w:lang w:val="en-US"/>
                    </w:rPr>
                    <w:t>大气污染物综合排放标准</w:t>
                  </w:r>
                  <w:r>
                    <w:rPr>
                      <w:rFonts w:hint="default" w:ascii="Times New Roman" w:hAnsi="Times New Roman" w:cs="Times New Roman"/>
                      <w:spacing w:val="0"/>
                      <w:sz w:val="21"/>
                      <w:szCs w:val="21"/>
                    </w:rPr>
                    <w:t>》（</w:t>
                  </w:r>
                  <w:r>
                    <w:rPr>
                      <w:rFonts w:hint="default" w:ascii="Times New Roman" w:hAnsi="Times New Roman" w:cs="Times New Roman"/>
                      <w:spacing w:val="0"/>
                      <w:sz w:val="21"/>
                      <w:szCs w:val="21"/>
                      <w:lang w:val="en-US"/>
                    </w:rPr>
                    <w:t>上海</w:t>
                  </w:r>
                  <w:r>
                    <w:rPr>
                      <w:rFonts w:hint="default" w:ascii="Times New Roman" w:hAnsi="Times New Roman" w:cs="Times New Roman"/>
                      <w:spacing w:val="0"/>
                      <w:sz w:val="21"/>
                      <w:szCs w:val="21"/>
                    </w:rPr>
                    <w:t>）（DB</w:t>
                  </w:r>
                  <w:r>
                    <w:rPr>
                      <w:rFonts w:hint="default" w:ascii="Times New Roman" w:hAnsi="Times New Roman" w:cs="Times New Roman"/>
                      <w:spacing w:val="0"/>
                      <w:sz w:val="21"/>
                      <w:szCs w:val="21"/>
                      <w:lang w:val="en-US"/>
                    </w:rPr>
                    <w:t>31/933-2015</w:t>
                  </w:r>
                  <w:r>
                    <w:rPr>
                      <w:rFonts w:hint="default" w:ascii="Times New Roman" w:hAnsi="Times New Roman" w:cs="Times New Roman"/>
                      <w:spacing w:val="0"/>
                      <w:sz w:val="21"/>
                      <w:szCs w:val="21"/>
                    </w:rPr>
                    <w:t>）</w:t>
                  </w:r>
                  <w:r>
                    <w:rPr>
                      <w:rFonts w:hint="default" w:ascii="Times New Roman" w:hAnsi="Times New Roman" w:cs="Times New Roman"/>
                      <w:spacing w:val="0"/>
                      <w:sz w:val="21"/>
                      <w:szCs w:val="21"/>
                      <w:lang w:val="en-US"/>
                    </w:rPr>
                    <w:t>表1中有组织限值浓度要求，</w:t>
                  </w:r>
                  <w:r>
                    <w:rPr>
                      <w:rFonts w:hint="default" w:ascii="Times New Roman" w:hAnsi="Times New Roman" w:cs="Times New Roman"/>
                      <w:spacing w:val="0"/>
                      <w:sz w:val="21"/>
                      <w:szCs w:val="21"/>
                    </w:rPr>
                    <w:t>该项目无组织排放的颗粒物和</w:t>
                  </w:r>
                  <w:r>
                    <w:rPr>
                      <w:rFonts w:hint="default" w:ascii="Times New Roman" w:hAnsi="Times New Roman" w:cs="Times New Roman"/>
                      <w:spacing w:val="0"/>
                      <w:sz w:val="21"/>
                      <w:szCs w:val="21"/>
                      <w:lang w:val="en-US"/>
                    </w:rPr>
                    <w:t>VOCs</w:t>
                  </w:r>
                  <w:r>
                    <w:rPr>
                      <w:rFonts w:hint="default" w:ascii="Times New Roman" w:hAnsi="Times New Roman" w:cs="Times New Roman"/>
                      <w:spacing w:val="0"/>
                      <w:sz w:val="21"/>
                      <w:szCs w:val="21"/>
                    </w:rPr>
                    <w:t>对厂界浓度贡献值较低，厂界各预测点浓度值均能够满足《</w:t>
                  </w:r>
                  <w:r>
                    <w:rPr>
                      <w:rFonts w:hint="default" w:ascii="Times New Roman" w:hAnsi="Times New Roman" w:cs="Times New Roman"/>
                      <w:spacing w:val="0"/>
                      <w:sz w:val="21"/>
                      <w:szCs w:val="21"/>
                      <w:lang w:val="en-US"/>
                    </w:rPr>
                    <w:t>大气污染物综合排放标准</w:t>
                  </w:r>
                  <w:r>
                    <w:rPr>
                      <w:rFonts w:hint="default" w:ascii="Times New Roman" w:hAnsi="Times New Roman" w:cs="Times New Roman"/>
                      <w:spacing w:val="0"/>
                      <w:sz w:val="21"/>
                      <w:szCs w:val="21"/>
                    </w:rPr>
                    <w:t>》（</w:t>
                  </w:r>
                  <w:r>
                    <w:rPr>
                      <w:rFonts w:hint="default" w:ascii="Times New Roman" w:hAnsi="Times New Roman" w:cs="Times New Roman"/>
                      <w:spacing w:val="0"/>
                      <w:sz w:val="21"/>
                      <w:szCs w:val="21"/>
                      <w:lang w:val="en-US"/>
                    </w:rPr>
                    <w:t>上海</w:t>
                  </w:r>
                  <w:r>
                    <w:rPr>
                      <w:rFonts w:hint="default" w:ascii="Times New Roman" w:hAnsi="Times New Roman" w:cs="Times New Roman"/>
                      <w:spacing w:val="0"/>
                      <w:sz w:val="21"/>
                      <w:szCs w:val="21"/>
                    </w:rPr>
                    <w:t>（DB</w:t>
                  </w:r>
                  <w:r>
                    <w:rPr>
                      <w:rFonts w:hint="default" w:ascii="Times New Roman" w:hAnsi="Times New Roman" w:cs="Times New Roman"/>
                      <w:spacing w:val="0"/>
                      <w:sz w:val="21"/>
                      <w:szCs w:val="21"/>
                      <w:lang w:val="en-US"/>
                    </w:rPr>
                    <w:t>31/933-2015</w:t>
                  </w:r>
                  <w:r>
                    <w:rPr>
                      <w:rFonts w:hint="default" w:ascii="Times New Roman" w:hAnsi="Times New Roman" w:cs="Times New Roman"/>
                      <w:spacing w:val="0"/>
                      <w:sz w:val="21"/>
                      <w:szCs w:val="21"/>
                    </w:rPr>
                    <w:t>）</w:t>
                  </w:r>
                  <w:r>
                    <w:rPr>
                      <w:rFonts w:hint="default" w:ascii="Times New Roman" w:hAnsi="Times New Roman" w:cs="Times New Roman"/>
                      <w:spacing w:val="0"/>
                      <w:sz w:val="21"/>
                      <w:szCs w:val="21"/>
                      <w:lang w:val="en-US"/>
                    </w:rPr>
                    <w:t>表3中无组织浓度限值要求</w:t>
                  </w:r>
                  <w:r>
                    <w:rPr>
                      <w:rFonts w:hint="default" w:ascii="Times New Roman" w:hAnsi="Times New Roman" w:cs="Times New Roman"/>
                      <w:spacing w:val="0"/>
                      <w:sz w:val="21"/>
                      <w:szCs w:val="21"/>
                    </w:rPr>
                    <w:t>；</w:t>
                  </w:r>
                  <w:r>
                    <w:rPr>
                      <w:rFonts w:hint="default" w:ascii="Times New Roman" w:hAnsi="Times New Roman" w:cs="Times New Roman"/>
                      <w:spacing w:val="0"/>
                      <w:sz w:val="21"/>
                      <w:szCs w:val="21"/>
                      <w:lang w:val="en-US"/>
                    </w:rPr>
                    <w:t>厂区内VOCs满足</w:t>
                  </w:r>
                  <w:r>
                    <w:rPr>
                      <w:rFonts w:hint="default" w:ascii="Times New Roman" w:hAnsi="Times New Roman" w:cs="Times New Roman"/>
                      <w:spacing w:val="0"/>
                      <w:sz w:val="21"/>
                      <w:szCs w:val="21"/>
                    </w:rPr>
                    <w:t>《挥发性有机物无组织排放控制标准》中特别排放限值</w:t>
                  </w:r>
                  <w:r>
                    <w:rPr>
                      <w:rFonts w:hint="default" w:ascii="Times New Roman" w:hAnsi="Times New Roman" w:cs="Times New Roman"/>
                      <w:spacing w:val="0"/>
                      <w:sz w:val="21"/>
                      <w:szCs w:val="21"/>
                      <w:lang w:val="en-US"/>
                    </w:rPr>
                    <w:t>。</w:t>
                  </w:r>
                  <w:r>
                    <w:rPr>
                      <w:rFonts w:hint="default" w:ascii="Times New Roman" w:hAnsi="Times New Roman" w:cs="Times New Roman"/>
                      <w:spacing w:val="0"/>
                      <w:sz w:val="21"/>
                      <w:szCs w:val="21"/>
                      <w:lang w:val="en-US" w:eastAsia="zh-CN"/>
                    </w:rPr>
                    <w:t>燃气燃烧废气</w:t>
                  </w:r>
                  <w:r>
                    <w:rPr>
                      <w:rFonts w:hint="default" w:ascii="Times New Roman" w:hAnsi="Times New Roman" w:cs="Times New Roman"/>
                      <w:spacing w:val="0"/>
                      <w:sz w:val="21"/>
                      <w:szCs w:val="21"/>
                      <w:lang w:val="en-US"/>
                    </w:rPr>
                    <w:t>排放满足《</w:t>
                  </w:r>
                  <w:r>
                    <w:rPr>
                      <w:rFonts w:hint="default" w:ascii="Times New Roman" w:hAnsi="Times New Roman" w:cs="Times New Roman"/>
                      <w:spacing w:val="0"/>
                      <w:sz w:val="21"/>
                      <w:szCs w:val="21"/>
                      <w:lang w:val="en-US" w:eastAsia="zh-CN"/>
                    </w:rPr>
                    <w:t>工业炉窑大气污染物排放标准</w:t>
                  </w:r>
                  <w:r>
                    <w:rPr>
                      <w:rFonts w:hint="default" w:ascii="Times New Roman" w:hAnsi="Times New Roman" w:cs="Times New Roman"/>
                      <w:spacing w:val="0"/>
                      <w:sz w:val="21"/>
                      <w:szCs w:val="21"/>
                      <w:lang w:val="en-US"/>
                    </w:rPr>
                    <w:t>》</w:t>
                  </w:r>
                  <w:r>
                    <w:rPr>
                      <w:rFonts w:hint="default" w:ascii="Times New Roman" w:hAnsi="Times New Roman" w:cs="Times New Roman"/>
                      <w:spacing w:val="0"/>
                      <w:sz w:val="21"/>
                      <w:szCs w:val="21"/>
                      <w:lang w:val="en-US" w:eastAsia="zh-CN"/>
                    </w:rPr>
                    <w:t>（DB31/860-2014）表1中排放限值</w:t>
                  </w:r>
                  <w:r>
                    <w:rPr>
                      <w:rFonts w:hint="default" w:ascii="Times New Roman" w:hAnsi="Times New Roman" w:cs="Times New Roman"/>
                      <w:spacing w:val="0"/>
                      <w:sz w:val="21"/>
                      <w:szCs w:val="21"/>
                      <w:lang w:val="en-US"/>
                    </w:rPr>
                    <w:t>要求。</w:t>
                  </w:r>
                  <w:r>
                    <w:rPr>
                      <w:rFonts w:hint="default" w:ascii="Times New Roman" w:hAnsi="Times New Roman" w:cs="Times New Roman"/>
                      <w:spacing w:val="0"/>
                      <w:sz w:val="21"/>
                      <w:szCs w:val="21"/>
                    </w:rPr>
                    <w:t>综上所述，项目选址及总图布置合理可行，采取的污染控制措施可以保证污染物达标排放，对大气环境影响是可以接受的。</w:t>
                  </w:r>
                </w:p>
                <w:p>
                  <w:pPr>
                    <w:pStyle w:val="45"/>
                    <w:keepNext w:val="0"/>
                    <w:keepLines w:val="0"/>
                    <w:pageBreakBefore w:val="0"/>
                    <w:widowControl w:val="0"/>
                    <w:kinsoku/>
                    <w:wordWrap/>
                    <w:overflowPunct/>
                    <w:topLinePunct w:val="0"/>
                    <w:bidi w:val="0"/>
                    <w:adjustRightInd/>
                    <w:snapToGrid/>
                    <w:spacing w:line="240" w:lineRule="auto"/>
                    <w:ind w:left="0" w:leftChars="0" w:right="0" w:firstLine="0" w:firstLineChars="0"/>
                    <w:jc w:val="center"/>
                    <w:textAlignment w:val="auto"/>
                    <w:rPr>
                      <w:rFonts w:hint="default" w:ascii="Times New Roman" w:hAnsi="Times New Roman" w:cs="Times New Roman"/>
                      <w:spacing w:val="0"/>
                      <w:sz w:val="21"/>
                      <w:szCs w:val="21"/>
                    </w:rPr>
                  </w:pPr>
                </w:p>
              </w:tc>
              <w:tc>
                <w:tcPr>
                  <w:tcW w:w="1798" w:type="pct"/>
                  <w:vAlign w:val="center"/>
                </w:tcPr>
                <w:p>
                  <w:pPr>
                    <w:pStyle w:val="45"/>
                    <w:keepNext w:val="0"/>
                    <w:keepLines w:val="0"/>
                    <w:pageBreakBefore w:val="0"/>
                    <w:widowControl w:val="0"/>
                    <w:kinsoku/>
                    <w:wordWrap/>
                    <w:overflowPunct/>
                    <w:topLinePunct w:val="0"/>
                    <w:bidi w:val="0"/>
                    <w:adjustRightInd/>
                    <w:snapToGrid/>
                    <w:spacing w:line="240" w:lineRule="auto"/>
                    <w:ind w:left="0" w:leftChars="0" w:right="0" w:firstLine="0" w:firstLineChars="0"/>
                    <w:jc w:val="center"/>
                    <w:textAlignment w:val="auto"/>
                    <w:rPr>
                      <w:rFonts w:hint="default" w:ascii="Times New Roman" w:hAnsi="Times New Roman" w:cs="Times New Roman" w:eastAsiaTheme="minorEastAsia"/>
                      <w:color w:val="auto"/>
                      <w:spacing w:val="0"/>
                      <w:sz w:val="21"/>
                      <w:szCs w:val="21"/>
                      <w:lang w:eastAsia="zh-CN"/>
                    </w:rPr>
                  </w:pPr>
                  <w:r>
                    <w:rPr>
                      <w:rFonts w:hint="default" w:ascii="Times New Roman" w:hAnsi="Times New Roman" w:cs="Times New Roman"/>
                      <w:spacing w:val="0"/>
                      <w:sz w:val="21"/>
                      <w:szCs w:val="21"/>
                    </w:rPr>
                    <w:t>抛丸粉尘经设备配套布袋除尘器处理后由1根15m排气筒（</w:t>
                  </w:r>
                  <w:r>
                    <w:rPr>
                      <w:rFonts w:hint="default" w:ascii="Times New Roman" w:hAnsi="Times New Roman" w:cs="Times New Roman"/>
                      <w:spacing w:val="0"/>
                      <w:sz w:val="21"/>
                      <w:szCs w:val="21"/>
                      <w:lang w:val="en-US"/>
                    </w:rPr>
                    <w:t>DA00</w:t>
                  </w:r>
                  <w:r>
                    <w:rPr>
                      <w:rFonts w:hint="default" w:ascii="Times New Roman" w:hAnsi="Times New Roman" w:cs="Times New Roman"/>
                      <w:spacing w:val="0"/>
                      <w:sz w:val="21"/>
                      <w:szCs w:val="21"/>
                    </w:rPr>
                    <w:t>1）排放。高压除尘粉尘经除尘室配套旋风除尘设施处理后无组织排放；喷塑粉尘经喷塑室配套</w:t>
                  </w:r>
                  <w:r>
                    <w:rPr>
                      <w:rFonts w:hint="default" w:ascii="Times New Roman" w:hAnsi="Times New Roman" w:cs="Times New Roman"/>
                      <w:spacing w:val="0"/>
                      <w:sz w:val="21"/>
                      <w:szCs w:val="21"/>
                      <w:lang w:eastAsia="zh-CN"/>
                    </w:rPr>
                    <w:t>旋风</w:t>
                  </w:r>
                  <w:r>
                    <w:rPr>
                      <w:rFonts w:hint="default" w:ascii="Times New Roman" w:hAnsi="Times New Roman" w:cs="Times New Roman"/>
                      <w:spacing w:val="0"/>
                      <w:sz w:val="21"/>
                      <w:szCs w:val="21"/>
                      <w:lang w:val="en-US" w:eastAsia="zh-CN"/>
                    </w:rPr>
                    <w:t>+滤芯</w:t>
                  </w:r>
                  <w:r>
                    <w:rPr>
                      <w:rFonts w:hint="default" w:ascii="Times New Roman" w:hAnsi="Times New Roman" w:cs="Times New Roman"/>
                      <w:spacing w:val="0"/>
                      <w:sz w:val="21"/>
                      <w:szCs w:val="21"/>
                      <w:lang w:val="en-US"/>
                    </w:rPr>
                    <w:t>除尘器处理后由1根15m排气筒（DA002）排放；固化有机废气经集气罩收集后由二级活性炭吸附装置处理后由1根15m排气筒（DA003）排放；</w:t>
                  </w:r>
                  <w:r>
                    <w:rPr>
                      <w:rFonts w:hint="default" w:ascii="Times New Roman" w:hAnsi="Times New Roman" w:cs="Times New Roman"/>
                      <w:spacing w:val="0"/>
                      <w:sz w:val="21"/>
                      <w:szCs w:val="21"/>
                      <w:lang w:val="en-US" w:eastAsia="zh-CN"/>
                    </w:rPr>
                    <w:t>燃烧</w:t>
                  </w:r>
                  <w:r>
                    <w:rPr>
                      <w:rFonts w:hint="default" w:ascii="Times New Roman" w:hAnsi="Times New Roman" w:cs="Times New Roman"/>
                      <w:spacing w:val="0"/>
                      <w:sz w:val="21"/>
                      <w:szCs w:val="21"/>
                      <w:lang w:val="en-US"/>
                    </w:rPr>
                    <w:t>废气经</w:t>
                  </w:r>
                  <w:r>
                    <w:rPr>
                      <w:rFonts w:hint="default" w:ascii="Times New Roman" w:hAnsi="Times New Roman" w:cs="Times New Roman"/>
                      <w:spacing w:val="0"/>
                      <w:sz w:val="21"/>
                      <w:szCs w:val="21"/>
                      <w:lang w:val="en-US" w:eastAsia="zh-CN"/>
                    </w:rPr>
                    <w:t>旋风+水膜除尘装置处理后</w:t>
                  </w:r>
                  <w:r>
                    <w:rPr>
                      <w:rFonts w:hint="default" w:ascii="Times New Roman" w:hAnsi="Times New Roman" w:cs="Times New Roman"/>
                      <w:spacing w:val="0"/>
                      <w:sz w:val="21"/>
                      <w:szCs w:val="21"/>
                      <w:lang w:val="en-US"/>
                    </w:rPr>
                    <w:t>由1根</w:t>
                  </w:r>
                  <w:r>
                    <w:rPr>
                      <w:rFonts w:hint="default" w:ascii="Times New Roman" w:hAnsi="Times New Roman" w:cs="Times New Roman"/>
                      <w:spacing w:val="0"/>
                      <w:sz w:val="21"/>
                      <w:szCs w:val="21"/>
                      <w:lang w:val="en-US" w:eastAsia="zh-CN"/>
                    </w:rPr>
                    <w:t>15</w:t>
                  </w:r>
                  <w:r>
                    <w:rPr>
                      <w:rFonts w:hint="default" w:ascii="Times New Roman" w:hAnsi="Times New Roman" w:cs="Times New Roman"/>
                      <w:spacing w:val="0"/>
                      <w:sz w:val="21"/>
                      <w:szCs w:val="21"/>
                      <w:lang w:val="en-US"/>
                    </w:rPr>
                    <w:t>m排气筒（DA004）排放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1" w:hRule="atLeast"/>
                <w:jc w:val="center"/>
              </w:trPr>
              <w:tc>
                <w:tcPr>
                  <w:tcW w:w="373"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地表水环境影响分析结论</w:t>
                  </w:r>
                </w:p>
              </w:tc>
              <w:tc>
                <w:tcPr>
                  <w:tcW w:w="282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right="0" w:firstLine="0" w:firstLineChars="0"/>
                    <w:jc w:val="center"/>
                    <w:textAlignment w:val="auto"/>
                    <w:rPr>
                      <w:rFonts w:hint="default" w:ascii="Times New Roman" w:hAnsi="Times New Roman" w:cs="Times New Roman"/>
                      <w:sz w:val="21"/>
                      <w:szCs w:val="21"/>
                      <w:lang w:val="en-US"/>
                    </w:rPr>
                  </w:pPr>
                  <w:r>
                    <w:rPr>
                      <w:rFonts w:hint="default" w:ascii="Times New Roman" w:hAnsi="Times New Roman" w:cs="Times New Roman"/>
                      <w:sz w:val="21"/>
                      <w:szCs w:val="21"/>
                      <w:lang w:val="en-US"/>
                    </w:rPr>
                    <w:t>扩建</w:t>
                  </w:r>
                  <w:r>
                    <w:rPr>
                      <w:rFonts w:hint="default" w:ascii="Times New Roman" w:hAnsi="Times New Roman" w:cs="Times New Roman"/>
                      <w:sz w:val="21"/>
                      <w:szCs w:val="21"/>
                    </w:rPr>
                    <w:t>项目区实行雨污分流排水制度，废水主要为职工生活污水，</w:t>
                  </w:r>
                  <w:r>
                    <w:rPr>
                      <w:rFonts w:hint="default" w:ascii="Times New Roman" w:hAnsi="Times New Roman" w:cs="Times New Roman"/>
                      <w:sz w:val="21"/>
                      <w:szCs w:val="21"/>
                      <w:lang w:val="en-US"/>
                    </w:rPr>
                    <w:t>生活污水近期经化粪池处理后定期清掏，用于项目周边农业施肥，综合利用不外排，远期待集镇污水管网延伸至项目区域附近，废水经厂区化粪池处理满足《污水综合排放标准》（GB8978-1996）表4中的三级标准，其中总磷、总氮以及氨氮参考《污水排入城镇下水道水质标准》（GB/T31962-2015）中B级标准后接入千人桥镇乡污水处理厂处理达标后排放。</w:t>
                  </w:r>
                </w:p>
                <w:p>
                  <w:pPr>
                    <w:keepNext w:val="0"/>
                    <w:keepLines w:val="0"/>
                    <w:pageBreakBefore w:val="0"/>
                    <w:widowControl w:val="0"/>
                    <w:kinsoku/>
                    <w:wordWrap/>
                    <w:overflowPunct/>
                    <w:topLinePunct w:val="0"/>
                    <w:autoSpaceDE w:val="0"/>
                    <w:autoSpaceDN w:val="0"/>
                    <w:bidi w:val="0"/>
                    <w:adjustRightInd/>
                    <w:snapToGrid/>
                    <w:spacing w:line="240" w:lineRule="auto"/>
                    <w:ind w:right="0" w:firstLine="0" w:firstLineChars="0"/>
                    <w:jc w:val="center"/>
                    <w:textAlignment w:val="auto"/>
                    <w:rPr>
                      <w:rFonts w:hint="default" w:ascii="Times New Roman" w:hAnsi="Times New Roman" w:cs="Times New Roman"/>
                      <w:sz w:val="21"/>
                      <w:szCs w:val="21"/>
                      <w:lang w:val="en-US"/>
                    </w:rPr>
                  </w:pPr>
                  <w:r>
                    <w:rPr>
                      <w:rFonts w:hint="default" w:ascii="Times New Roman" w:hAnsi="Times New Roman" w:cs="Times New Roman"/>
                      <w:sz w:val="21"/>
                      <w:szCs w:val="21"/>
                    </w:rPr>
                    <w:t>项目在落实各项污水处理措施后，项目运营期废水可做到达标排放，对区域地表水环境影响是可接受的。</w:t>
                  </w:r>
                </w:p>
                <w:p>
                  <w:pPr>
                    <w:keepNext w:val="0"/>
                    <w:keepLines w:val="0"/>
                    <w:pageBreakBefore w:val="0"/>
                    <w:widowControl w:val="0"/>
                    <w:kinsoku/>
                    <w:wordWrap/>
                    <w:overflowPunct/>
                    <w:topLinePunct w:val="0"/>
                    <w:autoSpaceDE w:val="0"/>
                    <w:autoSpaceDN w:val="0"/>
                    <w:bidi w:val="0"/>
                    <w:adjustRightInd/>
                    <w:snapToGrid/>
                    <w:spacing w:line="240" w:lineRule="auto"/>
                    <w:ind w:right="0" w:firstLine="0" w:firstLineChars="0"/>
                    <w:jc w:val="center"/>
                    <w:textAlignment w:val="auto"/>
                    <w:rPr>
                      <w:rFonts w:hint="default" w:ascii="Times New Roman" w:hAnsi="Times New Roman" w:cs="Times New Roman"/>
                      <w:sz w:val="21"/>
                      <w:szCs w:val="21"/>
                    </w:rPr>
                  </w:pPr>
                </w:p>
              </w:tc>
              <w:tc>
                <w:tcPr>
                  <w:tcW w:w="1798"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rPr>
                    <w:t>废水主要为职工生活污水，</w:t>
                  </w:r>
                  <w:r>
                    <w:rPr>
                      <w:rFonts w:hint="default" w:ascii="Times New Roman" w:hAnsi="Times New Roman" w:cs="Times New Roman"/>
                      <w:sz w:val="21"/>
                      <w:szCs w:val="21"/>
                      <w:lang w:val="en-US"/>
                    </w:rPr>
                    <w:t>生活污水近期经化粪池处理后定期清掏，用于项目周边农业施肥，综合利用不外排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93" w:hRule="atLeast"/>
                <w:jc w:val="center"/>
              </w:trPr>
              <w:tc>
                <w:tcPr>
                  <w:tcW w:w="373"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噪声治理</w:t>
                  </w:r>
                </w:p>
              </w:tc>
              <w:tc>
                <w:tcPr>
                  <w:tcW w:w="2827" w:type="pct"/>
                  <w:vAlign w:val="center"/>
                </w:tcPr>
                <w:p>
                  <w:pPr>
                    <w:keepNext w:val="0"/>
                    <w:keepLines w:val="0"/>
                    <w:pageBreakBefore w:val="0"/>
                    <w:widowControl w:val="0"/>
                    <w:kinsoku/>
                    <w:wordWrap/>
                    <w:overflowPunct/>
                    <w:topLinePunct w:val="0"/>
                    <w:autoSpaceDE w:val="0"/>
                    <w:autoSpaceDN w:val="0"/>
                    <w:bidi w:val="0"/>
                    <w:adjustRightInd/>
                    <w:snapToGrid/>
                    <w:spacing w:line="240" w:lineRule="auto"/>
                    <w:ind w:right="0" w:firstLine="0" w:firstLineChars="0"/>
                    <w:jc w:val="center"/>
                    <w:textAlignment w:val="auto"/>
                    <w:rPr>
                      <w:rFonts w:hint="default" w:ascii="Times New Roman" w:hAnsi="Times New Roman" w:cs="Times New Roman"/>
                    </w:rPr>
                  </w:pPr>
                  <w:bookmarkStart w:id="6" w:name="_Toc22055"/>
                  <w:r>
                    <w:rPr>
                      <w:rFonts w:hint="default" w:ascii="Times New Roman" w:hAnsi="Times New Roman" w:cs="Times New Roman"/>
                    </w:rPr>
                    <w:t>扩建项目运营期的噪声主要是铝模网带通过式抛丸机、高压除尘室、全自动喷粉室、粉末固化炉、</w:t>
                  </w:r>
                  <w:r>
                    <w:rPr>
                      <w:rFonts w:hint="default" w:ascii="Times New Roman" w:hAnsi="Times New Roman" w:cs="Times New Roman"/>
                      <w:lang w:eastAsia="zh-CN"/>
                    </w:rPr>
                    <w:t>燃气烘干炉</w:t>
                  </w:r>
                  <w:r>
                    <w:rPr>
                      <w:rFonts w:hint="default" w:ascii="Times New Roman" w:hAnsi="Times New Roman" w:cs="Times New Roman"/>
                    </w:rPr>
                    <w:t>和悬挂输送设备等机械设备运行噪声。其噪声值在</w:t>
                  </w:r>
                  <w:r>
                    <w:rPr>
                      <w:rFonts w:hint="default" w:ascii="Times New Roman" w:hAnsi="Times New Roman" w:cs="Times New Roman"/>
                      <w:lang w:val="en-US" w:eastAsia="zh-CN"/>
                    </w:rPr>
                    <w:t>8</w:t>
                  </w:r>
                  <w:r>
                    <w:rPr>
                      <w:rFonts w:hint="default" w:ascii="Times New Roman" w:hAnsi="Times New Roman" w:cs="Times New Roman"/>
                    </w:rPr>
                    <w:t>0～9</w:t>
                  </w:r>
                  <w:r>
                    <w:rPr>
                      <w:rFonts w:hint="default" w:ascii="Times New Roman" w:hAnsi="Times New Roman" w:cs="Times New Roman"/>
                      <w:lang w:val="en-US" w:eastAsia="zh-CN"/>
                    </w:rPr>
                    <w:t>0</w:t>
                  </w:r>
                  <w:r>
                    <w:rPr>
                      <w:rFonts w:hint="default" w:ascii="Times New Roman" w:hAnsi="Times New Roman" w:cs="Times New Roman"/>
                    </w:rPr>
                    <w:t>dB(A)之间，在选用低噪设备、基础减震、消声、厂房隔声等降噪措施后，运营期各厂界噪声排放均可达到《工业企业厂界环境噪声排放标准》（GB12348-2008）中2类区标准要求。</w:t>
                  </w:r>
                  <w:bookmarkEnd w:id="6"/>
                </w:p>
              </w:tc>
              <w:tc>
                <w:tcPr>
                  <w:tcW w:w="1798" w:type="pct"/>
                  <w:vAlign w:val="center"/>
                </w:tcPr>
                <w:p>
                  <w:pPr>
                    <w:pStyle w:val="45"/>
                    <w:keepNext w:val="0"/>
                    <w:keepLines w:val="0"/>
                    <w:pageBreakBefore w:val="0"/>
                    <w:widowControl w:val="0"/>
                    <w:kinsoku/>
                    <w:wordWrap/>
                    <w:overflowPunct/>
                    <w:topLinePunct w:val="0"/>
                    <w:bidi w:val="0"/>
                    <w:adjustRightInd/>
                    <w:snapToGrid/>
                    <w:spacing w:line="240" w:lineRule="auto"/>
                    <w:ind w:left="0" w:leftChars="0" w:right="0" w:firstLine="0" w:firstLineChars="0"/>
                    <w:jc w:val="center"/>
                    <w:textAlignment w:val="auto"/>
                    <w:rPr>
                      <w:rFonts w:hint="default" w:ascii="Times New Roman" w:hAnsi="Times New Roman" w:eastAsia="宋体" w:cs="Times New Roman"/>
                      <w:spacing w:val="0"/>
                      <w:sz w:val="21"/>
                      <w:szCs w:val="21"/>
                      <w:lang w:eastAsia="zh-CN"/>
                    </w:rPr>
                  </w:pPr>
                  <w:r>
                    <w:rPr>
                      <w:rFonts w:hint="default" w:ascii="Times New Roman" w:hAnsi="Times New Roman" w:eastAsia="宋体" w:cs="Times New Roman"/>
                      <w:sz w:val="21"/>
                      <w:szCs w:val="21"/>
                      <w:lang w:eastAsia="zh-CN"/>
                    </w:rPr>
                    <w:t>项目已</w:t>
                  </w:r>
                  <w:r>
                    <w:rPr>
                      <w:rFonts w:hint="default" w:ascii="Times New Roman" w:hAnsi="Times New Roman" w:eastAsia="宋体" w:cs="Times New Roman"/>
                      <w:sz w:val="21"/>
                      <w:szCs w:val="21"/>
                    </w:rPr>
                    <w:t>通过合理布局、距离衰减</w:t>
                  </w:r>
                  <w:r>
                    <w:rPr>
                      <w:rFonts w:hint="default" w:ascii="Times New Roman" w:hAnsi="Times New Roman" w:eastAsia="宋体" w:cs="Times New Roman"/>
                      <w:sz w:val="21"/>
                      <w:szCs w:val="21"/>
                      <w:lang w:eastAsia="zh-CN"/>
                    </w:rPr>
                    <w:t>等措施降低噪声对周边环境的影响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79" w:hRule="atLeast"/>
                <w:jc w:val="center"/>
              </w:trPr>
              <w:tc>
                <w:tcPr>
                  <w:tcW w:w="373"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固废治理</w:t>
                  </w:r>
                </w:p>
              </w:tc>
              <w:tc>
                <w:tcPr>
                  <w:tcW w:w="2827"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pacing w:val="0"/>
                      <w:sz w:val="21"/>
                      <w:szCs w:val="21"/>
                    </w:rPr>
                  </w:pPr>
                  <w:r>
                    <w:rPr>
                      <w:rFonts w:hint="default" w:ascii="Times New Roman" w:hAnsi="Times New Roman" w:cs="Times New Roman"/>
                      <w:spacing w:val="0"/>
                      <w:sz w:val="21"/>
                      <w:szCs w:val="21"/>
                      <w:lang w:val="en-US"/>
                    </w:rPr>
                    <w:t>扩建</w:t>
                  </w:r>
                  <w:r>
                    <w:rPr>
                      <w:rFonts w:hint="default" w:ascii="Times New Roman" w:hAnsi="Times New Roman" w:cs="Times New Roman"/>
                      <w:spacing w:val="0"/>
                      <w:sz w:val="21"/>
                      <w:szCs w:val="21"/>
                    </w:rPr>
                    <w:t>项目营运期固废主要为</w:t>
                  </w:r>
                  <w:r>
                    <w:rPr>
                      <w:rFonts w:hint="default" w:ascii="Times New Roman" w:hAnsi="Times New Roman" w:cs="Times New Roman"/>
                      <w:spacing w:val="0"/>
                      <w:sz w:val="21"/>
                      <w:szCs w:val="21"/>
                      <w:lang w:val="en-US"/>
                    </w:rPr>
                    <w:t>抛丸工序</w:t>
                  </w:r>
                  <w:r>
                    <w:rPr>
                      <w:rFonts w:hint="default" w:ascii="Times New Roman" w:hAnsi="Times New Roman" w:cs="Times New Roman"/>
                      <w:spacing w:val="0"/>
                      <w:sz w:val="21"/>
                      <w:szCs w:val="21"/>
                    </w:rPr>
                    <w:t>、</w:t>
                  </w:r>
                  <w:r>
                    <w:rPr>
                      <w:rFonts w:hint="default" w:ascii="Times New Roman" w:hAnsi="Times New Roman" w:cs="Times New Roman"/>
                      <w:spacing w:val="0"/>
                      <w:sz w:val="21"/>
                      <w:szCs w:val="21"/>
                      <w:lang w:val="en-US"/>
                    </w:rPr>
                    <w:t>高压除尘工序、喷塑工序</w:t>
                  </w:r>
                  <w:r>
                    <w:rPr>
                      <w:rFonts w:hint="default" w:ascii="Times New Roman" w:hAnsi="Times New Roman" w:cs="Times New Roman"/>
                      <w:spacing w:val="0"/>
                      <w:sz w:val="21"/>
                      <w:szCs w:val="21"/>
                    </w:rPr>
                    <w:t>等过程中产生的</w:t>
                  </w:r>
                  <w:r>
                    <w:rPr>
                      <w:rFonts w:hint="default" w:ascii="Times New Roman" w:hAnsi="Times New Roman" w:cs="Times New Roman"/>
                      <w:spacing w:val="0"/>
                      <w:sz w:val="21"/>
                      <w:szCs w:val="21"/>
                      <w:lang w:val="en-US"/>
                    </w:rPr>
                    <w:t>粉尘；设备维修</w:t>
                  </w:r>
                  <w:r>
                    <w:rPr>
                      <w:rFonts w:hint="default" w:ascii="Times New Roman" w:hAnsi="Times New Roman" w:cs="Times New Roman"/>
                      <w:spacing w:val="0"/>
                      <w:sz w:val="21"/>
                      <w:szCs w:val="21"/>
                    </w:rPr>
                    <w:t>、保养及生产过程中产生的</w:t>
                  </w:r>
                  <w:r>
                    <w:rPr>
                      <w:rFonts w:hint="default" w:ascii="Times New Roman" w:hAnsi="Times New Roman" w:cs="Times New Roman"/>
                      <w:spacing w:val="0"/>
                      <w:sz w:val="21"/>
                      <w:szCs w:val="21"/>
                      <w:lang w:val="en-US"/>
                    </w:rPr>
                    <w:t>废润滑油、废润滑油桶、</w:t>
                  </w:r>
                  <w:r>
                    <w:rPr>
                      <w:rFonts w:hint="default" w:ascii="Times New Roman" w:hAnsi="Times New Roman" w:cs="Times New Roman"/>
                      <w:spacing w:val="0"/>
                      <w:sz w:val="21"/>
                      <w:szCs w:val="21"/>
                    </w:rPr>
                    <w:t>废弃的含油抹布、劳保用品</w:t>
                  </w:r>
                  <w:r>
                    <w:rPr>
                      <w:rFonts w:hint="default" w:ascii="Times New Roman" w:hAnsi="Times New Roman" w:cs="Times New Roman"/>
                      <w:spacing w:val="0"/>
                      <w:sz w:val="21"/>
                      <w:szCs w:val="21"/>
                      <w:lang w:val="en-US"/>
                    </w:rPr>
                    <w:t>；</w:t>
                  </w:r>
                  <w:r>
                    <w:rPr>
                      <w:rFonts w:hint="default" w:ascii="Times New Roman" w:hAnsi="Times New Roman" w:cs="Times New Roman"/>
                      <w:spacing w:val="0"/>
                      <w:sz w:val="21"/>
                      <w:szCs w:val="21"/>
                    </w:rPr>
                    <w:t>职工生活过程中产生</w:t>
                  </w:r>
                  <w:r>
                    <w:rPr>
                      <w:rFonts w:hint="default" w:ascii="Times New Roman" w:hAnsi="Times New Roman" w:cs="Times New Roman"/>
                      <w:spacing w:val="0"/>
                      <w:sz w:val="21"/>
                      <w:szCs w:val="21"/>
                      <w:lang w:val="en-US"/>
                    </w:rPr>
                    <w:t>生活垃圾等固体废物。铝模板后期加工</w:t>
                  </w:r>
                  <w:r>
                    <w:rPr>
                      <w:rFonts w:hint="default" w:ascii="Times New Roman" w:hAnsi="Times New Roman" w:cs="Times New Roman"/>
                      <w:spacing w:val="0"/>
                      <w:sz w:val="21"/>
                      <w:szCs w:val="21"/>
                    </w:rPr>
                    <w:t>过程中产生的</w:t>
                  </w:r>
                  <w:r>
                    <w:rPr>
                      <w:rFonts w:hint="default" w:ascii="Times New Roman" w:hAnsi="Times New Roman" w:cs="Times New Roman"/>
                      <w:spacing w:val="0"/>
                      <w:sz w:val="21"/>
                      <w:szCs w:val="21"/>
                      <w:lang w:val="en-US"/>
                    </w:rPr>
                    <w:t>抛丸工序、高压除尘工序粉尘</w:t>
                  </w:r>
                  <w:r>
                    <w:rPr>
                      <w:rFonts w:hint="default" w:ascii="Times New Roman" w:hAnsi="Times New Roman" w:cs="Times New Roman"/>
                      <w:spacing w:val="0"/>
                      <w:sz w:val="21"/>
                      <w:szCs w:val="21"/>
                    </w:rPr>
                    <w:t>经收集后资源外售，</w:t>
                  </w:r>
                  <w:r>
                    <w:rPr>
                      <w:rFonts w:hint="default" w:ascii="Times New Roman" w:hAnsi="Times New Roman" w:cs="Times New Roman"/>
                      <w:spacing w:val="0"/>
                      <w:sz w:val="21"/>
                      <w:szCs w:val="21"/>
                      <w:lang w:val="en-US"/>
                    </w:rPr>
                    <w:t>喷塑粉尘收集后回用于喷塑工序</w:t>
                  </w:r>
                  <w:r>
                    <w:rPr>
                      <w:rFonts w:hint="default" w:ascii="Times New Roman" w:hAnsi="Times New Roman" w:cs="Times New Roman"/>
                      <w:spacing w:val="0"/>
                      <w:sz w:val="21"/>
                      <w:szCs w:val="21"/>
                    </w:rPr>
                    <w:t>；</w:t>
                  </w:r>
                  <w:r>
                    <w:rPr>
                      <w:rFonts w:hint="default" w:ascii="Times New Roman" w:hAnsi="Times New Roman" w:cs="Times New Roman"/>
                      <w:spacing w:val="0"/>
                      <w:sz w:val="21"/>
                      <w:szCs w:val="21"/>
                      <w:lang w:val="en-US"/>
                    </w:rPr>
                    <w:t>设备维修保养</w:t>
                  </w:r>
                  <w:r>
                    <w:rPr>
                      <w:rFonts w:hint="default" w:ascii="Times New Roman" w:hAnsi="Times New Roman" w:cs="Times New Roman"/>
                      <w:spacing w:val="0"/>
                      <w:sz w:val="21"/>
                      <w:szCs w:val="21"/>
                    </w:rPr>
                    <w:t>过程中产生的废</w:t>
                  </w:r>
                  <w:r>
                    <w:rPr>
                      <w:rFonts w:hint="default" w:ascii="Times New Roman" w:hAnsi="Times New Roman" w:cs="Times New Roman"/>
                      <w:spacing w:val="0"/>
                      <w:sz w:val="21"/>
                      <w:szCs w:val="21"/>
                      <w:lang w:val="en-US"/>
                    </w:rPr>
                    <w:t>润滑油、废润滑油桶</w:t>
                  </w:r>
                  <w:r>
                    <w:rPr>
                      <w:rFonts w:hint="default" w:ascii="Times New Roman" w:hAnsi="Times New Roman" w:cs="Times New Roman"/>
                      <w:spacing w:val="0"/>
                      <w:sz w:val="21"/>
                      <w:szCs w:val="21"/>
                    </w:rPr>
                    <w:t>、废弃的含油抹布、劳保用等危险废物经分类收集</w:t>
                  </w:r>
                  <w:r>
                    <w:rPr>
                      <w:rFonts w:hint="default" w:ascii="Times New Roman" w:hAnsi="Times New Roman" w:cs="Times New Roman"/>
                      <w:spacing w:val="0"/>
                      <w:sz w:val="21"/>
                      <w:szCs w:val="21"/>
                      <w:lang w:val="en-US"/>
                    </w:rPr>
                    <w:t>并</w:t>
                  </w:r>
                  <w:r>
                    <w:rPr>
                      <w:rFonts w:hint="default" w:ascii="Times New Roman" w:hAnsi="Times New Roman" w:cs="Times New Roman"/>
                      <w:spacing w:val="0"/>
                      <w:sz w:val="21"/>
                      <w:szCs w:val="21"/>
                    </w:rPr>
                    <w:t>规范化危废暂存场所规范贮存后交由具有相关资质单位外运处置；</w:t>
                  </w:r>
                  <w:r>
                    <w:rPr>
                      <w:rFonts w:hint="default" w:ascii="Times New Roman" w:hAnsi="Times New Roman" w:cs="Times New Roman"/>
                      <w:spacing w:val="0"/>
                      <w:sz w:val="21"/>
                      <w:szCs w:val="21"/>
                      <w:lang w:val="en-US"/>
                    </w:rPr>
                    <w:t>员工生活过程中产生的垃圾经垃圾桶收集后</w:t>
                  </w:r>
                  <w:r>
                    <w:rPr>
                      <w:rFonts w:hint="default" w:ascii="Times New Roman" w:hAnsi="Times New Roman" w:cs="Times New Roman"/>
                      <w:spacing w:val="0"/>
                      <w:sz w:val="21"/>
                      <w:szCs w:val="21"/>
                    </w:rPr>
                    <w:t>一并交由当地环卫部门清运。</w:t>
                  </w:r>
                </w:p>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pacing w:val="0"/>
                      <w:sz w:val="21"/>
                      <w:szCs w:val="21"/>
                    </w:rPr>
                  </w:pPr>
                  <w:r>
                    <w:rPr>
                      <w:rFonts w:hint="default" w:ascii="Times New Roman" w:hAnsi="Times New Roman" w:cs="Times New Roman"/>
                      <w:spacing w:val="0"/>
                      <w:sz w:val="21"/>
                      <w:szCs w:val="21"/>
                    </w:rPr>
                    <w:t>综上，项目生产过程中各固废经采取相应的措施后均得到合理的利用和处置，不会对外环境造成二次污染。</w:t>
                  </w:r>
                </w:p>
              </w:tc>
              <w:tc>
                <w:tcPr>
                  <w:tcW w:w="1798" w:type="pct"/>
                  <w:vAlign w:val="center"/>
                </w:tcPr>
                <w:p>
                  <w:pPr>
                    <w:pStyle w:val="45"/>
                    <w:keepNext w:val="0"/>
                    <w:keepLines w:val="0"/>
                    <w:pageBreakBefore w:val="0"/>
                    <w:widowControl w:val="0"/>
                    <w:kinsoku/>
                    <w:wordWrap/>
                    <w:overflowPunct/>
                    <w:topLinePunct w:val="0"/>
                    <w:bidi w:val="0"/>
                    <w:adjustRightInd/>
                    <w:snapToGrid/>
                    <w:spacing w:line="240" w:lineRule="auto"/>
                    <w:ind w:left="0" w:leftChars="0" w:right="0" w:firstLine="0" w:firstLineChars="0"/>
                    <w:jc w:val="center"/>
                    <w:textAlignment w:val="auto"/>
                    <w:rPr>
                      <w:rFonts w:hint="default" w:ascii="Times New Roman" w:hAnsi="Times New Roman" w:cs="Times New Roman"/>
                      <w:spacing w:val="0"/>
                      <w:sz w:val="21"/>
                      <w:szCs w:val="21"/>
                    </w:rPr>
                  </w:pPr>
                  <w:r>
                    <w:rPr>
                      <w:rFonts w:hint="default" w:ascii="Times New Roman" w:hAnsi="Times New Roman" w:cs="Times New Roman"/>
                      <w:sz w:val="21"/>
                      <w:szCs w:val="21"/>
                      <w:lang w:val="zh-CN" w:eastAsia="zh-CN"/>
                    </w:rPr>
                    <w:t>设置</w:t>
                  </w:r>
                  <w:r>
                    <w:rPr>
                      <w:rFonts w:hint="default" w:ascii="Times New Roman" w:hAnsi="Times New Roman" w:cs="Times New Roman"/>
                      <w:sz w:val="21"/>
                      <w:szCs w:val="21"/>
                      <w:lang w:val="en-US" w:eastAsia="zh-CN"/>
                    </w:rPr>
                    <w:t>1间一般工业固废暂存间和1间危废暂存间对一般工业固废和危险废物进行临时贮存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54" w:hRule="atLeast"/>
                <w:jc w:val="center"/>
              </w:trPr>
              <w:tc>
                <w:tcPr>
                  <w:tcW w:w="373" w:type="pct"/>
                  <w:vAlign w:val="center"/>
                </w:tcPr>
                <w:p>
                  <w:pPr>
                    <w:keepNext w:val="0"/>
                    <w:keepLines w:val="0"/>
                    <w:pageBreakBefore w:val="0"/>
                    <w:widowControl w:val="0"/>
                    <w:kinsoku/>
                    <w:wordWrap/>
                    <w:overflowPunct/>
                    <w:topLinePunct w:val="0"/>
                    <w:bidi w:val="0"/>
                    <w:adjustRightInd/>
                    <w:snapToGrid/>
                    <w:spacing w:line="240" w:lineRule="auto"/>
                    <w:ind w:right="0" w:firstLine="0" w:firstLineChars="0"/>
                    <w:jc w:val="center"/>
                    <w:textAlignment w:val="auto"/>
                    <w:rPr>
                      <w:rFonts w:hint="default" w:ascii="Times New Roman" w:hAnsi="Times New Roman" w:cs="Times New Roman"/>
                      <w:sz w:val="21"/>
                      <w:szCs w:val="21"/>
                    </w:rPr>
                  </w:pPr>
                  <w:r>
                    <w:rPr>
                      <w:rFonts w:hint="default" w:ascii="Times New Roman" w:hAnsi="Times New Roman" w:cs="Times New Roman"/>
                      <w:sz w:val="21"/>
                      <w:szCs w:val="21"/>
                    </w:rPr>
                    <w:t>环评总结论</w:t>
                  </w:r>
                </w:p>
              </w:tc>
              <w:tc>
                <w:tcPr>
                  <w:tcW w:w="2827" w:type="pct"/>
                  <w:vAlign w:val="center"/>
                </w:tcPr>
                <w:p>
                  <w:pPr>
                    <w:pStyle w:val="45"/>
                    <w:keepNext w:val="0"/>
                    <w:keepLines w:val="0"/>
                    <w:pageBreakBefore w:val="0"/>
                    <w:widowControl w:val="0"/>
                    <w:kinsoku/>
                    <w:wordWrap/>
                    <w:overflowPunct/>
                    <w:topLinePunct w:val="0"/>
                    <w:bidi w:val="0"/>
                    <w:adjustRightInd/>
                    <w:snapToGrid/>
                    <w:spacing w:line="240" w:lineRule="auto"/>
                    <w:ind w:left="0" w:leftChars="0" w:right="0" w:firstLine="0" w:firstLineChars="0"/>
                    <w:jc w:val="center"/>
                    <w:textAlignment w:val="auto"/>
                    <w:rPr>
                      <w:rFonts w:hint="default" w:ascii="Times New Roman" w:hAnsi="Times New Roman" w:cs="Times New Roman"/>
                      <w:spacing w:val="0"/>
                      <w:sz w:val="21"/>
                      <w:szCs w:val="21"/>
                    </w:rPr>
                  </w:pPr>
                  <w:r>
                    <w:rPr>
                      <w:rFonts w:hint="default" w:ascii="Times New Roman" w:hAnsi="Times New Roman" w:cs="Times New Roman"/>
                      <w:spacing w:val="0"/>
                      <w:sz w:val="21"/>
                      <w:szCs w:val="21"/>
                    </w:rPr>
                    <w:t>本项目从环境保护角度可行</w:t>
                  </w:r>
                </w:p>
              </w:tc>
              <w:tc>
                <w:tcPr>
                  <w:tcW w:w="1798" w:type="pct"/>
                  <w:vAlign w:val="center"/>
                </w:tcPr>
                <w:p>
                  <w:pPr>
                    <w:pStyle w:val="45"/>
                    <w:keepNext w:val="0"/>
                    <w:keepLines w:val="0"/>
                    <w:pageBreakBefore w:val="0"/>
                    <w:widowControl w:val="0"/>
                    <w:kinsoku/>
                    <w:wordWrap/>
                    <w:overflowPunct/>
                    <w:topLinePunct w:val="0"/>
                    <w:bidi w:val="0"/>
                    <w:adjustRightInd/>
                    <w:snapToGrid/>
                    <w:spacing w:line="240" w:lineRule="auto"/>
                    <w:ind w:left="0" w:leftChars="0" w:right="0" w:firstLine="0" w:firstLineChars="0"/>
                    <w:jc w:val="center"/>
                    <w:textAlignment w:val="auto"/>
                    <w:rPr>
                      <w:rFonts w:hint="default" w:ascii="Times New Roman" w:hAnsi="Times New Roman" w:cs="Times New Roman"/>
                      <w:spacing w:val="0"/>
                      <w:sz w:val="21"/>
                      <w:szCs w:val="21"/>
                    </w:rPr>
                  </w:pPr>
                  <w:r>
                    <w:rPr>
                      <w:rFonts w:hint="default" w:ascii="Times New Roman" w:hAnsi="Times New Roman" w:cs="Times New Roman"/>
                      <w:spacing w:val="0"/>
                      <w:sz w:val="21"/>
                      <w:szCs w:val="21"/>
                    </w:rPr>
                    <w:t>/</w:t>
                  </w:r>
                </w:p>
              </w:tc>
            </w:tr>
          </w:tbl>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b/>
                <w:bCs/>
                <w:sz w:val="24"/>
              </w:rPr>
            </w:pPr>
          </w:p>
          <w:p>
            <w:pPr>
              <w:spacing w:line="360" w:lineRule="auto"/>
              <w:ind w:firstLine="482" w:firstLineChars="200"/>
              <w:rPr>
                <w:rFonts w:hint="default" w:ascii="Times New Roman" w:hAnsi="Times New Roman" w:cs="Times New Roman"/>
                <w:sz w:val="24"/>
              </w:rPr>
            </w:pPr>
            <w:r>
              <w:rPr>
                <w:rFonts w:hint="default" w:ascii="Times New Roman" w:hAnsi="Times New Roman" w:cs="Times New Roman"/>
                <w:b/>
                <w:bCs/>
                <w:sz w:val="24"/>
              </w:rPr>
              <w:t>2、环境影响报告表审批决定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一、安徽源异新型材料有限公司铝模板后期加工项目位于舒城县千人桥镇重阳村，项目总投资200万元，依托租赁安徽瑞翔石英制品有限公司厂房，新增铝模板翻新加工生产线1条，占地面积为13121平方米。主要生产工艺为:将旧铝模板通过抛丸打磨、高压除尘、静电喷粉、固化烘干、打包入库等工序加工，可实现年翻新加工新模板5000平方米的生产能力。项目建设符合国家产业政策、区域环境政策和舒城县千人桥镇总体规划要求，项目实施后对促进地方经济发展及解决当地富余劳动力就业将发挥积极作用，从环境管理角度，同意项目建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二、严格按照《报告表》中工程内容进行建设，在工程建设和建成运营中，须认真落实《报告表》提出的各项环境保护的措施、建议和结论，并着重做好以下工作: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1、切实做好项目废气的有效收集和规范处置。封闭喷塑、固化车间，负压收集废气污染物。抛丸粉尘经抛丸机配套布袋除尘器处理后，通过15米高排气简排放</w:t>
            </w:r>
            <w:r>
              <w:rPr>
                <w:rFonts w:hint="eastAsia" w:ascii="Times New Roman" w:hAnsi="Times New Roman" w:cs="Times New Roman"/>
                <w:sz w:val="24"/>
                <w:lang w:eastAsia="zh-CN"/>
              </w:rPr>
              <w:t>；</w:t>
            </w:r>
            <w:r>
              <w:rPr>
                <w:rFonts w:hint="default" w:ascii="Times New Roman" w:hAnsi="Times New Roman" w:cs="Times New Roman"/>
                <w:sz w:val="24"/>
              </w:rPr>
              <w:t>高压除尘粉尘经配套的旋风除尘设施处理后排放;喷塑粉尘经配套的滤简+脉冲布袋除尘处理后，通过15米高排气简排放</w:t>
            </w:r>
            <w:r>
              <w:rPr>
                <w:rFonts w:hint="eastAsia" w:ascii="Times New Roman" w:hAnsi="Times New Roman" w:cs="Times New Roman"/>
                <w:sz w:val="24"/>
                <w:lang w:eastAsia="zh-CN"/>
              </w:rPr>
              <w:t>；</w:t>
            </w:r>
            <w:r>
              <w:rPr>
                <w:rFonts w:hint="default" w:ascii="Times New Roman" w:hAnsi="Times New Roman" w:cs="Times New Roman"/>
                <w:sz w:val="24"/>
              </w:rPr>
              <w:t>固化废气经集气罩+二级活性炭吸附装置处理后，通过15米高排气筒排放</w:t>
            </w:r>
            <w:r>
              <w:rPr>
                <w:rFonts w:hint="eastAsia" w:ascii="Times New Roman" w:hAnsi="Times New Roman" w:cs="Times New Roman"/>
                <w:sz w:val="24"/>
                <w:lang w:eastAsia="zh-CN"/>
              </w:rPr>
              <w:t>；</w:t>
            </w:r>
            <w:r>
              <w:rPr>
                <w:rFonts w:hint="default" w:ascii="Times New Roman" w:hAnsi="Times New Roman" w:cs="Times New Roman"/>
                <w:sz w:val="24"/>
              </w:rPr>
              <w:t>天然气锅炉配置低氮燃烧装置。确保VOCs.粉尘排放满足上海市地方标准《大气污染物综合排放标准》(DB31/933-2015)中的标准要求，厂区内VOCs无组织排放执行《挥发性有机物无组织排放控制标准》(GB37822-2019)中的标准要求，燃烧废气排放满足上海市《工业炉窑大气污染物排放标准》(DB31/860-2014)和《安徽省2020年大气污染防治重点工作任务》(皖大气办[2020]2号)中特别排放限值要求。与千人桥镇人民政府和县规划部门协调，卫生防护距离范围内不得建设学校、居民、医院等环境敏感目标和食品生产企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2、严格按照“雨污分流，一口对外”的标准要求，规范管网建设。生活废水近期经隔油池、化粪池预处理后，定期清掏用于周边农田施肥，不外排。远期，待千人桥集镇污水处理厂建设完成且污水管网延伸至本项目附近，生活废水经充分预处理，达到《污水综合排放标准》(GB8978-1996)三级标准，总磷、氨氮等达到《污水排入城镇下水道水质标准》，并达到千人桥集镇污水处理厂接管标准后，排入千人桥集镇污水处理厂深度处理，达标排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3、规范废润滑油(桶)、废活性炭等危险废物的收集、暂存、处置和管理</w:t>
            </w:r>
            <w:r>
              <w:rPr>
                <w:rFonts w:hint="eastAsia" w:ascii="Times New Roman" w:hAnsi="Times New Roman" w:cs="Times New Roman"/>
                <w:sz w:val="24"/>
                <w:lang w:eastAsia="zh-CN"/>
              </w:rPr>
              <w:t>；</w:t>
            </w:r>
            <w:r>
              <w:rPr>
                <w:rFonts w:hint="default" w:ascii="Times New Roman" w:hAnsi="Times New Roman" w:cs="Times New Roman"/>
                <w:sz w:val="24"/>
              </w:rPr>
              <w:t>切实做好收集的粉尘、泥沙、废弃含油抹布、劳保用品等固废的综合利用或规范处置</w:t>
            </w:r>
            <w:r>
              <w:rPr>
                <w:rFonts w:hint="eastAsia" w:ascii="Times New Roman" w:hAnsi="Times New Roman" w:cs="Times New Roman"/>
                <w:sz w:val="24"/>
                <w:lang w:eastAsia="zh-CN"/>
              </w:rPr>
              <w:t>；</w:t>
            </w:r>
            <w:r>
              <w:rPr>
                <w:rFonts w:hint="default" w:ascii="Times New Roman" w:hAnsi="Times New Roman" w:cs="Times New Roman"/>
                <w:sz w:val="24"/>
              </w:rPr>
              <w:t>生活垃圾统一纳入城乡环卫一体化管理，日产日清。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4.切实做好抛丸机、除尘机、喷粉机等噪声源强的减振、降噪及其生产车间封闭，强化企业内部环境管理，规范操作行为，确保厂界环境噪声达到《工业企业厂界环境噪声排放标准》(GB12348-2008)中2类标准。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5、项目单位须严格按照市生态环境局批复的SO:0.00034吨/年、NOx:0.102吨/年、烟(粉)尘:0.0485吨/年、VOCs:0.0005吨/年总量指标要求组织生产、治污，不得以任何理由超总量排污。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6、在项目建设与运营过程中，建设单位须自觉接受我局的日常监督管理，进一步规范企业内部的环境管理.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三、项目竣工试运行和污染治理设施同步投入运转正常后，建设单位应当按照《建设项目竣工环境保护验收暂行办法》，对配套建设的环境保护设施进行验收，按规定办理排污许可证。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sz w:val="24"/>
              </w:rPr>
            </w:pPr>
            <w:r>
              <w:rPr>
                <w:rFonts w:hint="default" w:ascii="Times New Roman" w:hAnsi="Times New Roman" w:cs="Times New Roman"/>
                <w:sz w:val="24"/>
              </w:rPr>
              <w:t>四、舒城县千人桥镇人民政府负责对该项目实施属地管理，县环境监察大队、环境监测站分别负责日常环境监察和监督性监测等工作。</w:t>
            </w:r>
          </w:p>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sz w:val="24"/>
              </w:rPr>
            </w:pPr>
          </w:p>
          <w:p>
            <w:pPr>
              <w:spacing w:line="360" w:lineRule="auto"/>
              <w:ind w:firstLine="480" w:firstLineChars="200"/>
              <w:rPr>
                <w:rFonts w:hint="default" w:ascii="Times New Roman" w:hAnsi="Times New Roman" w:cs="Times New Roman"/>
                <w:sz w:val="24"/>
                <w:lang w:eastAsia="zh-CN"/>
              </w:rPr>
            </w:pPr>
          </w:p>
          <w:p>
            <w:pPr>
              <w:spacing w:line="360" w:lineRule="auto"/>
              <w:ind w:firstLine="480" w:firstLineChars="200"/>
              <w:rPr>
                <w:rFonts w:hint="default" w:ascii="Times New Roman" w:hAnsi="Times New Roman" w:cs="Times New Roman"/>
                <w:sz w:val="24"/>
                <w:lang w:eastAsia="zh-CN"/>
              </w:rPr>
            </w:pPr>
          </w:p>
          <w:p>
            <w:pPr>
              <w:spacing w:line="360" w:lineRule="auto"/>
              <w:ind w:firstLine="480" w:firstLineChars="200"/>
              <w:rPr>
                <w:rFonts w:hint="default" w:ascii="Times New Roman" w:hAnsi="Times New Roman" w:cs="Times New Roman"/>
                <w:sz w:val="24"/>
                <w:lang w:eastAsia="zh-CN"/>
              </w:rPr>
            </w:pPr>
          </w:p>
          <w:p>
            <w:pPr>
              <w:spacing w:line="360" w:lineRule="auto"/>
              <w:ind w:firstLine="480" w:firstLineChars="200"/>
              <w:rPr>
                <w:rFonts w:hint="default" w:ascii="Times New Roman" w:hAnsi="Times New Roman" w:cs="Times New Roman"/>
                <w:sz w:val="24"/>
                <w:lang w:eastAsia="zh-CN"/>
              </w:rPr>
            </w:pPr>
          </w:p>
          <w:p>
            <w:pPr>
              <w:spacing w:line="360" w:lineRule="auto"/>
              <w:ind w:firstLine="480" w:firstLineChars="200"/>
              <w:rPr>
                <w:rFonts w:hint="default" w:ascii="Times New Roman" w:hAnsi="Times New Roman" w:cs="Times New Roman"/>
                <w:sz w:val="24"/>
                <w:lang w:eastAsia="zh-CN"/>
              </w:rPr>
            </w:pPr>
          </w:p>
          <w:p>
            <w:pPr>
              <w:spacing w:line="360" w:lineRule="auto"/>
              <w:ind w:firstLine="480" w:firstLineChars="200"/>
              <w:rPr>
                <w:rFonts w:hint="default" w:ascii="Times New Roman" w:hAnsi="Times New Roman" w:cs="Times New Roman"/>
                <w:sz w:val="24"/>
                <w:lang w:eastAsia="zh-CN"/>
              </w:rPr>
            </w:pPr>
          </w:p>
          <w:p>
            <w:pPr>
              <w:spacing w:line="360" w:lineRule="auto"/>
              <w:ind w:firstLine="480" w:firstLineChars="200"/>
              <w:rPr>
                <w:rFonts w:hint="default" w:ascii="Times New Roman" w:hAnsi="Times New Roman" w:cs="Times New Roman"/>
                <w:sz w:val="24"/>
                <w:lang w:eastAsia="zh-CN"/>
              </w:rPr>
            </w:pPr>
          </w:p>
          <w:p>
            <w:pPr>
              <w:spacing w:line="360" w:lineRule="auto"/>
              <w:ind w:firstLine="480" w:firstLineChars="200"/>
              <w:rPr>
                <w:rFonts w:hint="default" w:ascii="Times New Roman" w:hAnsi="Times New Roman" w:cs="Times New Roman"/>
                <w:sz w:val="24"/>
                <w:lang w:eastAsia="zh-CN"/>
              </w:rPr>
            </w:pPr>
          </w:p>
          <w:p>
            <w:pPr>
              <w:spacing w:line="360" w:lineRule="auto"/>
              <w:ind w:firstLine="480" w:firstLineChars="200"/>
              <w:rPr>
                <w:rFonts w:hint="default" w:ascii="Times New Roman" w:hAnsi="Times New Roman" w:cs="Times New Roman"/>
                <w:sz w:val="24"/>
                <w:lang w:eastAsia="zh-CN"/>
              </w:rPr>
            </w:pPr>
          </w:p>
          <w:p>
            <w:pPr>
              <w:spacing w:line="360" w:lineRule="auto"/>
              <w:ind w:firstLine="480" w:firstLineChars="200"/>
              <w:rPr>
                <w:rFonts w:hint="default" w:ascii="Times New Roman" w:hAnsi="Times New Roman" w:cs="Times New Roman"/>
                <w:sz w:val="24"/>
                <w:lang w:eastAsia="zh-CN"/>
              </w:rPr>
            </w:pPr>
          </w:p>
          <w:p>
            <w:pPr>
              <w:spacing w:line="360" w:lineRule="auto"/>
              <w:ind w:firstLine="480" w:firstLineChars="200"/>
              <w:rPr>
                <w:rFonts w:hint="default" w:ascii="Times New Roman" w:hAnsi="Times New Roman" w:cs="Times New Roman"/>
                <w:sz w:val="24"/>
                <w:lang w:eastAsia="zh-CN"/>
              </w:rPr>
            </w:pPr>
          </w:p>
          <w:p>
            <w:pPr>
              <w:spacing w:line="360" w:lineRule="auto"/>
              <w:ind w:firstLine="480" w:firstLineChars="200"/>
              <w:rPr>
                <w:rFonts w:hint="default" w:ascii="Times New Roman" w:hAnsi="Times New Roman" w:cs="Times New Roman" w:eastAsiaTheme="minorEastAsia"/>
                <w:sz w:val="24"/>
                <w:lang w:eastAsia="zh-CN"/>
              </w:rPr>
            </w:pPr>
          </w:p>
          <w:p>
            <w:pPr>
              <w:spacing w:line="360" w:lineRule="auto"/>
              <w:rPr>
                <w:rFonts w:hint="default" w:ascii="Times New Roman" w:hAnsi="Times New Roman" w:cs="Times New Roman"/>
                <w:b/>
                <w:sz w:val="24"/>
              </w:rPr>
            </w:pPr>
          </w:p>
        </w:tc>
      </w:tr>
    </w:tbl>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表五 验收监测质量保证及质量控制</w:t>
      </w:r>
    </w:p>
    <w:tbl>
      <w:tblPr>
        <w:tblStyle w:val="17"/>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951" w:hRule="atLeast"/>
        </w:trPr>
        <w:tc>
          <w:tcPr>
            <w:tcW w:w="9288" w:type="dxa"/>
          </w:tcPr>
          <w:p>
            <w:pPr>
              <w:spacing w:line="360" w:lineRule="auto"/>
              <w:ind w:firstLine="482" w:firstLineChars="200"/>
              <w:rPr>
                <w:rFonts w:hint="default" w:ascii="Times New Roman" w:hAnsi="Times New Roman" w:cs="Times New Roman"/>
                <w:b/>
                <w:sz w:val="24"/>
              </w:rPr>
            </w:pPr>
            <w:r>
              <w:rPr>
                <w:rFonts w:hint="default" w:ascii="Times New Roman" w:hAnsi="Times New Roman" w:cs="Times New Roman"/>
                <w:b/>
                <w:bCs/>
                <w:kern w:val="0"/>
                <w:sz w:val="24"/>
              </w:rPr>
              <w:t>1、监测分析过程中的质量保证和质量控制</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color w:val="000000"/>
                <w:kern w:val="0"/>
                <w:sz w:val="24"/>
              </w:rPr>
              <w:t>本次验收监测采样及分析过程均严格按照《环境空气监测质量保证手册》及《环境监测技术规范》等要求进行，实施全程序质量控制。具体质控要求如下：</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（1）及时</w:t>
            </w:r>
            <w:r>
              <w:rPr>
                <w:rFonts w:hint="default" w:ascii="Times New Roman" w:hAnsi="Times New Roman" w:cs="Times New Roman"/>
                <w:color w:val="000000"/>
                <w:sz w:val="24"/>
              </w:rPr>
              <w:t>组织</w:t>
            </w:r>
            <w:r>
              <w:rPr>
                <w:rFonts w:hint="default" w:ascii="Times New Roman" w:hAnsi="Times New Roman" w:cs="Times New Roman"/>
                <w:sz w:val="24"/>
                <w:szCs w:val="44"/>
              </w:rPr>
              <w:t>监测</w:t>
            </w:r>
            <w:r>
              <w:rPr>
                <w:rFonts w:hint="default" w:ascii="Times New Roman" w:hAnsi="Times New Roman" w:cs="Times New Roman"/>
                <w:sz w:val="24"/>
              </w:rPr>
              <w:t>人员到现场勘察，进行现场点位确认。</w:t>
            </w:r>
          </w:p>
          <w:p>
            <w:pPr>
              <w:spacing w:line="360" w:lineRule="auto"/>
              <w:ind w:firstLine="480" w:firstLineChars="200"/>
              <w:rPr>
                <w:rFonts w:hint="default" w:ascii="Times New Roman" w:hAnsi="Times New Roman" w:cs="Times New Roman"/>
                <w:kern w:val="0"/>
                <w:sz w:val="24"/>
              </w:rPr>
            </w:pPr>
            <w:r>
              <w:rPr>
                <w:rFonts w:hint="default" w:ascii="Times New Roman" w:hAnsi="Times New Roman" w:cs="Times New Roman"/>
                <w:sz w:val="24"/>
              </w:rPr>
              <w:t>（2）</w:t>
            </w:r>
            <w:r>
              <w:rPr>
                <w:rFonts w:hint="default" w:ascii="Times New Roman" w:hAnsi="Times New Roman" w:cs="Times New Roman"/>
                <w:kern w:val="0"/>
                <w:sz w:val="24"/>
              </w:rPr>
              <w:t>根据现场</w:t>
            </w:r>
            <w:r>
              <w:rPr>
                <w:rFonts w:hint="default" w:ascii="Times New Roman" w:hAnsi="Times New Roman" w:cs="Times New Roman"/>
                <w:sz w:val="24"/>
              </w:rPr>
              <w:t>勘察</w:t>
            </w:r>
            <w:r>
              <w:rPr>
                <w:rFonts w:hint="default" w:ascii="Times New Roman" w:hAnsi="Times New Roman" w:cs="Times New Roman"/>
                <w:kern w:val="0"/>
                <w:sz w:val="24"/>
              </w:rPr>
              <w:t>的情况，按照</w:t>
            </w:r>
            <w:r>
              <w:rPr>
                <w:rFonts w:hint="default" w:ascii="Times New Roman" w:hAnsi="Times New Roman" w:cs="Times New Roman"/>
                <w:sz w:val="24"/>
              </w:rPr>
              <w:t>《大气污染物无组织排放监测技术导则》（HJ/T 55-2000）</w:t>
            </w:r>
            <w:r>
              <w:rPr>
                <w:rFonts w:hint="default" w:ascii="Times New Roman" w:hAnsi="Times New Roman" w:cs="Times New Roman"/>
                <w:color w:val="000000"/>
                <w:kern w:val="0"/>
                <w:sz w:val="24"/>
              </w:rPr>
              <w:t>、《固定污染源监测技术规范》（HJ/T 397-2007</w:t>
            </w:r>
            <w:r>
              <w:rPr>
                <w:rFonts w:hint="default" w:ascii="Times New Roman" w:hAnsi="Times New Roman" w:cs="Times New Roman"/>
                <w:color w:val="000000" w:themeColor="text1"/>
                <w:kern w:val="0"/>
                <w:sz w:val="24"/>
              </w:rPr>
              <w:t>）</w:t>
            </w:r>
            <w:r>
              <w:rPr>
                <w:rFonts w:hint="default" w:ascii="Times New Roman" w:hAnsi="Times New Roman" w:cs="Times New Roman"/>
                <w:color w:val="000000" w:themeColor="text1"/>
                <w:kern w:val="0"/>
                <w:sz w:val="24"/>
                <w:lang w:eastAsia="zh-CN"/>
              </w:rPr>
              <w:t>、</w:t>
            </w:r>
            <w:r>
              <w:rPr>
                <w:rFonts w:hint="default" w:ascii="Times New Roman" w:hAnsi="Times New Roman" w:cs="Times New Roman"/>
                <w:color w:val="000000" w:themeColor="text1"/>
                <w:kern w:val="0"/>
                <w:sz w:val="24"/>
              </w:rPr>
              <w:t xml:space="preserve">《工业企业厂界环境噪声排放标准》（GB </w:t>
            </w:r>
            <w:r>
              <w:rPr>
                <w:rFonts w:hint="default" w:ascii="Times New Roman" w:hAnsi="Times New Roman" w:cs="Times New Roman"/>
                <w:color w:val="000000"/>
                <w:kern w:val="0"/>
                <w:sz w:val="24"/>
              </w:rPr>
              <w:t>12348-2008），</w:t>
            </w:r>
            <w:r>
              <w:rPr>
                <w:rFonts w:hint="default" w:ascii="Times New Roman" w:hAnsi="Times New Roman" w:cs="Times New Roman"/>
                <w:kern w:val="0"/>
                <w:sz w:val="24"/>
              </w:rPr>
              <w:t>编制现场监测方案和现场监测实施方案。</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（3）使用的标准方法均为现行有效的方法，且方法最低检出限能满足各项监测因子的最高质量标准。</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（4）所有的</w:t>
            </w:r>
            <w:r>
              <w:rPr>
                <w:rFonts w:hint="default" w:ascii="Times New Roman" w:hAnsi="Times New Roman" w:cs="Times New Roman"/>
                <w:sz w:val="24"/>
                <w:szCs w:val="44"/>
              </w:rPr>
              <w:t>监测</w:t>
            </w:r>
            <w:r>
              <w:rPr>
                <w:rFonts w:hint="default" w:ascii="Times New Roman" w:hAnsi="Times New Roman" w:cs="Times New Roman"/>
                <w:sz w:val="24"/>
              </w:rPr>
              <w:t>人员均能持证上岗，对监测过程中涉及的重要技术环节进行了严格的培训。</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（5）</w:t>
            </w:r>
            <w:r>
              <w:rPr>
                <w:rFonts w:hint="default" w:ascii="Times New Roman" w:hAnsi="Times New Roman" w:cs="Times New Roman"/>
                <w:color w:val="000000"/>
                <w:sz w:val="24"/>
              </w:rPr>
              <w:t>实验室分析</w:t>
            </w:r>
            <w:r>
              <w:rPr>
                <w:rFonts w:hint="default" w:ascii="Times New Roman" w:hAnsi="Times New Roman" w:cs="Times New Roman"/>
                <w:sz w:val="24"/>
              </w:rPr>
              <w:t>仪器均经过省级计量部门鉴定，保证了监测数据的准确性和代表性。</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（6）数据进行三级审核（室主任审核、质量负责人复审、技术负责人签发）。</w:t>
            </w:r>
          </w:p>
          <w:p>
            <w:pPr>
              <w:spacing w:line="360" w:lineRule="auto"/>
              <w:ind w:firstLine="480" w:firstLineChars="200"/>
              <w:rPr>
                <w:rFonts w:hint="default" w:ascii="Times New Roman" w:hAnsi="Times New Roman" w:cs="Times New Roman"/>
                <w:sz w:val="24"/>
              </w:rPr>
            </w:pPr>
            <w:r>
              <w:rPr>
                <w:rFonts w:hint="default" w:ascii="Times New Roman" w:hAnsi="Times New Roman" w:cs="Times New Roman"/>
                <w:sz w:val="24"/>
              </w:rPr>
              <w:t>（7）样品的采集、运输均按相关的技术规范要求进行。</w:t>
            </w:r>
          </w:p>
          <w:p>
            <w:pPr>
              <w:spacing w:line="360" w:lineRule="auto"/>
              <w:ind w:firstLine="480" w:firstLineChars="200"/>
              <w:rPr>
                <w:rFonts w:hint="default" w:ascii="Times New Roman" w:hAnsi="Times New Roman" w:cs="Times New Roman"/>
                <w:bCs/>
                <w:sz w:val="24"/>
              </w:rPr>
            </w:pPr>
            <w:r>
              <w:rPr>
                <w:rFonts w:hint="default" w:ascii="Times New Roman" w:hAnsi="Times New Roman" w:cs="Times New Roman"/>
                <w:sz w:val="24"/>
              </w:rPr>
              <w:t>（8）</w:t>
            </w:r>
            <w:r>
              <w:rPr>
                <w:rFonts w:hint="default" w:ascii="Times New Roman" w:hAnsi="Times New Roman" w:cs="Times New Roman"/>
                <w:bCs/>
                <w:sz w:val="24"/>
              </w:rPr>
              <w:t>样品</w:t>
            </w:r>
            <w:r>
              <w:rPr>
                <w:rFonts w:hint="default" w:ascii="Times New Roman" w:hAnsi="Times New Roman" w:cs="Times New Roman"/>
                <w:color w:val="000000"/>
                <w:sz w:val="24"/>
              </w:rPr>
              <w:t>分析质量控制</w:t>
            </w:r>
            <w:r>
              <w:rPr>
                <w:rFonts w:hint="default" w:ascii="Times New Roman" w:hAnsi="Times New Roman" w:cs="Times New Roman"/>
                <w:bCs/>
                <w:sz w:val="24"/>
              </w:rPr>
              <w:t>：</w:t>
            </w:r>
          </w:p>
          <w:p>
            <w:pPr>
              <w:spacing w:line="360" w:lineRule="auto"/>
              <w:ind w:firstLine="480" w:firstLineChars="200"/>
              <w:rPr>
                <w:rFonts w:hint="default" w:ascii="Times New Roman" w:hAnsi="Times New Roman" w:cs="Times New Roman"/>
              </w:rPr>
            </w:pPr>
            <w:r>
              <w:rPr>
                <w:rFonts w:hint="default" w:ascii="Times New Roman" w:hAnsi="Times New Roman" w:cs="Times New Roman"/>
                <w:bCs/>
                <w:sz w:val="24"/>
              </w:rPr>
              <w:t>用空白值、标准曲线的相关、截距、斜率评价实验过程的一致性。</w:t>
            </w:r>
            <w:bookmarkStart w:id="7" w:name="_Toc513795210"/>
            <w:bookmarkStart w:id="8" w:name="_Toc6074"/>
            <w:bookmarkStart w:id="9" w:name="_Toc512519570"/>
          </w:p>
          <w:p>
            <w:pPr>
              <w:pStyle w:val="27"/>
              <w:ind w:firstLine="482" w:firstLineChars="200"/>
              <w:rPr>
                <w:rFonts w:hint="default" w:ascii="Times New Roman" w:hAnsi="Times New Roman" w:cs="Times New Roman"/>
                <w:color w:val="auto"/>
              </w:rPr>
            </w:pPr>
          </w:p>
          <w:p>
            <w:pPr>
              <w:pStyle w:val="27"/>
              <w:ind w:firstLine="482" w:firstLineChars="200"/>
              <w:rPr>
                <w:rFonts w:hint="default" w:ascii="Times New Roman" w:hAnsi="Times New Roman" w:cs="Times New Roman"/>
                <w:color w:val="auto"/>
              </w:rPr>
            </w:pPr>
          </w:p>
          <w:p>
            <w:pPr>
              <w:pStyle w:val="27"/>
              <w:ind w:firstLine="482" w:firstLineChars="200"/>
              <w:rPr>
                <w:rFonts w:hint="default" w:ascii="Times New Roman" w:hAnsi="Times New Roman" w:cs="Times New Roman"/>
                <w:color w:val="auto"/>
              </w:rPr>
            </w:pPr>
          </w:p>
          <w:p>
            <w:pPr>
              <w:pStyle w:val="27"/>
              <w:ind w:firstLine="482" w:firstLineChars="200"/>
              <w:rPr>
                <w:rFonts w:hint="default" w:ascii="Times New Roman" w:hAnsi="Times New Roman" w:cs="Times New Roman"/>
                <w:color w:val="auto"/>
              </w:rPr>
            </w:pPr>
          </w:p>
          <w:p>
            <w:pPr>
              <w:pStyle w:val="27"/>
              <w:ind w:firstLine="482" w:firstLineChars="200"/>
              <w:rPr>
                <w:rFonts w:hint="default" w:ascii="Times New Roman" w:hAnsi="Times New Roman" w:cs="Times New Roman"/>
                <w:color w:val="auto"/>
              </w:rPr>
            </w:pPr>
          </w:p>
          <w:p>
            <w:pPr>
              <w:pStyle w:val="27"/>
              <w:ind w:firstLine="482" w:firstLineChars="200"/>
              <w:rPr>
                <w:rFonts w:hint="default" w:ascii="Times New Roman" w:hAnsi="Times New Roman" w:cs="Times New Roman"/>
                <w:color w:val="auto"/>
              </w:rPr>
            </w:pPr>
          </w:p>
          <w:p>
            <w:pPr>
              <w:pStyle w:val="27"/>
              <w:ind w:firstLine="482" w:firstLineChars="200"/>
              <w:rPr>
                <w:rFonts w:hint="default" w:ascii="Times New Roman" w:hAnsi="Times New Roman" w:cs="Times New Roman"/>
                <w:color w:val="auto"/>
              </w:rPr>
            </w:pPr>
          </w:p>
          <w:p>
            <w:pPr>
              <w:pStyle w:val="27"/>
              <w:ind w:firstLine="482" w:firstLineChars="200"/>
              <w:rPr>
                <w:rFonts w:hint="default" w:ascii="Times New Roman" w:hAnsi="Times New Roman" w:cs="Times New Roman"/>
                <w:color w:val="auto"/>
              </w:rPr>
            </w:pPr>
          </w:p>
          <w:p>
            <w:pPr>
              <w:pStyle w:val="27"/>
              <w:ind w:firstLine="482" w:firstLineChars="200"/>
              <w:rPr>
                <w:rFonts w:hint="default" w:ascii="Times New Roman" w:hAnsi="Times New Roman" w:cs="Times New Roman"/>
                <w:color w:val="auto"/>
              </w:rPr>
            </w:pPr>
          </w:p>
          <w:p>
            <w:pPr>
              <w:pStyle w:val="27"/>
              <w:ind w:firstLine="482" w:firstLineChars="200"/>
              <w:rPr>
                <w:rFonts w:hint="default" w:ascii="Times New Roman" w:hAnsi="Times New Roman" w:cs="Times New Roman"/>
                <w:color w:val="auto"/>
              </w:rPr>
            </w:pPr>
          </w:p>
          <w:p>
            <w:pPr>
              <w:pStyle w:val="27"/>
              <w:ind w:firstLine="482" w:firstLineChars="200"/>
              <w:rPr>
                <w:rFonts w:hint="default" w:ascii="Times New Roman" w:hAnsi="Times New Roman" w:cs="Times New Roman"/>
                <w:color w:val="auto"/>
              </w:rPr>
            </w:pPr>
          </w:p>
          <w:p>
            <w:pPr>
              <w:pStyle w:val="27"/>
              <w:ind w:firstLine="482" w:firstLineChars="200"/>
              <w:rPr>
                <w:rFonts w:hint="default" w:ascii="Times New Roman" w:hAnsi="Times New Roman" w:cs="Times New Roman"/>
                <w:color w:val="auto"/>
              </w:rPr>
            </w:pPr>
          </w:p>
          <w:p>
            <w:pPr>
              <w:pStyle w:val="27"/>
              <w:ind w:firstLine="482" w:firstLineChars="200"/>
              <w:rPr>
                <w:rFonts w:hint="default" w:ascii="Times New Roman" w:hAnsi="Times New Roman" w:cs="Times New Roman"/>
                <w:b w:val="0"/>
                <w:color w:val="auto"/>
              </w:rPr>
            </w:pPr>
            <w:r>
              <w:rPr>
                <w:rFonts w:hint="default" w:ascii="Times New Roman" w:hAnsi="Times New Roman" w:cs="Times New Roman"/>
                <w:color w:val="auto"/>
              </w:rPr>
              <w:t>2、 监测分析方法</w:t>
            </w:r>
            <w:bookmarkEnd w:id="7"/>
            <w:bookmarkEnd w:id="8"/>
            <w:bookmarkEnd w:id="9"/>
          </w:p>
          <w:p>
            <w:pPr>
              <w:spacing w:line="360" w:lineRule="auto"/>
              <w:jc w:val="center"/>
              <w:rPr>
                <w:rFonts w:hint="default" w:ascii="Times New Roman" w:hAnsi="Times New Roman" w:cs="Times New Roman"/>
                <w:b/>
                <w:sz w:val="24"/>
              </w:rPr>
            </w:pPr>
            <w:bookmarkStart w:id="10" w:name="_Toc25009"/>
            <w:r>
              <w:rPr>
                <w:rFonts w:hint="default" w:ascii="Times New Roman" w:hAnsi="Times New Roman" w:cs="Times New Roman"/>
                <w:b/>
                <w:sz w:val="24"/>
              </w:rPr>
              <w:t>表5.1   监测分析方法一览表</w:t>
            </w:r>
            <w:bookmarkEnd w:id="10"/>
          </w:p>
          <w:tbl>
            <w:tblPr>
              <w:tblStyle w:val="17"/>
              <w:tblW w:w="94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52"/>
              <w:gridCol w:w="2165"/>
              <w:gridCol w:w="3915"/>
              <w:gridCol w:w="1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13" w:type="dxa"/>
                  <w:tcBorders>
                    <w:left w:val="single" w:color="auto" w:sz="4" w:space="0"/>
                    <w:right w:val="single" w:color="auto" w:sz="4" w:space="0"/>
                  </w:tcBorders>
                  <w:noWrap/>
                  <w:vAlign w:val="center"/>
                </w:tcPr>
                <w:p>
                  <w:pPr>
                    <w:spacing w:line="360" w:lineRule="auto"/>
                    <w:jc w:val="center"/>
                    <w:rPr>
                      <w:rFonts w:ascii="宋体" w:cs="宋体"/>
                      <w:sz w:val="20"/>
                      <w:szCs w:val="21"/>
                    </w:rPr>
                  </w:pPr>
                  <w:r>
                    <w:rPr>
                      <w:rFonts w:hint="eastAsia" w:ascii="宋体" w:cs="宋体"/>
                      <w:sz w:val="20"/>
                      <w:szCs w:val="21"/>
                    </w:rPr>
                    <w:t>检测类别</w:t>
                  </w:r>
                </w:p>
              </w:tc>
              <w:tc>
                <w:tcPr>
                  <w:tcW w:w="2268"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cs="宋体"/>
                      <w:sz w:val="20"/>
                      <w:szCs w:val="21"/>
                    </w:rPr>
                  </w:pPr>
                  <w:r>
                    <w:rPr>
                      <w:rFonts w:hint="eastAsia" w:ascii="宋体" w:cs="宋体"/>
                      <w:sz w:val="20"/>
                      <w:szCs w:val="21"/>
                    </w:rPr>
                    <w:t>检测项目</w:t>
                  </w:r>
                </w:p>
              </w:tc>
              <w:tc>
                <w:tcPr>
                  <w:tcW w:w="4111"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cs="宋体"/>
                      <w:sz w:val="20"/>
                      <w:szCs w:val="21"/>
                    </w:rPr>
                  </w:pPr>
                  <w:r>
                    <w:rPr>
                      <w:rFonts w:hint="eastAsia" w:ascii="宋体" w:cs="宋体"/>
                      <w:sz w:val="20"/>
                      <w:szCs w:val="21"/>
                    </w:rPr>
                    <w:t>检测方法</w:t>
                  </w:r>
                </w:p>
              </w:tc>
              <w:tc>
                <w:tcPr>
                  <w:tcW w:w="1705"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cs="宋体"/>
                      <w:sz w:val="20"/>
                      <w:szCs w:val="21"/>
                    </w:rPr>
                  </w:pPr>
                  <w:r>
                    <w:rPr>
                      <w:rFonts w:hint="eastAsia" w:ascii="宋体" w:cs="宋体"/>
                      <w:sz w:val="20"/>
                      <w:szCs w:val="21"/>
                    </w:rPr>
                    <w:t>方法检出限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13" w:type="dxa"/>
                  <w:vMerge w:val="restart"/>
                  <w:tcBorders>
                    <w:left w:val="single" w:color="auto" w:sz="4" w:space="0"/>
                    <w:right w:val="single" w:color="auto" w:sz="4" w:space="0"/>
                  </w:tcBorders>
                  <w:noWrap/>
                  <w:vAlign w:val="center"/>
                </w:tcPr>
                <w:p>
                  <w:pPr>
                    <w:spacing w:line="360" w:lineRule="auto"/>
                    <w:jc w:val="center"/>
                    <w:rPr>
                      <w:rFonts w:ascii="宋体" w:cs="宋体"/>
                      <w:sz w:val="20"/>
                      <w:szCs w:val="21"/>
                    </w:rPr>
                  </w:pPr>
                  <w:r>
                    <w:rPr>
                      <w:rFonts w:hint="eastAsia" w:ascii="宋体" w:cs="宋体"/>
                      <w:sz w:val="20"/>
                      <w:szCs w:val="21"/>
                    </w:rPr>
                    <w:t>有组织</w:t>
                  </w:r>
                  <w:r>
                    <w:rPr>
                      <w:rFonts w:ascii="宋体" w:cs="宋体"/>
                      <w:sz w:val="20"/>
                      <w:szCs w:val="21"/>
                    </w:rPr>
                    <w:t>废气</w:t>
                  </w:r>
                </w:p>
              </w:tc>
              <w:tc>
                <w:tcPr>
                  <w:tcW w:w="2268"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cs="宋体"/>
                      <w:sz w:val="20"/>
                      <w:szCs w:val="21"/>
                    </w:rPr>
                  </w:pPr>
                  <w:r>
                    <w:rPr>
                      <w:rFonts w:hint="eastAsia" w:ascii="宋体" w:cs="宋体"/>
                      <w:sz w:val="20"/>
                      <w:szCs w:val="21"/>
                    </w:rPr>
                    <w:t>非甲烷</w:t>
                  </w:r>
                  <w:r>
                    <w:rPr>
                      <w:rFonts w:ascii="宋体" w:cs="宋体"/>
                      <w:sz w:val="20"/>
                      <w:szCs w:val="21"/>
                    </w:rPr>
                    <w:t>总烃</w:t>
                  </w:r>
                </w:p>
              </w:tc>
              <w:tc>
                <w:tcPr>
                  <w:tcW w:w="4111"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kern w:val="0"/>
                      <w:sz w:val="20"/>
                    </w:rPr>
                  </w:pPr>
                  <w:r>
                    <w:rPr>
                      <w:color w:val="000000"/>
                      <w:kern w:val="0"/>
                      <w:sz w:val="20"/>
                    </w:rPr>
                    <w:t>固定污染源废气 总烃、甲烷和非甲烷总烃的测定 气相色谱法 HJ 38-2017</w:t>
                  </w:r>
                </w:p>
              </w:tc>
              <w:tc>
                <w:tcPr>
                  <w:tcW w:w="1705"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kern w:val="0"/>
                      <w:sz w:val="20"/>
                    </w:rPr>
                  </w:pPr>
                  <w:r>
                    <w:rPr>
                      <w:color w:val="000000"/>
                      <w:kern w:val="0"/>
                      <w:sz w:val="20"/>
                    </w:rPr>
                    <w:t>0.07mg/m³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13" w:type="dxa"/>
                  <w:vMerge w:val="continue"/>
                  <w:tcBorders>
                    <w:left w:val="single" w:color="auto" w:sz="4" w:space="0"/>
                    <w:right w:val="single" w:color="auto" w:sz="4" w:space="0"/>
                  </w:tcBorders>
                  <w:noWrap/>
                  <w:vAlign w:val="center"/>
                </w:tcPr>
                <w:p>
                  <w:pPr>
                    <w:spacing w:line="360" w:lineRule="auto"/>
                    <w:jc w:val="center"/>
                    <w:rPr>
                      <w:rFonts w:ascii="宋体" w:cs="宋体"/>
                      <w:sz w:val="20"/>
                      <w:szCs w:val="21"/>
                    </w:rPr>
                  </w:pPr>
                </w:p>
              </w:tc>
              <w:tc>
                <w:tcPr>
                  <w:tcW w:w="2268"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cs="宋体"/>
                      <w:sz w:val="20"/>
                      <w:szCs w:val="21"/>
                    </w:rPr>
                  </w:pPr>
                  <w:r>
                    <w:rPr>
                      <w:rFonts w:hint="eastAsia" w:ascii="宋体" w:cs="宋体"/>
                      <w:sz w:val="20"/>
                      <w:szCs w:val="21"/>
                    </w:rPr>
                    <w:t>颗粒物</w:t>
                  </w:r>
                </w:p>
              </w:tc>
              <w:tc>
                <w:tcPr>
                  <w:tcW w:w="4111"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kern w:val="0"/>
                      <w:sz w:val="20"/>
                    </w:rPr>
                  </w:pPr>
                  <w:r>
                    <w:rPr>
                      <w:color w:val="000000"/>
                      <w:kern w:val="0"/>
                      <w:sz w:val="20"/>
                    </w:rPr>
                    <w:t>固定污染源废气 低浓度颗粒物的测定</w:t>
                  </w:r>
                </w:p>
                <w:p>
                  <w:pPr>
                    <w:widowControl/>
                    <w:jc w:val="center"/>
                    <w:rPr>
                      <w:color w:val="000000"/>
                      <w:kern w:val="0"/>
                      <w:sz w:val="20"/>
                    </w:rPr>
                  </w:pPr>
                  <w:r>
                    <w:rPr>
                      <w:color w:val="000000"/>
                      <w:kern w:val="0"/>
                      <w:sz w:val="20"/>
                    </w:rPr>
                    <w:t>重量法 HJ 836-2017</w:t>
                  </w:r>
                </w:p>
              </w:tc>
              <w:tc>
                <w:tcPr>
                  <w:tcW w:w="1705"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kern w:val="0"/>
                      <w:sz w:val="20"/>
                    </w:rPr>
                  </w:pPr>
                  <w:r>
                    <w:rPr>
                      <w:color w:val="000000"/>
                      <w:sz w:val="20"/>
                    </w:rPr>
                    <w:t>1.0mg/m</w:t>
                  </w:r>
                  <w:r>
                    <w:rPr>
                      <w:color w:val="000000"/>
                      <w:sz w:val="20"/>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13" w:type="dxa"/>
                  <w:vMerge w:val="continue"/>
                  <w:tcBorders>
                    <w:left w:val="single" w:color="auto" w:sz="4" w:space="0"/>
                    <w:right w:val="single" w:color="auto" w:sz="4" w:space="0"/>
                  </w:tcBorders>
                  <w:noWrap/>
                  <w:vAlign w:val="center"/>
                </w:tcPr>
                <w:p>
                  <w:pPr>
                    <w:spacing w:line="360" w:lineRule="auto"/>
                    <w:jc w:val="center"/>
                    <w:rPr>
                      <w:rFonts w:ascii="宋体" w:cs="宋体"/>
                      <w:sz w:val="20"/>
                      <w:szCs w:val="21"/>
                    </w:rPr>
                  </w:pPr>
                </w:p>
              </w:tc>
              <w:tc>
                <w:tcPr>
                  <w:tcW w:w="2268"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cs="宋体"/>
                      <w:sz w:val="20"/>
                      <w:szCs w:val="21"/>
                    </w:rPr>
                  </w:pPr>
                  <w:r>
                    <w:rPr>
                      <w:rFonts w:hint="eastAsia" w:ascii="宋体" w:cs="宋体"/>
                      <w:sz w:val="20"/>
                      <w:szCs w:val="21"/>
                    </w:rPr>
                    <w:t>氮氧化物</w:t>
                  </w:r>
                </w:p>
              </w:tc>
              <w:tc>
                <w:tcPr>
                  <w:tcW w:w="411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eastAsiaTheme="minorEastAsia"/>
                      <w:color w:val="000000"/>
                      <w:kern w:val="0"/>
                      <w:sz w:val="20"/>
                      <w:lang w:eastAsia="zh-CN"/>
                    </w:rPr>
                  </w:pPr>
                  <w:r>
                    <w:rPr>
                      <w:color w:val="000000"/>
                      <w:kern w:val="0"/>
                      <w:sz w:val="20"/>
                    </w:rPr>
                    <w:t>固定污染源废气 氮氧化物的测定</w:t>
                  </w:r>
                </w:p>
                <w:p>
                  <w:pPr>
                    <w:widowControl/>
                    <w:jc w:val="center"/>
                    <w:rPr>
                      <w:color w:val="000000"/>
                      <w:kern w:val="0"/>
                      <w:sz w:val="20"/>
                    </w:rPr>
                  </w:pPr>
                  <w:r>
                    <w:rPr>
                      <w:color w:val="000000"/>
                      <w:kern w:val="0"/>
                      <w:sz w:val="20"/>
                    </w:rPr>
                    <w:t>定电位电解法 HJ 693-2014</w:t>
                  </w:r>
                </w:p>
              </w:tc>
              <w:tc>
                <w:tcPr>
                  <w:tcW w:w="1705"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kern w:val="0"/>
                      <w:sz w:val="20"/>
                    </w:rPr>
                  </w:pPr>
                  <w:r>
                    <w:rPr>
                      <w:color w:val="000000"/>
                      <w:sz w:val="20"/>
                    </w:rPr>
                    <w:t>3mg/m</w:t>
                  </w:r>
                  <w:r>
                    <w:rPr>
                      <w:color w:val="000000"/>
                      <w:sz w:val="20"/>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13" w:type="dxa"/>
                  <w:vMerge w:val="continue"/>
                  <w:tcBorders>
                    <w:left w:val="single" w:color="auto" w:sz="4" w:space="0"/>
                    <w:right w:val="single" w:color="auto" w:sz="4" w:space="0"/>
                  </w:tcBorders>
                  <w:noWrap/>
                  <w:vAlign w:val="center"/>
                </w:tcPr>
                <w:p>
                  <w:pPr>
                    <w:spacing w:line="360" w:lineRule="auto"/>
                    <w:jc w:val="center"/>
                    <w:rPr>
                      <w:rFonts w:ascii="宋体" w:cs="宋体"/>
                      <w:sz w:val="20"/>
                      <w:szCs w:val="21"/>
                    </w:rPr>
                  </w:pPr>
                </w:p>
              </w:tc>
              <w:tc>
                <w:tcPr>
                  <w:tcW w:w="2268" w:type="dxa"/>
                  <w:tcBorders>
                    <w:top w:val="single" w:color="auto" w:sz="4" w:space="0"/>
                    <w:left w:val="single" w:color="auto" w:sz="4" w:space="0"/>
                    <w:bottom w:val="single" w:color="auto" w:sz="4" w:space="0"/>
                    <w:right w:val="single" w:color="auto" w:sz="4" w:space="0"/>
                  </w:tcBorders>
                  <w:noWrap/>
                  <w:vAlign w:val="center"/>
                </w:tcPr>
                <w:p>
                  <w:pPr>
                    <w:spacing w:line="360" w:lineRule="auto"/>
                    <w:jc w:val="center"/>
                    <w:rPr>
                      <w:rFonts w:ascii="宋体" w:cs="宋体"/>
                      <w:sz w:val="20"/>
                      <w:szCs w:val="21"/>
                    </w:rPr>
                  </w:pPr>
                  <w:r>
                    <w:rPr>
                      <w:rFonts w:hint="eastAsia" w:ascii="宋体" w:cs="宋体"/>
                      <w:sz w:val="20"/>
                      <w:szCs w:val="21"/>
                    </w:rPr>
                    <w:t>二氧化硫</w:t>
                  </w:r>
                </w:p>
              </w:tc>
              <w:tc>
                <w:tcPr>
                  <w:tcW w:w="411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eastAsiaTheme="minorEastAsia"/>
                      <w:color w:val="000000"/>
                      <w:kern w:val="0"/>
                      <w:sz w:val="20"/>
                      <w:lang w:eastAsia="zh-CN"/>
                    </w:rPr>
                  </w:pPr>
                  <w:r>
                    <w:rPr>
                      <w:color w:val="000000"/>
                      <w:kern w:val="0"/>
                      <w:sz w:val="20"/>
                    </w:rPr>
                    <w:t>固定污染源废气 二氧化硫的测定</w:t>
                  </w:r>
                </w:p>
                <w:p>
                  <w:pPr>
                    <w:widowControl/>
                    <w:jc w:val="center"/>
                    <w:rPr>
                      <w:color w:val="000000"/>
                      <w:kern w:val="0"/>
                      <w:sz w:val="20"/>
                    </w:rPr>
                  </w:pPr>
                  <w:r>
                    <w:rPr>
                      <w:color w:val="000000"/>
                      <w:kern w:val="0"/>
                      <w:sz w:val="20"/>
                    </w:rPr>
                    <w:t>定电位电解法 HJ 57-2017</w:t>
                  </w:r>
                </w:p>
              </w:tc>
              <w:tc>
                <w:tcPr>
                  <w:tcW w:w="1705"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kern w:val="0"/>
                      <w:sz w:val="20"/>
                    </w:rPr>
                  </w:pPr>
                  <w:r>
                    <w:rPr>
                      <w:color w:val="000000"/>
                      <w:sz w:val="20"/>
                    </w:rPr>
                    <w:t>3mg/m</w:t>
                  </w:r>
                  <w:r>
                    <w:rPr>
                      <w:color w:val="000000"/>
                      <w:sz w:val="20"/>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13" w:type="dxa"/>
                  <w:vMerge w:val="continue"/>
                  <w:tcBorders>
                    <w:left w:val="single" w:color="auto" w:sz="4" w:space="0"/>
                    <w:right w:val="single" w:color="auto" w:sz="4" w:space="0"/>
                  </w:tcBorders>
                  <w:noWrap/>
                  <w:vAlign w:val="center"/>
                </w:tcPr>
                <w:p>
                  <w:pPr>
                    <w:jc w:val="center"/>
                    <w:rPr>
                      <w:rFonts w:ascii="宋体" w:cs="宋体"/>
                      <w:sz w:val="20"/>
                      <w:szCs w:val="21"/>
                    </w:rPr>
                  </w:pPr>
                </w:p>
              </w:tc>
              <w:tc>
                <w:tcPr>
                  <w:tcW w:w="2268"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kern w:val="0"/>
                      <w:sz w:val="20"/>
                    </w:rPr>
                  </w:pPr>
                  <w:r>
                    <w:rPr>
                      <w:color w:val="000000"/>
                      <w:kern w:val="0"/>
                      <w:sz w:val="20"/>
                    </w:rPr>
                    <w:t>烟气黑度</w:t>
                  </w:r>
                </w:p>
              </w:tc>
              <w:tc>
                <w:tcPr>
                  <w:tcW w:w="4111" w:type="dxa"/>
                  <w:tcBorders>
                    <w:top w:val="single" w:color="auto" w:sz="4" w:space="0"/>
                    <w:left w:val="single" w:color="auto" w:sz="4" w:space="0"/>
                    <w:bottom w:val="single" w:color="auto" w:sz="4" w:space="0"/>
                    <w:right w:val="single" w:color="auto" w:sz="4" w:space="0"/>
                  </w:tcBorders>
                  <w:noWrap/>
                  <w:vAlign w:val="center"/>
                </w:tcPr>
                <w:p>
                  <w:pPr>
                    <w:widowControl/>
                    <w:jc w:val="center"/>
                    <w:rPr>
                      <w:rFonts w:hint="eastAsia" w:eastAsiaTheme="minorEastAsia"/>
                      <w:color w:val="000000"/>
                      <w:kern w:val="0"/>
                      <w:sz w:val="20"/>
                      <w:lang w:eastAsia="zh-CN"/>
                    </w:rPr>
                  </w:pPr>
                  <w:r>
                    <w:rPr>
                      <w:color w:val="000000"/>
                      <w:kern w:val="0"/>
                      <w:sz w:val="20"/>
                    </w:rPr>
                    <w:t>固定污染源排放 烟气黑度的测定</w:t>
                  </w:r>
                </w:p>
                <w:p>
                  <w:pPr>
                    <w:widowControl/>
                    <w:jc w:val="center"/>
                    <w:rPr>
                      <w:color w:val="000000"/>
                      <w:kern w:val="0"/>
                      <w:sz w:val="20"/>
                    </w:rPr>
                  </w:pPr>
                  <w:r>
                    <w:rPr>
                      <w:color w:val="000000"/>
                      <w:kern w:val="0"/>
                      <w:sz w:val="20"/>
                    </w:rPr>
                    <w:t>林格曼烟气黑度图法 HJ/T 398-2007</w:t>
                  </w:r>
                </w:p>
              </w:tc>
              <w:tc>
                <w:tcPr>
                  <w:tcW w:w="1705"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kern w:val="0"/>
                      <w:sz w:val="20"/>
                    </w:rPr>
                  </w:pPr>
                  <w:r>
                    <w:rPr>
                      <w:color w:val="000000"/>
                      <w:kern w:val="0"/>
                      <w:sz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13" w:type="dxa"/>
                  <w:tcBorders>
                    <w:left w:val="single" w:color="auto" w:sz="4" w:space="0"/>
                    <w:right w:val="single" w:color="auto" w:sz="4" w:space="0"/>
                  </w:tcBorders>
                  <w:noWrap/>
                  <w:vAlign w:val="center"/>
                </w:tcPr>
                <w:p>
                  <w:pPr>
                    <w:jc w:val="center"/>
                    <w:rPr>
                      <w:rFonts w:ascii="宋体" w:cs="宋体"/>
                      <w:sz w:val="20"/>
                      <w:szCs w:val="21"/>
                    </w:rPr>
                  </w:pPr>
                  <w:r>
                    <w:rPr>
                      <w:rFonts w:hint="eastAsia" w:ascii="宋体" w:cs="宋体"/>
                      <w:sz w:val="20"/>
                      <w:szCs w:val="21"/>
                    </w:rPr>
                    <w:t>噪声</w:t>
                  </w:r>
                </w:p>
              </w:tc>
              <w:tc>
                <w:tcPr>
                  <w:tcW w:w="2268"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kern w:val="0"/>
                      <w:sz w:val="20"/>
                    </w:rPr>
                  </w:pPr>
                  <w:r>
                    <w:rPr>
                      <w:color w:val="000000"/>
                      <w:kern w:val="0"/>
                      <w:sz w:val="20"/>
                    </w:rPr>
                    <w:t>厂界噪声</w:t>
                  </w:r>
                </w:p>
              </w:tc>
              <w:tc>
                <w:tcPr>
                  <w:tcW w:w="4111"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kern w:val="0"/>
                      <w:sz w:val="20"/>
                    </w:rPr>
                  </w:pPr>
                  <w:r>
                    <w:rPr>
                      <w:color w:val="000000"/>
                      <w:kern w:val="0"/>
                      <w:sz w:val="20"/>
                    </w:rPr>
                    <w:t>工业企业厂界环境噪声排放标准</w:t>
                  </w:r>
                </w:p>
                <w:p>
                  <w:pPr>
                    <w:widowControl/>
                    <w:jc w:val="center"/>
                    <w:rPr>
                      <w:color w:val="000000"/>
                      <w:kern w:val="0"/>
                      <w:sz w:val="20"/>
                    </w:rPr>
                  </w:pPr>
                  <w:r>
                    <w:rPr>
                      <w:color w:val="000000"/>
                      <w:kern w:val="0"/>
                      <w:sz w:val="20"/>
                    </w:rPr>
                    <w:t>GB 12348-2008</w:t>
                  </w:r>
                </w:p>
              </w:tc>
              <w:tc>
                <w:tcPr>
                  <w:tcW w:w="1705"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kern w:val="0"/>
                      <w:sz w:val="20"/>
                    </w:rPr>
                  </w:pPr>
                  <w:r>
                    <w:rPr>
                      <w:color w:val="000000"/>
                      <w:kern w:val="0"/>
                      <w:sz w:val="20"/>
                    </w:rPr>
                    <w:t>/</w:t>
                  </w:r>
                </w:p>
              </w:tc>
            </w:tr>
          </w:tbl>
          <w:p>
            <w:pPr>
              <w:spacing w:line="360" w:lineRule="auto"/>
              <w:jc w:val="left"/>
              <w:rPr>
                <w:rFonts w:hint="default" w:ascii="Times New Roman" w:hAnsi="Times New Roman" w:cs="Times New Roman"/>
                <w:b/>
                <w:sz w:val="24"/>
              </w:rPr>
            </w:pPr>
          </w:p>
          <w:p>
            <w:pPr>
              <w:spacing w:line="360" w:lineRule="auto"/>
              <w:jc w:val="left"/>
              <w:rPr>
                <w:rFonts w:hint="default" w:ascii="Times New Roman" w:hAnsi="Times New Roman" w:cs="Times New Roman"/>
                <w:b/>
                <w:sz w:val="24"/>
              </w:rPr>
            </w:pPr>
          </w:p>
          <w:p>
            <w:pPr>
              <w:spacing w:line="360" w:lineRule="auto"/>
              <w:jc w:val="left"/>
              <w:rPr>
                <w:rFonts w:hint="default" w:ascii="Times New Roman" w:hAnsi="Times New Roman" w:cs="Times New Roman"/>
                <w:b/>
                <w:sz w:val="24"/>
              </w:rPr>
            </w:pPr>
          </w:p>
          <w:p>
            <w:pPr>
              <w:spacing w:line="360" w:lineRule="auto"/>
              <w:jc w:val="left"/>
              <w:rPr>
                <w:rFonts w:hint="default" w:ascii="Times New Roman" w:hAnsi="Times New Roman" w:cs="Times New Roman"/>
                <w:b/>
                <w:sz w:val="24"/>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eastAsiaTheme="minorEastAsia"/>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default" w:ascii="Times New Roman" w:hAnsi="Times New Roman" w:cs="Times New Roman"/>
                <w:b/>
                <w:sz w:val="24"/>
                <w:lang w:eastAsia="zh-CN"/>
              </w:rPr>
            </w:pPr>
          </w:p>
          <w:p>
            <w:pPr>
              <w:spacing w:line="360" w:lineRule="auto"/>
              <w:jc w:val="left"/>
              <w:rPr>
                <w:rFonts w:hint="eastAsia" w:cs="Times New Roman"/>
                <w:b/>
                <w:sz w:val="24"/>
                <w:lang w:eastAsia="zh-CN"/>
              </w:rPr>
            </w:pPr>
          </w:p>
          <w:p>
            <w:pPr>
              <w:spacing w:line="360" w:lineRule="auto"/>
              <w:jc w:val="left"/>
              <w:rPr>
                <w:rFonts w:hint="eastAsia" w:cs="Times New Roman"/>
                <w:b/>
                <w:sz w:val="24"/>
                <w:lang w:eastAsia="zh-CN"/>
              </w:rPr>
            </w:pPr>
          </w:p>
          <w:p>
            <w:pPr>
              <w:spacing w:line="360" w:lineRule="auto"/>
              <w:jc w:val="left"/>
              <w:rPr>
                <w:rFonts w:hint="eastAsia" w:cs="Times New Roman"/>
                <w:b/>
                <w:sz w:val="24"/>
                <w:lang w:eastAsia="zh-CN"/>
              </w:rPr>
            </w:pPr>
          </w:p>
          <w:p>
            <w:pPr>
              <w:spacing w:line="360" w:lineRule="auto"/>
              <w:jc w:val="left"/>
              <w:rPr>
                <w:rFonts w:hint="eastAsia" w:cs="Times New Roman"/>
                <w:b/>
                <w:sz w:val="24"/>
                <w:lang w:eastAsia="zh-CN"/>
              </w:rPr>
            </w:pPr>
          </w:p>
          <w:p>
            <w:pPr>
              <w:spacing w:line="360" w:lineRule="auto"/>
              <w:jc w:val="left"/>
              <w:rPr>
                <w:rFonts w:hint="eastAsia" w:cs="Times New Roman"/>
                <w:b/>
                <w:sz w:val="24"/>
                <w:lang w:eastAsia="zh-CN"/>
              </w:rPr>
            </w:pPr>
          </w:p>
          <w:p>
            <w:pPr>
              <w:spacing w:line="360" w:lineRule="auto"/>
              <w:jc w:val="left"/>
              <w:rPr>
                <w:rFonts w:hint="eastAsia" w:cs="Times New Roman"/>
                <w:b/>
                <w:sz w:val="24"/>
                <w:lang w:eastAsia="zh-CN"/>
              </w:rPr>
            </w:pPr>
          </w:p>
          <w:p>
            <w:pPr>
              <w:spacing w:line="360" w:lineRule="auto"/>
              <w:jc w:val="left"/>
              <w:rPr>
                <w:rFonts w:hint="default" w:ascii="Times New Roman" w:hAnsi="Times New Roman" w:cs="Times New Roman" w:eastAsiaTheme="minorEastAsia"/>
                <w:b/>
                <w:sz w:val="24"/>
                <w:lang w:eastAsia="zh-CN"/>
              </w:rPr>
            </w:pPr>
          </w:p>
        </w:tc>
      </w:tr>
    </w:tbl>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表六 验收监测内容</w:t>
      </w:r>
    </w:p>
    <w:tbl>
      <w:tblPr>
        <w:tblStyle w:val="17"/>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142" w:hRule="atLeast"/>
        </w:trPr>
        <w:tc>
          <w:tcPr>
            <w:tcW w:w="9288" w:type="dxa"/>
          </w:tcPr>
          <w:p>
            <w:pPr>
              <w:spacing w:line="360" w:lineRule="auto"/>
              <w:jc w:val="center"/>
              <w:rPr>
                <w:rFonts w:hint="default" w:ascii="Times New Roman" w:hAnsi="Times New Roman" w:cs="Times New Roman" w:eastAsiaTheme="minorEastAsia"/>
                <w:b/>
                <w:bCs/>
                <w:sz w:val="24"/>
                <w:vertAlign w:val="baseline"/>
                <w:lang w:val="en-US" w:eastAsia="zh-CN"/>
              </w:rPr>
            </w:pPr>
            <w:r>
              <w:rPr>
                <w:rFonts w:hint="default" w:ascii="Times New Roman" w:hAnsi="Times New Roman" w:cs="Times New Roman"/>
                <w:b/>
                <w:bCs/>
                <w:sz w:val="24"/>
                <w:lang w:eastAsia="zh-CN"/>
              </w:rPr>
              <w:t>表</w:t>
            </w:r>
            <w:r>
              <w:rPr>
                <w:rFonts w:hint="default" w:ascii="Times New Roman" w:hAnsi="Times New Roman" w:cs="Times New Roman"/>
                <w:b/>
                <w:bCs/>
                <w:sz w:val="24"/>
                <w:lang w:val="en-US" w:eastAsia="zh-CN"/>
              </w:rPr>
              <w:t>6.1有组织废气排放监测内容</w:t>
            </w:r>
          </w:p>
          <w:tbl>
            <w:tblPr>
              <w:tblStyle w:val="18"/>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89"/>
              <w:gridCol w:w="1461"/>
              <w:gridCol w:w="1345"/>
              <w:gridCol w:w="3866"/>
              <w:gridCol w:w="11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5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sz w:val="21"/>
                      <w:szCs w:val="21"/>
                      <w:vertAlign w:val="baseline"/>
                      <w:lang w:eastAsia="zh-CN"/>
                    </w:rPr>
                  </w:pPr>
                  <w:r>
                    <w:rPr>
                      <w:rFonts w:hint="default" w:ascii="Times New Roman" w:hAnsi="Times New Roman" w:eastAsia="宋体" w:cs="Times New Roman"/>
                      <w:b w:val="0"/>
                      <w:bCs w:val="0"/>
                      <w:sz w:val="21"/>
                      <w:szCs w:val="21"/>
                      <w:vertAlign w:val="baseline"/>
                      <w:lang w:eastAsia="zh-CN"/>
                    </w:rPr>
                    <w:t>废气产生位置</w:t>
                  </w:r>
                </w:p>
              </w:tc>
              <w:tc>
                <w:tcPr>
                  <w:tcW w:w="80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sz w:val="21"/>
                      <w:szCs w:val="21"/>
                      <w:vertAlign w:val="baseline"/>
                      <w:lang w:eastAsia="zh-CN"/>
                    </w:rPr>
                  </w:pPr>
                  <w:r>
                    <w:rPr>
                      <w:rFonts w:hint="default" w:ascii="Times New Roman" w:hAnsi="Times New Roman" w:eastAsia="宋体" w:cs="Times New Roman"/>
                      <w:b w:val="0"/>
                      <w:bCs w:val="0"/>
                      <w:sz w:val="21"/>
                      <w:szCs w:val="21"/>
                      <w:vertAlign w:val="baseline"/>
                      <w:lang w:eastAsia="zh-CN"/>
                    </w:rPr>
                    <w:t>监测点位</w:t>
                  </w:r>
                </w:p>
              </w:tc>
              <w:tc>
                <w:tcPr>
                  <w:tcW w:w="742"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sz w:val="21"/>
                      <w:szCs w:val="21"/>
                      <w:vertAlign w:val="baseline"/>
                      <w:lang w:eastAsia="zh-CN"/>
                    </w:rPr>
                  </w:pPr>
                  <w:r>
                    <w:rPr>
                      <w:rFonts w:hint="default" w:ascii="Times New Roman" w:hAnsi="Times New Roman" w:eastAsia="宋体" w:cs="Times New Roman"/>
                      <w:b w:val="0"/>
                      <w:bCs w:val="0"/>
                      <w:sz w:val="21"/>
                      <w:szCs w:val="21"/>
                      <w:vertAlign w:val="baseline"/>
                      <w:lang w:eastAsia="zh-CN"/>
                    </w:rPr>
                    <w:t>监测项目</w:t>
                  </w:r>
                </w:p>
              </w:tc>
              <w:tc>
                <w:tcPr>
                  <w:tcW w:w="2133"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sz w:val="21"/>
                      <w:szCs w:val="21"/>
                      <w:vertAlign w:val="baseline"/>
                      <w:lang w:eastAsia="zh-CN"/>
                    </w:rPr>
                  </w:pPr>
                  <w:r>
                    <w:rPr>
                      <w:rFonts w:hint="default" w:ascii="Times New Roman" w:hAnsi="Times New Roman" w:eastAsia="宋体" w:cs="Times New Roman"/>
                      <w:b w:val="0"/>
                      <w:bCs w:val="0"/>
                      <w:sz w:val="21"/>
                      <w:szCs w:val="21"/>
                      <w:vertAlign w:val="baseline"/>
                      <w:lang w:eastAsia="zh-CN"/>
                    </w:rPr>
                    <w:t>排放标准</w:t>
                  </w:r>
                </w:p>
              </w:tc>
              <w:tc>
                <w:tcPr>
                  <w:tcW w:w="660"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eastAsia="宋体" w:cs="Times New Roman"/>
                      <w:b w:val="0"/>
                      <w:bCs w:val="0"/>
                      <w:sz w:val="21"/>
                      <w:szCs w:val="21"/>
                      <w:vertAlign w:val="baseline"/>
                      <w:lang w:eastAsia="zh-CN"/>
                    </w:rPr>
                    <w:t>监测频次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17" w:hRule="atLeast"/>
              </w:trPr>
              <w:tc>
                <w:tcPr>
                  <w:tcW w:w="65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DA001</w:t>
                  </w:r>
                </w:p>
              </w:tc>
              <w:tc>
                <w:tcPr>
                  <w:tcW w:w="80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sz w:val="21"/>
                      <w:szCs w:val="21"/>
                      <w:vertAlign w:val="baseline"/>
                      <w:lang w:eastAsia="zh-CN"/>
                    </w:rPr>
                  </w:pPr>
                  <w:r>
                    <w:rPr>
                      <w:rFonts w:hint="default" w:ascii="Times New Roman" w:hAnsi="Times New Roman" w:cs="Times New Roman"/>
                      <w:b w:val="0"/>
                      <w:bCs w:val="0"/>
                      <w:sz w:val="21"/>
                      <w:szCs w:val="21"/>
                      <w:vertAlign w:val="baseline"/>
                      <w:lang w:eastAsia="zh-CN"/>
                    </w:rPr>
                    <w:t>抛丸粉尘处理设施废气进、</w:t>
                  </w:r>
                  <w:r>
                    <w:rPr>
                      <w:rFonts w:hint="default" w:ascii="Times New Roman" w:hAnsi="Times New Roman" w:eastAsia="宋体" w:cs="Times New Roman"/>
                      <w:b w:val="0"/>
                      <w:bCs w:val="0"/>
                      <w:sz w:val="21"/>
                      <w:szCs w:val="21"/>
                      <w:vertAlign w:val="baseline"/>
                      <w:lang w:eastAsia="zh-CN"/>
                    </w:rPr>
                    <w:t>出口</w:t>
                  </w:r>
                </w:p>
              </w:tc>
              <w:tc>
                <w:tcPr>
                  <w:tcW w:w="742"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sz w:val="21"/>
                      <w:szCs w:val="21"/>
                      <w:vertAlign w:val="baseline"/>
                      <w:lang w:eastAsia="zh-CN"/>
                    </w:rPr>
                  </w:pPr>
                  <w:r>
                    <w:rPr>
                      <w:rFonts w:hint="default" w:ascii="Times New Roman" w:hAnsi="Times New Roman" w:eastAsia="宋体" w:cs="Times New Roman"/>
                      <w:b w:val="0"/>
                      <w:bCs w:val="0"/>
                      <w:sz w:val="21"/>
                      <w:szCs w:val="21"/>
                      <w:vertAlign w:val="baseline"/>
                      <w:lang w:eastAsia="zh-CN"/>
                    </w:rPr>
                    <w:t>颗粒物</w:t>
                  </w:r>
                </w:p>
              </w:tc>
              <w:tc>
                <w:tcPr>
                  <w:tcW w:w="2133"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sz w:val="21"/>
                      <w:szCs w:val="21"/>
                      <w:vertAlign w:val="baseline"/>
                      <w:lang w:eastAsia="zh-CN"/>
                    </w:rPr>
                  </w:pPr>
                  <w:r>
                    <w:rPr>
                      <w:rFonts w:hint="default" w:ascii="Times New Roman" w:hAnsi="Times New Roman" w:eastAsia="宋体" w:cs="Times New Roman"/>
                      <w:b w:val="0"/>
                      <w:bCs w:val="0"/>
                      <w:sz w:val="21"/>
                      <w:szCs w:val="21"/>
                      <w:vertAlign w:val="baseline"/>
                      <w:lang w:eastAsia="zh-CN"/>
                    </w:rPr>
                    <w:t>《大气污染物综合排放标准》（上海市DB31/933-2015）中大气污染物监控点浓度限值</w:t>
                  </w:r>
                </w:p>
              </w:tc>
              <w:tc>
                <w:tcPr>
                  <w:tcW w:w="660" w:type="pct"/>
                  <w:vAlign w:val="center"/>
                </w:tcPr>
                <w:p>
                  <w:pPr>
                    <w:pStyle w:val="2"/>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default" w:ascii="Times New Roman" w:hAnsi="Times New Roman" w:eastAsia="宋体" w:cs="Times New Roman"/>
                      <w:b w:val="0"/>
                      <w:bCs w:val="0"/>
                      <w:kern w:val="2"/>
                      <w:sz w:val="21"/>
                      <w:szCs w:val="21"/>
                      <w:vertAlign w:val="baseline"/>
                      <w:lang w:val="en-US" w:eastAsia="zh-CN" w:bidi="ar-SA"/>
                    </w:rPr>
                  </w:pPr>
                  <w:r>
                    <w:rPr>
                      <w:rFonts w:hint="default" w:ascii="Times New Roman" w:hAnsi="Times New Roman" w:eastAsia="宋体" w:cs="Times New Roman"/>
                      <w:sz w:val="21"/>
                      <w:szCs w:val="21"/>
                    </w:rPr>
                    <w:t>连续监测2天，每天监测3次，共6次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52" w:hRule="atLeast"/>
              </w:trPr>
              <w:tc>
                <w:tcPr>
                  <w:tcW w:w="65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DA002</w:t>
                  </w:r>
                </w:p>
              </w:tc>
              <w:tc>
                <w:tcPr>
                  <w:tcW w:w="80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val="0"/>
                      <w:sz w:val="21"/>
                      <w:szCs w:val="21"/>
                      <w:vertAlign w:val="baseline"/>
                      <w:lang w:eastAsia="zh-CN"/>
                    </w:rPr>
                  </w:pPr>
                  <w:r>
                    <w:rPr>
                      <w:rFonts w:hint="default" w:ascii="Times New Roman" w:hAnsi="Times New Roman" w:cs="Times New Roman"/>
                      <w:b w:val="0"/>
                      <w:bCs w:val="0"/>
                      <w:sz w:val="21"/>
                      <w:szCs w:val="21"/>
                      <w:vertAlign w:val="baseline"/>
                      <w:lang w:eastAsia="zh-CN"/>
                    </w:rPr>
                    <w:t>喷塑粉尘处理设施废气进、出口</w:t>
                  </w:r>
                </w:p>
              </w:tc>
              <w:tc>
                <w:tcPr>
                  <w:tcW w:w="742"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sz w:val="21"/>
                      <w:szCs w:val="21"/>
                      <w:vertAlign w:val="baseline"/>
                      <w:lang w:eastAsia="zh-CN"/>
                    </w:rPr>
                  </w:pPr>
                  <w:r>
                    <w:rPr>
                      <w:rFonts w:hint="default" w:ascii="Times New Roman" w:hAnsi="Times New Roman" w:cs="Times New Roman"/>
                      <w:b w:val="0"/>
                      <w:bCs w:val="0"/>
                      <w:sz w:val="21"/>
                      <w:szCs w:val="21"/>
                      <w:vertAlign w:val="baseline"/>
                      <w:lang w:eastAsia="zh-CN"/>
                    </w:rPr>
                    <w:t>颗粒物</w:t>
                  </w:r>
                </w:p>
              </w:tc>
              <w:tc>
                <w:tcPr>
                  <w:tcW w:w="2133"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sz w:val="21"/>
                      <w:szCs w:val="21"/>
                      <w:vertAlign w:val="baseline"/>
                      <w:lang w:eastAsia="zh-CN"/>
                    </w:rPr>
                  </w:pPr>
                  <w:r>
                    <w:rPr>
                      <w:rFonts w:hint="default" w:ascii="Times New Roman" w:hAnsi="Times New Roman" w:eastAsia="宋体" w:cs="Times New Roman"/>
                      <w:b w:val="0"/>
                      <w:bCs w:val="0"/>
                      <w:sz w:val="21"/>
                      <w:szCs w:val="21"/>
                      <w:vertAlign w:val="baseline"/>
                      <w:lang w:eastAsia="zh-CN"/>
                    </w:rPr>
                    <w:t>《大气污染物综合排放标准》（上海市DB31/933-2015）中大气污染物监控点浓度限值</w:t>
                  </w:r>
                </w:p>
              </w:tc>
              <w:tc>
                <w:tcPr>
                  <w:tcW w:w="660" w:type="pct"/>
                  <w:vAlign w:val="center"/>
                </w:tcPr>
                <w:p>
                  <w:pPr>
                    <w:pStyle w:val="2"/>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连续监测2天，每天监测3次，共6次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0" w:hRule="atLeast"/>
              </w:trPr>
              <w:tc>
                <w:tcPr>
                  <w:tcW w:w="65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DA003</w:t>
                  </w:r>
                </w:p>
              </w:tc>
              <w:tc>
                <w:tcPr>
                  <w:tcW w:w="80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val="0"/>
                      <w:sz w:val="21"/>
                      <w:szCs w:val="21"/>
                      <w:vertAlign w:val="baseline"/>
                      <w:lang w:eastAsia="zh-CN"/>
                    </w:rPr>
                  </w:pPr>
                  <w:r>
                    <w:rPr>
                      <w:rFonts w:hint="default" w:ascii="Times New Roman" w:hAnsi="Times New Roman" w:cs="Times New Roman"/>
                      <w:b w:val="0"/>
                      <w:bCs w:val="0"/>
                      <w:sz w:val="21"/>
                      <w:szCs w:val="21"/>
                      <w:vertAlign w:val="baseline"/>
                      <w:lang w:eastAsia="zh-CN"/>
                    </w:rPr>
                    <w:t>固化废气处理设施废气进、出口</w:t>
                  </w:r>
                </w:p>
              </w:tc>
              <w:tc>
                <w:tcPr>
                  <w:tcW w:w="742"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sz w:val="21"/>
                      <w:szCs w:val="21"/>
                      <w:vertAlign w:val="baseline"/>
                      <w:lang w:eastAsia="zh-CN"/>
                    </w:rPr>
                  </w:pPr>
                  <w:r>
                    <w:rPr>
                      <w:rFonts w:hint="default" w:ascii="Times New Roman" w:hAnsi="Times New Roman" w:cs="Times New Roman"/>
                      <w:b w:val="0"/>
                      <w:bCs w:val="0"/>
                      <w:sz w:val="21"/>
                      <w:szCs w:val="21"/>
                      <w:vertAlign w:val="baseline"/>
                      <w:lang w:eastAsia="zh-CN"/>
                    </w:rPr>
                    <w:t>非甲烷总烃</w:t>
                  </w:r>
                </w:p>
              </w:tc>
              <w:tc>
                <w:tcPr>
                  <w:tcW w:w="2133"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sz w:val="21"/>
                      <w:szCs w:val="21"/>
                      <w:vertAlign w:val="baseline"/>
                      <w:lang w:eastAsia="zh-CN"/>
                    </w:rPr>
                  </w:pPr>
                  <w:r>
                    <w:rPr>
                      <w:rFonts w:hint="default" w:ascii="Times New Roman" w:hAnsi="Times New Roman" w:eastAsia="宋体" w:cs="Times New Roman"/>
                      <w:b w:val="0"/>
                      <w:bCs w:val="0"/>
                      <w:sz w:val="21"/>
                      <w:szCs w:val="21"/>
                      <w:vertAlign w:val="baseline"/>
                      <w:lang w:eastAsia="zh-CN"/>
                    </w:rPr>
                    <w:t>《大气污染物综合排放标准》（上海市DB31/933-2015）中大气污染物监控点浓度限值</w:t>
                  </w:r>
                </w:p>
              </w:tc>
              <w:tc>
                <w:tcPr>
                  <w:tcW w:w="660" w:type="pct"/>
                  <w:vAlign w:val="center"/>
                </w:tcPr>
                <w:p>
                  <w:pPr>
                    <w:pStyle w:val="2"/>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连续监测2天，每天监测3次，共6次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69" w:hRule="atLeast"/>
              </w:trPr>
              <w:tc>
                <w:tcPr>
                  <w:tcW w:w="65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sz w:val="21"/>
                      <w:szCs w:val="21"/>
                      <w:vertAlign w:val="baseline"/>
                      <w:lang w:val="en-US" w:eastAsia="zh-CN"/>
                    </w:rPr>
                  </w:pPr>
                  <w:r>
                    <w:rPr>
                      <w:rFonts w:hint="default" w:ascii="Times New Roman" w:hAnsi="Times New Roman" w:eastAsia="宋体" w:cs="Times New Roman"/>
                      <w:b w:val="0"/>
                      <w:bCs w:val="0"/>
                      <w:sz w:val="21"/>
                      <w:szCs w:val="21"/>
                      <w:vertAlign w:val="baseline"/>
                      <w:lang w:val="en-US" w:eastAsia="zh-CN"/>
                    </w:rPr>
                    <w:t>DA004</w:t>
                  </w:r>
                </w:p>
              </w:tc>
              <w:tc>
                <w:tcPr>
                  <w:tcW w:w="806"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b w:val="0"/>
                      <w:bCs w:val="0"/>
                      <w:sz w:val="21"/>
                      <w:szCs w:val="21"/>
                      <w:vertAlign w:val="baseline"/>
                      <w:lang w:eastAsia="zh-CN"/>
                    </w:rPr>
                  </w:pPr>
                  <w:r>
                    <w:rPr>
                      <w:rFonts w:hint="default" w:ascii="Times New Roman" w:hAnsi="Times New Roman" w:cs="Times New Roman"/>
                      <w:b w:val="0"/>
                      <w:bCs w:val="0"/>
                      <w:sz w:val="21"/>
                      <w:szCs w:val="21"/>
                      <w:vertAlign w:val="baseline"/>
                      <w:lang w:eastAsia="zh-CN"/>
                    </w:rPr>
                    <w:t>生物质燃烧炉废气处理设施排放口</w:t>
                  </w:r>
                </w:p>
              </w:tc>
              <w:tc>
                <w:tcPr>
                  <w:tcW w:w="742"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sz w:val="21"/>
                      <w:szCs w:val="21"/>
                      <w:vertAlign w:val="baseline"/>
                      <w:lang w:eastAsia="zh-CN"/>
                    </w:rPr>
                  </w:pPr>
                  <w:r>
                    <w:rPr>
                      <w:rFonts w:hint="default" w:ascii="Times New Roman" w:hAnsi="Times New Roman" w:cs="Times New Roman"/>
                      <w:b w:val="0"/>
                      <w:bCs w:val="0"/>
                      <w:sz w:val="21"/>
                      <w:szCs w:val="21"/>
                      <w:vertAlign w:val="baseline"/>
                      <w:lang w:eastAsia="zh-CN"/>
                    </w:rPr>
                    <w:t>颗粒物、二氧化硫、氮氧化物、林格曼黑度</w:t>
                  </w:r>
                </w:p>
              </w:tc>
              <w:tc>
                <w:tcPr>
                  <w:tcW w:w="2133"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eastAsia="宋体" w:cs="Times New Roman"/>
                      <w:b w:val="0"/>
                      <w:bCs w:val="0"/>
                      <w:sz w:val="21"/>
                      <w:szCs w:val="21"/>
                      <w:vertAlign w:val="baseline"/>
                      <w:lang w:eastAsia="zh-CN"/>
                    </w:rPr>
                  </w:pPr>
                  <w:r>
                    <w:rPr>
                      <w:rFonts w:hint="default" w:ascii="Times New Roman" w:hAnsi="Times New Roman" w:cs="Times New Roman"/>
                      <w:szCs w:val="24"/>
                      <w:lang w:val="en-US" w:eastAsia="zh-CN"/>
                    </w:rPr>
                    <w:t>燃气燃烧</w:t>
                  </w:r>
                  <w:r>
                    <w:rPr>
                      <w:rFonts w:hint="default" w:ascii="Times New Roman" w:hAnsi="Times New Roman" w:cs="Times New Roman"/>
                      <w:szCs w:val="24"/>
                      <w:lang w:val="en-US"/>
                    </w:rPr>
                    <w:t>产生的废气执行《</w:t>
                  </w:r>
                  <w:r>
                    <w:rPr>
                      <w:rFonts w:hint="default" w:ascii="Times New Roman" w:hAnsi="Times New Roman" w:cs="Times New Roman"/>
                      <w:szCs w:val="24"/>
                      <w:lang w:val="en-US" w:eastAsia="zh-CN"/>
                    </w:rPr>
                    <w:t>工业炉窑大气污染物排放标准</w:t>
                  </w:r>
                  <w:r>
                    <w:rPr>
                      <w:rFonts w:hint="default" w:ascii="Times New Roman" w:hAnsi="Times New Roman" w:cs="Times New Roman"/>
                      <w:szCs w:val="24"/>
                      <w:lang w:val="en-US"/>
                    </w:rPr>
                    <w:t>》</w:t>
                  </w:r>
                  <w:r>
                    <w:rPr>
                      <w:rFonts w:hint="default" w:ascii="Times New Roman" w:hAnsi="Times New Roman" w:cs="Times New Roman"/>
                      <w:szCs w:val="24"/>
                      <w:lang w:val="en-US" w:eastAsia="zh-CN"/>
                    </w:rPr>
                    <w:t>（DB31/860-2014）表1中排放限值</w:t>
                  </w:r>
                  <w:r>
                    <w:rPr>
                      <w:rFonts w:hint="default" w:ascii="Times New Roman" w:hAnsi="Times New Roman" w:cs="Times New Roman"/>
                      <w:szCs w:val="24"/>
                      <w:lang w:val="en-US"/>
                    </w:rPr>
                    <w:t>要求</w:t>
                  </w:r>
                  <w:r>
                    <w:rPr>
                      <w:rFonts w:hint="default" w:ascii="Times New Roman" w:hAnsi="Times New Roman" w:cs="Times New Roman"/>
                      <w:szCs w:val="24"/>
                      <w:lang w:val="en-US" w:eastAsia="zh-CN"/>
                    </w:rPr>
                    <w:t>，其中氮氧化物执行</w:t>
                  </w:r>
                  <w:r>
                    <w:rPr>
                      <w:rFonts w:hint="default" w:ascii="Times New Roman" w:hAnsi="Times New Roman" w:cs="Times New Roman"/>
                      <w:szCs w:val="24"/>
                      <w:lang w:val="en-US"/>
                    </w:rPr>
                    <w:t>《安徽省2020年大气污染防治重点工作任务》(皖大气办[2020]2号)中排放限值要求</w:t>
                  </w:r>
                </w:p>
              </w:tc>
              <w:tc>
                <w:tcPr>
                  <w:tcW w:w="660" w:type="pct"/>
                  <w:vAlign w:val="center"/>
                </w:tcPr>
                <w:p>
                  <w:pPr>
                    <w:pStyle w:val="2"/>
                    <w:keepNext w:val="0"/>
                    <w:keepLines w:val="0"/>
                    <w:pageBreakBefore w:val="0"/>
                    <w:widowControl w:val="0"/>
                    <w:kinsoku/>
                    <w:wordWrap/>
                    <w:overflowPunct/>
                    <w:topLinePunct w:val="0"/>
                    <w:autoSpaceDE/>
                    <w:autoSpaceDN/>
                    <w:bidi w:val="0"/>
                    <w:adjustRightInd/>
                    <w:snapToGrid/>
                    <w:spacing w:after="0"/>
                    <w:ind w:left="0" w:leftChars="0" w:firstLine="0" w:firstLineChars="0"/>
                    <w:jc w:val="left"/>
                    <w:textAlignment w:val="auto"/>
                    <w:rPr>
                      <w:rFonts w:hint="default" w:ascii="Times New Roman" w:hAnsi="Times New Roman" w:eastAsia="宋体" w:cs="Times New Roman"/>
                      <w:sz w:val="21"/>
                      <w:szCs w:val="21"/>
                    </w:rPr>
                  </w:pPr>
                  <w:r>
                    <w:rPr>
                      <w:rFonts w:hint="default" w:ascii="Times New Roman" w:hAnsi="Times New Roman" w:eastAsia="宋体" w:cs="Times New Roman"/>
                      <w:sz w:val="21"/>
                      <w:szCs w:val="21"/>
                    </w:rPr>
                    <w:t>连续监测2天，每天监测3次，共6次</w:t>
                  </w:r>
                </w:p>
              </w:tc>
            </w:tr>
          </w:tbl>
          <w:p>
            <w:pPr>
              <w:spacing w:line="360" w:lineRule="auto"/>
              <w:jc w:val="center"/>
              <w:rPr>
                <w:rFonts w:hint="default" w:ascii="Times New Roman" w:hAnsi="Times New Roman" w:cs="Times New Roman" w:eastAsiaTheme="minorEastAsia"/>
                <w:b/>
                <w:bCs/>
                <w:sz w:val="24"/>
                <w:lang w:val="en-US" w:eastAsia="zh-CN"/>
              </w:rPr>
            </w:pPr>
            <w:r>
              <w:rPr>
                <w:rFonts w:hint="default" w:ascii="Times New Roman" w:hAnsi="Times New Roman" w:cs="Times New Roman"/>
                <w:b/>
                <w:bCs/>
                <w:sz w:val="24"/>
                <w:lang w:eastAsia="zh-CN"/>
              </w:rPr>
              <w:t>表</w:t>
            </w:r>
            <w:r>
              <w:rPr>
                <w:rFonts w:hint="default" w:ascii="Times New Roman" w:hAnsi="Times New Roman" w:cs="Times New Roman"/>
                <w:b/>
                <w:bCs/>
                <w:sz w:val="24"/>
                <w:lang w:val="en-US" w:eastAsia="zh-CN"/>
              </w:rPr>
              <w:t>6.2无组织废气排放监测内容</w:t>
            </w:r>
          </w:p>
          <w:tbl>
            <w:tblPr>
              <w:tblStyle w:val="18"/>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9"/>
              <w:gridCol w:w="4203"/>
              <w:gridCol w:w="4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60" w:hRule="atLeast"/>
              </w:trPr>
              <w:tc>
                <w:tcPr>
                  <w:tcW w:w="358" w:type="pct"/>
                  <w:vAlign w:val="center"/>
                </w:tcPr>
                <w:p>
                  <w:pPr>
                    <w:spacing w:line="240" w:lineRule="auto"/>
                    <w:jc w:val="center"/>
                    <w:rPr>
                      <w:rFonts w:hint="default" w:ascii="Times New Roman" w:hAnsi="Times New Roman" w:eastAsia="宋体" w:cs="Times New Roman"/>
                      <w:b w:val="0"/>
                      <w:bCs/>
                      <w:sz w:val="21"/>
                      <w:szCs w:val="21"/>
                      <w:vertAlign w:val="baseline"/>
                    </w:rPr>
                  </w:pPr>
                  <w:r>
                    <w:rPr>
                      <w:rFonts w:hint="default" w:ascii="Times New Roman" w:hAnsi="Times New Roman" w:eastAsia="宋体" w:cs="Times New Roman"/>
                      <w:b w:val="0"/>
                      <w:bCs/>
                      <w:sz w:val="21"/>
                      <w:szCs w:val="21"/>
                    </w:rPr>
                    <w:t>监测项目</w:t>
                  </w:r>
                </w:p>
              </w:tc>
              <w:tc>
                <w:tcPr>
                  <w:tcW w:w="2320" w:type="pct"/>
                  <w:vAlign w:val="center"/>
                </w:tcPr>
                <w:p>
                  <w:pPr>
                    <w:spacing w:line="240" w:lineRule="auto"/>
                    <w:jc w:val="center"/>
                    <w:rPr>
                      <w:rFonts w:hint="default" w:ascii="Times New Roman" w:hAnsi="Times New Roman" w:eastAsia="宋体" w:cs="Times New Roman"/>
                      <w:b/>
                      <w:sz w:val="21"/>
                      <w:szCs w:val="21"/>
                      <w:vertAlign w:val="baseline"/>
                    </w:rPr>
                  </w:pPr>
                  <w:r>
                    <w:rPr>
                      <w:rFonts w:hint="default" w:ascii="Times New Roman" w:hAnsi="Times New Roman" w:eastAsia="宋体" w:cs="Times New Roman"/>
                      <w:sz w:val="21"/>
                      <w:szCs w:val="21"/>
                    </w:rPr>
                    <w:t>颗粒物</w:t>
                  </w:r>
                </w:p>
              </w:tc>
              <w:tc>
                <w:tcPr>
                  <w:tcW w:w="2320" w:type="pct"/>
                  <w:vAlign w:val="center"/>
                </w:tcPr>
                <w:p>
                  <w:pPr>
                    <w:spacing w:line="240" w:lineRule="auto"/>
                    <w:jc w:val="center"/>
                    <w:rPr>
                      <w:rFonts w:hint="default" w:ascii="Times New Roman" w:hAnsi="Times New Roman" w:eastAsia="宋体" w:cs="Times New Roman"/>
                      <w:sz w:val="21"/>
                      <w:szCs w:val="21"/>
                      <w:lang w:eastAsia="zh-CN"/>
                    </w:rPr>
                  </w:pPr>
                  <w:r>
                    <w:rPr>
                      <w:rFonts w:hint="default" w:ascii="Times New Roman" w:hAnsi="Times New Roman" w:eastAsia="宋体" w:cs="Times New Roman"/>
                      <w:sz w:val="21"/>
                      <w:szCs w:val="21"/>
                      <w:lang w:eastAsia="zh-CN"/>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58" w:type="pct"/>
                  <w:vAlign w:val="center"/>
                </w:tcPr>
                <w:p>
                  <w:pPr>
                    <w:spacing w:line="240" w:lineRule="auto"/>
                    <w:jc w:val="center"/>
                    <w:rPr>
                      <w:rFonts w:hint="default" w:ascii="Times New Roman" w:hAnsi="Times New Roman" w:eastAsia="宋体" w:cs="Times New Roman"/>
                      <w:b w:val="0"/>
                      <w:bCs/>
                      <w:sz w:val="21"/>
                      <w:szCs w:val="21"/>
                      <w:vertAlign w:val="baseline"/>
                    </w:rPr>
                  </w:pPr>
                  <w:r>
                    <w:rPr>
                      <w:rFonts w:hint="default" w:ascii="Times New Roman" w:hAnsi="Times New Roman" w:eastAsia="宋体" w:cs="Times New Roman"/>
                      <w:b w:val="0"/>
                      <w:bCs/>
                      <w:sz w:val="21"/>
                      <w:szCs w:val="21"/>
                    </w:rPr>
                    <w:t>监测点位</w:t>
                  </w:r>
                </w:p>
              </w:tc>
              <w:tc>
                <w:tcPr>
                  <w:tcW w:w="2320" w:type="pct"/>
                  <w:vAlign w:val="center"/>
                </w:tcPr>
                <w:p>
                  <w:pPr>
                    <w:spacing w:line="240" w:lineRule="auto"/>
                    <w:jc w:val="center"/>
                    <w:rPr>
                      <w:rFonts w:hint="default" w:ascii="Times New Roman" w:hAnsi="Times New Roman" w:eastAsia="宋体" w:cs="Times New Roman"/>
                      <w:b/>
                      <w:sz w:val="21"/>
                      <w:szCs w:val="21"/>
                      <w:vertAlign w:val="baseline"/>
                      <w:lang w:val="en-US" w:eastAsia="zh-CN"/>
                    </w:rPr>
                  </w:pPr>
                  <w:r>
                    <w:rPr>
                      <w:rFonts w:hint="default" w:ascii="Times New Roman" w:hAnsi="Times New Roman" w:eastAsia="宋体" w:cs="Times New Roman"/>
                      <w:sz w:val="21"/>
                      <w:szCs w:val="21"/>
                    </w:rPr>
                    <w:t>在项目厂界上风向设置1个参照点（G0），厂界下风向设置</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个监控点（G1，G2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G3</w:t>
                  </w:r>
                  <w:r>
                    <w:rPr>
                      <w:rFonts w:hint="default" w:ascii="Times New Roman" w:hAnsi="Times New Roman" w:eastAsia="宋体" w:cs="Times New Roman"/>
                      <w:sz w:val="21"/>
                      <w:szCs w:val="21"/>
                    </w:rPr>
                    <w:t>）</w:t>
                  </w:r>
                </w:p>
              </w:tc>
              <w:tc>
                <w:tcPr>
                  <w:tcW w:w="2320" w:type="pct"/>
                  <w:vAlign w:val="center"/>
                </w:tcPr>
                <w:p>
                  <w:pPr>
                    <w:spacing w:line="240" w:lineRule="auto"/>
                    <w:jc w:val="center"/>
                    <w:rPr>
                      <w:rFonts w:hint="default" w:ascii="Times New Roman" w:hAnsi="Times New Roman" w:eastAsia="宋体" w:cs="Times New Roman"/>
                      <w:sz w:val="21"/>
                      <w:szCs w:val="21"/>
                      <w:lang w:val="en-US" w:eastAsia="zh-CN"/>
                    </w:rPr>
                  </w:pPr>
                  <w:r>
                    <w:rPr>
                      <w:rFonts w:hint="default" w:ascii="Times New Roman" w:hAnsi="Times New Roman" w:eastAsia="宋体" w:cs="Times New Roman"/>
                      <w:sz w:val="21"/>
                      <w:szCs w:val="21"/>
                    </w:rPr>
                    <w:t>在项目厂界上风向设置1个参照点（G0），厂界下风向设置</w:t>
                  </w:r>
                  <w:r>
                    <w:rPr>
                      <w:rFonts w:hint="default" w:ascii="Times New Roman" w:hAnsi="Times New Roman" w:eastAsia="宋体" w:cs="Times New Roman"/>
                      <w:sz w:val="21"/>
                      <w:szCs w:val="21"/>
                      <w:lang w:val="en-US" w:eastAsia="zh-CN"/>
                    </w:rPr>
                    <w:t>3</w:t>
                  </w:r>
                  <w:r>
                    <w:rPr>
                      <w:rFonts w:hint="default" w:ascii="Times New Roman" w:hAnsi="Times New Roman" w:eastAsia="宋体" w:cs="Times New Roman"/>
                      <w:sz w:val="21"/>
                      <w:szCs w:val="21"/>
                    </w:rPr>
                    <w:t>个监控点（G1，G2</w:t>
                  </w:r>
                  <w:r>
                    <w:rPr>
                      <w:rFonts w:hint="default" w:ascii="Times New Roman" w:hAnsi="Times New Roman" w:eastAsia="宋体" w:cs="Times New Roman"/>
                      <w:sz w:val="21"/>
                      <w:szCs w:val="21"/>
                      <w:lang w:eastAsia="zh-CN"/>
                    </w:rPr>
                    <w:t>、</w:t>
                  </w:r>
                  <w:r>
                    <w:rPr>
                      <w:rFonts w:hint="default" w:ascii="Times New Roman" w:hAnsi="Times New Roman" w:eastAsia="宋体" w:cs="Times New Roman"/>
                      <w:sz w:val="21"/>
                      <w:szCs w:val="21"/>
                      <w:lang w:val="en-US" w:eastAsia="zh-CN"/>
                    </w:rPr>
                    <w:t>G3</w:t>
                  </w:r>
                  <w:r>
                    <w:rPr>
                      <w:rFonts w:hint="default" w:ascii="Times New Roman" w:hAnsi="Times New Roman" w:eastAsia="宋体" w:cs="Times New Roman"/>
                      <w:sz w:val="21"/>
                      <w:szCs w:val="21"/>
                    </w:rPr>
                    <w:t>）</w:t>
                  </w:r>
                  <w:r>
                    <w:rPr>
                      <w:rFonts w:hint="default" w:ascii="Times New Roman" w:hAnsi="Times New Roman" w:eastAsia="宋体" w:cs="Times New Roman"/>
                      <w:sz w:val="21"/>
                      <w:szCs w:val="21"/>
                      <w:lang w:eastAsia="zh-CN"/>
                    </w:rPr>
                    <w:t>，厂区内设置</w:t>
                  </w:r>
                  <w:r>
                    <w:rPr>
                      <w:rFonts w:hint="default" w:ascii="Times New Roman" w:hAnsi="Times New Roman" w:eastAsia="宋体" w:cs="Times New Roman"/>
                      <w:sz w:val="21"/>
                      <w:szCs w:val="21"/>
                      <w:lang w:val="en-US" w:eastAsia="zh-CN"/>
                    </w:rPr>
                    <w:t>G5监控点（测非甲烷总烃，在厂房门窗或通风口、其他开口（孔）排放口外1m，距离地面1.5m以上位置进行监测）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358" w:type="pct"/>
                  <w:vAlign w:val="center"/>
                </w:tcPr>
                <w:p>
                  <w:pPr>
                    <w:spacing w:line="240" w:lineRule="auto"/>
                    <w:jc w:val="center"/>
                    <w:rPr>
                      <w:rFonts w:hint="default" w:ascii="Times New Roman" w:hAnsi="Times New Roman" w:eastAsia="宋体" w:cs="Times New Roman"/>
                      <w:b w:val="0"/>
                      <w:bCs/>
                      <w:sz w:val="21"/>
                      <w:szCs w:val="21"/>
                      <w:vertAlign w:val="baseline"/>
                    </w:rPr>
                  </w:pPr>
                  <w:r>
                    <w:rPr>
                      <w:rFonts w:hint="default" w:ascii="Times New Roman" w:hAnsi="Times New Roman" w:eastAsia="宋体" w:cs="Times New Roman"/>
                      <w:b w:val="0"/>
                      <w:bCs/>
                      <w:sz w:val="21"/>
                      <w:szCs w:val="21"/>
                    </w:rPr>
                    <w:t>监测频次</w:t>
                  </w:r>
                </w:p>
              </w:tc>
              <w:tc>
                <w:tcPr>
                  <w:tcW w:w="2320" w:type="pct"/>
                  <w:vAlign w:val="center"/>
                </w:tcPr>
                <w:p>
                  <w:pPr>
                    <w:spacing w:line="240" w:lineRule="auto"/>
                    <w:ind w:firstLine="420" w:firstLineChars="200"/>
                    <w:jc w:val="center"/>
                    <w:rPr>
                      <w:rFonts w:hint="default" w:ascii="Times New Roman" w:hAnsi="Times New Roman" w:eastAsia="宋体" w:cs="Times New Roman"/>
                      <w:b/>
                      <w:sz w:val="21"/>
                      <w:szCs w:val="21"/>
                      <w:vertAlign w:val="baseline"/>
                    </w:rPr>
                  </w:pPr>
                  <w:r>
                    <w:rPr>
                      <w:rFonts w:hint="default" w:ascii="Times New Roman" w:hAnsi="Times New Roman" w:cs="Times New Roman"/>
                      <w:bCs/>
                      <w:sz w:val="21"/>
                      <w:szCs w:val="21"/>
                    </w:rPr>
                    <w:t>连续监测2天，每天监测3次</w:t>
                  </w:r>
                </w:p>
              </w:tc>
              <w:tc>
                <w:tcPr>
                  <w:tcW w:w="2320" w:type="pct"/>
                  <w:vAlign w:val="center"/>
                </w:tcPr>
                <w:p>
                  <w:pPr>
                    <w:spacing w:line="240" w:lineRule="auto"/>
                    <w:ind w:firstLine="420" w:firstLineChars="200"/>
                    <w:jc w:val="center"/>
                    <w:rPr>
                      <w:rFonts w:hint="default" w:ascii="Times New Roman" w:hAnsi="Times New Roman" w:cs="Times New Roman"/>
                      <w:bCs/>
                      <w:sz w:val="21"/>
                      <w:szCs w:val="21"/>
                    </w:rPr>
                  </w:pPr>
                  <w:r>
                    <w:rPr>
                      <w:rFonts w:hint="default" w:ascii="Times New Roman" w:hAnsi="Times New Roman" w:cs="Times New Roman"/>
                      <w:bCs/>
                      <w:sz w:val="21"/>
                      <w:szCs w:val="21"/>
                    </w:rPr>
                    <w:t>连续监测2天，每天监测3次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8" w:type="pct"/>
                  <w:vAlign w:val="center"/>
                </w:tcPr>
                <w:p>
                  <w:pPr>
                    <w:spacing w:line="240" w:lineRule="auto"/>
                    <w:jc w:val="center"/>
                    <w:rPr>
                      <w:rFonts w:hint="default" w:ascii="Times New Roman" w:hAnsi="Times New Roman" w:eastAsia="宋体" w:cs="Times New Roman"/>
                      <w:b w:val="0"/>
                      <w:bCs/>
                      <w:sz w:val="21"/>
                      <w:szCs w:val="21"/>
                      <w:vertAlign w:val="baseline"/>
                    </w:rPr>
                  </w:pPr>
                  <w:r>
                    <w:rPr>
                      <w:rFonts w:hint="default" w:ascii="Times New Roman" w:hAnsi="Times New Roman" w:cs="Times New Roman"/>
                      <w:b w:val="0"/>
                      <w:bCs/>
                      <w:sz w:val="21"/>
                      <w:szCs w:val="21"/>
                    </w:rPr>
                    <w:t>排放标准</w:t>
                  </w:r>
                </w:p>
              </w:tc>
              <w:tc>
                <w:tcPr>
                  <w:tcW w:w="4641" w:type="pct"/>
                  <w:gridSpan w:val="2"/>
                  <w:vAlign w:val="center"/>
                </w:tcPr>
                <w:p>
                  <w:pPr>
                    <w:spacing w:line="240" w:lineRule="auto"/>
                    <w:jc w:val="center"/>
                    <w:rPr>
                      <w:rFonts w:hint="default" w:ascii="Times New Roman" w:hAnsi="Times New Roman" w:cs="Times New Roman"/>
                      <w:b w:val="0"/>
                      <w:bCs/>
                      <w:sz w:val="21"/>
                      <w:szCs w:val="21"/>
                    </w:rPr>
                  </w:pPr>
                  <w:r>
                    <w:rPr>
                      <w:rFonts w:hint="default" w:ascii="Times New Roman" w:hAnsi="Times New Roman" w:eastAsia="宋体" w:cs="Times New Roman"/>
                      <w:b w:val="0"/>
                      <w:bCs/>
                      <w:sz w:val="21"/>
                      <w:szCs w:val="21"/>
                      <w:vertAlign w:val="baseline"/>
                      <w:lang w:val="en-US" w:eastAsia="zh-CN"/>
                    </w:rPr>
                    <w:t>颗粒物、</w:t>
                  </w:r>
                  <w:r>
                    <w:rPr>
                      <w:rFonts w:hint="default" w:ascii="Times New Roman" w:hAnsi="Times New Roman" w:eastAsia="宋体" w:cs="Times New Roman"/>
                      <w:b w:val="0"/>
                      <w:bCs/>
                      <w:sz w:val="21"/>
                      <w:szCs w:val="21"/>
                      <w:vertAlign w:val="baseline"/>
                    </w:rPr>
                    <w:t>VOCs</w:t>
                  </w:r>
                  <w:r>
                    <w:rPr>
                      <w:rFonts w:hint="default" w:ascii="Times New Roman" w:hAnsi="Times New Roman" w:eastAsia="宋体" w:cs="Times New Roman"/>
                      <w:b w:val="0"/>
                      <w:bCs/>
                      <w:sz w:val="21"/>
                      <w:szCs w:val="21"/>
                      <w:vertAlign w:val="baseline"/>
                      <w:lang w:eastAsia="zh-CN"/>
                    </w:rPr>
                    <w:t>（非甲烷总烃）</w:t>
                  </w:r>
                  <w:r>
                    <w:rPr>
                      <w:rFonts w:hint="default" w:ascii="Times New Roman" w:hAnsi="Times New Roman" w:eastAsia="宋体" w:cs="Times New Roman"/>
                      <w:b w:val="0"/>
                      <w:bCs/>
                      <w:sz w:val="21"/>
                      <w:szCs w:val="21"/>
                      <w:vertAlign w:val="baseline"/>
                    </w:rPr>
                    <w:t>执行《大气污染物综合排放标准》（上海市DB31/933-2015）中大气污染物监控点浓度限值，厂区内VOCs</w:t>
                  </w:r>
                  <w:r>
                    <w:rPr>
                      <w:rFonts w:hint="default" w:ascii="Times New Roman" w:hAnsi="Times New Roman" w:eastAsia="宋体" w:cs="Times New Roman"/>
                      <w:b w:val="0"/>
                      <w:bCs/>
                      <w:sz w:val="21"/>
                      <w:szCs w:val="21"/>
                      <w:vertAlign w:val="baseline"/>
                      <w:lang w:eastAsia="zh-CN"/>
                    </w:rPr>
                    <w:t>（非甲烷总烃）</w:t>
                  </w:r>
                  <w:r>
                    <w:rPr>
                      <w:rFonts w:hint="default" w:ascii="Times New Roman" w:hAnsi="Times New Roman" w:eastAsia="宋体" w:cs="Times New Roman"/>
                      <w:b w:val="0"/>
                      <w:bCs/>
                      <w:sz w:val="21"/>
                      <w:szCs w:val="21"/>
                      <w:vertAlign w:val="baseline"/>
                    </w:rPr>
                    <w:t>无组织排放执行《挥发性有机物无组织排放控制标准》（GB37822-2019）中相关规定</w:t>
                  </w:r>
                </w:p>
              </w:tc>
            </w:tr>
          </w:tbl>
          <w:p>
            <w:pPr>
              <w:spacing w:after="0" w:line="360" w:lineRule="auto"/>
              <w:jc w:val="center"/>
              <w:rPr>
                <w:rFonts w:hint="default" w:ascii="Times New Roman" w:hAnsi="Times New Roman" w:cs="Times New Roman" w:eastAsiaTheme="minorEastAsia"/>
                <w:b/>
                <w:sz w:val="24"/>
                <w:szCs w:val="24"/>
              </w:rPr>
            </w:pPr>
            <w:r>
              <w:rPr>
                <w:rFonts w:hint="default" w:ascii="Times New Roman" w:hAnsi="Times New Roman" w:cs="Times New Roman" w:eastAsiaTheme="minorEastAsia"/>
                <w:b/>
                <w:sz w:val="24"/>
                <w:szCs w:val="24"/>
              </w:rPr>
              <w:t>表6.</w:t>
            </w:r>
            <w:r>
              <w:rPr>
                <w:rFonts w:hint="default" w:ascii="Times New Roman" w:hAnsi="Times New Roman" w:cs="Times New Roman"/>
                <w:b/>
                <w:sz w:val="24"/>
                <w:szCs w:val="24"/>
                <w:lang w:val="en-US" w:eastAsia="zh-CN"/>
              </w:rPr>
              <w:t>4</w:t>
            </w:r>
            <w:r>
              <w:rPr>
                <w:rFonts w:hint="default" w:ascii="Times New Roman" w:hAnsi="Times New Roman" w:cs="Times New Roman" w:eastAsiaTheme="minorEastAsia"/>
                <w:b/>
                <w:sz w:val="24"/>
                <w:szCs w:val="24"/>
              </w:rPr>
              <w:t xml:space="preserve">  厂界噪声验收监测内容</w:t>
            </w:r>
          </w:p>
          <w:tbl>
            <w:tblPr>
              <w:tblStyle w:val="18"/>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82"/>
              <w:gridCol w:w="62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pct"/>
                  <w:vAlign w:val="center"/>
                </w:tcPr>
                <w:p>
                  <w:pPr>
                    <w:spacing w:after="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监测点位</w:t>
                  </w:r>
                </w:p>
              </w:tc>
              <w:tc>
                <w:tcPr>
                  <w:tcW w:w="3464" w:type="pct"/>
                  <w:vAlign w:val="center"/>
                </w:tcPr>
                <w:p>
                  <w:pPr>
                    <w:spacing w:after="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四至厂界外1m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535" w:type="pct"/>
                  <w:vAlign w:val="center"/>
                </w:tcPr>
                <w:p>
                  <w:pPr>
                    <w:spacing w:after="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监测因子</w:t>
                  </w:r>
                </w:p>
              </w:tc>
              <w:tc>
                <w:tcPr>
                  <w:tcW w:w="3464" w:type="pct"/>
                  <w:vAlign w:val="center"/>
                </w:tcPr>
                <w:p>
                  <w:pPr>
                    <w:spacing w:after="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bCs/>
                      <w:sz w:val="21"/>
                      <w:szCs w:val="21"/>
                    </w:rPr>
                    <w:t>Laeq（A）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pct"/>
                  <w:vAlign w:val="center"/>
                </w:tcPr>
                <w:p>
                  <w:pPr>
                    <w:spacing w:after="0"/>
                    <w:jc w:val="center"/>
                    <w:rPr>
                      <w:rFonts w:hint="default" w:ascii="Times New Roman" w:hAnsi="Times New Roman" w:cs="Times New Roman" w:eastAsiaTheme="minorEastAsia"/>
                      <w:sz w:val="21"/>
                      <w:szCs w:val="21"/>
                    </w:rPr>
                  </w:pPr>
                  <w:r>
                    <w:rPr>
                      <w:rFonts w:hint="default" w:ascii="Times New Roman" w:hAnsi="Times New Roman" w:cs="Times New Roman" w:eastAsiaTheme="minorEastAsia"/>
                      <w:sz w:val="21"/>
                      <w:szCs w:val="21"/>
                    </w:rPr>
                    <w:t>监测频次</w:t>
                  </w:r>
                </w:p>
              </w:tc>
              <w:tc>
                <w:tcPr>
                  <w:tcW w:w="3464" w:type="pct"/>
                  <w:vAlign w:val="center"/>
                </w:tcPr>
                <w:p>
                  <w:pPr>
                    <w:spacing w:after="0"/>
                    <w:jc w:val="center"/>
                    <w:rPr>
                      <w:rFonts w:hint="default" w:ascii="Times New Roman" w:hAnsi="Times New Roman" w:cs="Times New Roman" w:eastAsiaTheme="minorEastAsia"/>
                      <w:bCs/>
                      <w:sz w:val="21"/>
                      <w:szCs w:val="21"/>
                    </w:rPr>
                  </w:pPr>
                  <w:r>
                    <w:rPr>
                      <w:rFonts w:hint="default" w:ascii="Times New Roman" w:hAnsi="Times New Roman" w:cs="Times New Roman" w:eastAsiaTheme="minorEastAsia"/>
                      <w:bCs/>
                      <w:sz w:val="21"/>
                      <w:szCs w:val="21"/>
                    </w:rPr>
                    <w:t>连续监测2天，每天昼间</w:t>
                  </w:r>
                  <w:r>
                    <w:rPr>
                      <w:rFonts w:hint="default" w:ascii="Times New Roman" w:hAnsi="Times New Roman" w:cs="Times New Roman"/>
                      <w:bCs/>
                      <w:sz w:val="21"/>
                      <w:szCs w:val="21"/>
                      <w:lang w:eastAsia="zh-CN"/>
                    </w:rPr>
                    <w:t>、夜间</w:t>
                  </w:r>
                  <w:r>
                    <w:rPr>
                      <w:rFonts w:hint="default" w:ascii="Times New Roman" w:hAnsi="Times New Roman" w:cs="Times New Roman" w:eastAsiaTheme="minorEastAsia"/>
                      <w:bCs/>
                      <w:sz w:val="21"/>
                      <w:szCs w:val="21"/>
                    </w:rPr>
                    <w:t>生产期间</w:t>
                  </w:r>
                  <w:r>
                    <w:rPr>
                      <w:rFonts w:hint="default" w:ascii="Times New Roman" w:hAnsi="Times New Roman" w:cs="Times New Roman"/>
                      <w:bCs/>
                      <w:sz w:val="21"/>
                      <w:szCs w:val="21"/>
                      <w:lang w:eastAsia="zh-CN"/>
                    </w:rPr>
                    <w:t>各</w:t>
                  </w:r>
                  <w:r>
                    <w:rPr>
                      <w:rFonts w:hint="default" w:ascii="Times New Roman" w:hAnsi="Times New Roman" w:cs="Times New Roman" w:eastAsiaTheme="minorEastAsia"/>
                      <w:bCs/>
                      <w:sz w:val="21"/>
                      <w:szCs w:val="21"/>
                    </w:rPr>
                    <w:t>1次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35" w:type="pct"/>
                  <w:vAlign w:val="center"/>
                </w:tcPr>
                <w:p>
                  <w:pPr>
                    <w:spacing w:after="0"/>
                    <w:jc w:val="center"/>
                    <w:rPr>
                      <w:rFonts w:hint="default" w:ascii="Times New Roman" w:hAnsi="Times New Roman" w:cs="Times New Roman" w:eastAsiaTheme="minorEastAsia"/>
                      <w:sz w:val="21"/>
                      <w:szCs w:val="21"/>
                      <w:lang w:eastAsia="zh-CN"/>
                    </w:rPr>
                  </w:pPr>
                  <w:r>
                    <w:rPr>
                      <w:rFonts w:hint="default" w:ascii="Times New Roman" w:hAnsi="Times New Roman" w:cs="Times New Roman"/>
                      <w:sz w:val="21"/>
                      <w:szCs w:val="21"/>
                      <w:lang w:eastAsia="zh-CN"/>
                    </w:rPr>
                    <w:t>排放标准</w:t>
                  </w:r>
                </w:p>
              </w:tc>
              <w:tc>
                <w:tcPr>
                  <w:tcW w:w="3464" w:type="pct"/>
                  <w:vAlign w:val="center"/>
                </w:tcPr>
                <w:p>
                  <w:pPr>
                    <w:spacing w:after="0"/>
                    <w:jc w:val="center"/>
                    <w:rPr>
                      <w:rFonts w:hint="default" w:ascii="Times New Roman" w:hAnsi="Times New Roman" w:cs="Times New Roman" w:eastAsiaTheme="minorEastAsia"/>
                      <w:bCs/>
                      <w:sz w:val="21"/>
                      <w:szCs w:val="21"/>
                    </w:rPr>
                  </w:pPr>
                  <w:r>
                    <w:rPr>
                      <w:rFonts w:hint="default" w:ascii="Times New Roman" w:hAnsi="Times New Roman" w:cs="Times New Roman" w:eastAsiaTheme="minorEastAsia"/>
                      <w:bCs/>
                      <w:sz w:val="21"/>
                      <w:szCs w:val="21"/>
                    </w:rPr>
                    <w:t>《工业企业厂界环境噪声排放标准》（GB12348-2008）中的</w:t>
                  </w:r>
                  <w:r>
                    <w:rPr>
                      <w:rFonts w:hint="default" w:ascii="Times New Roman" w:hAnsi="Times New Roman" w:cs="Times New Roman" w:eastAsiaTheme="minorEastAsia"/>
                      <w:bCs/>
                      <w:sz w:val="21"/>
                      <w:szCs w:val="21"/>
                      <w:lang w:val="en-US" w:eastAsia="zh-CN"/>
                    </w:rPr>
                    <w:t>2</w:t>
                  </w:r>
                  <w:r>
                    <w:rPr>
                      <w:rFonts w:hint="default" w:ascii="Times New Roman" w:hAnsi="Times New Roman" w:cs="Times New Roman" w:eastAsiaTheme="minorEastAsia"/>
                      <w:bCs/>
                      <w:sz w:val="21"/>
                      <w:szCs w:val="21"/>
                    </w:rPr>
                    <w:t>类标准限值</w:t>
                  </w:r>
                </w:p>
              </w:tc>
            </w:tr>
          </w:tbl>
          <w:p>
            <w:pPr>
              <w:pStyle w:val="8"/>
              <w:jc w:val="center"/>
              <w:rPr>
                <w:rStyle w:val="20"/>
                <w:rFonts w:hint="default" w:ascii="Times New Roman" w:hAnsi="Times New Roman" w:cs="Times New Roman"/>
              </w:rPr>
            </w:pPr>
            <w:r>
              <w:rPr>
                <w:rFonts w:hint="default" w:ascii="Times New Roman" w:hAnsi="Times New Roman" w:cs="Times New Roman"/>
              </w:rPr>
              <w:drawing>
                <wp:inline distT="0" distB="0" distL="114300" distR="114300">
                  <wp:extent cx="5753100" cy="39814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6"/>
                          <a:stretch>
                            <a:fillRect/>
                          </a:stretch>
                        </pic:blipFill>
                        <pic:spPr>
                          <a:xfrm>
                            <a:off x="0" y="0"/>
                            <a:ext cx="5753100" cy="3981450"/>
                          </a:xfrm>
                          <a:prstGeom prst="rect">
                            <a:avLst/>
                          </a:prstGeom>
                          <a:noFill/>
                          <a:ln>
                            <a:noFill/>
                          </a:ln>
                        </pic:spPr>
                      </pic:pic>
                    </a:graphicData>
                  </a:graphic>
                </wp:inline>
              </w:drawing>
            </w:r>
          </w:p>
          <w:p>
            <w:pPr>
              <w:spacing w:line="360" w:lineRule="auto"/>
              <w:jc w:val="center"/>
              <w:rPr>
                <w:rFonts w:hint="default" w:ascii="Times New Roman" w:hAnsi="Times New Roman" w:cs="Times New Roman"/>
                <w:b/>
                <w:bCs/>
                <w:sz w:val="24"/>
              </w:rPr>
            </w:pPr>
            <w:r>
              <w:rPr>
                <w:rFonts w:hint="default" w:ascii="Times New Roman" w:hAnsi="Times New Roman" w:cs="Times New Roman"/>
                <w:b/>
                <w:bCs/>
                <w:sz w:val="24"/>
              </w:rPr>
              <w:t>图6.1：项目监测点位示意图</w:t>
            </w:r>
          </w:p>
          <w:p>
            <w:pPr>
              <w:spacing w:line="360" w:lineRule="auto"/>
              <w:jc w:val="center"/>
              <w:rPr>
                <w:rFonts w:hint="default" w:ascii="Times New Roman" w:hAnsi="Times New Roman" w:cs="Times New Roman"/>
                <w:b/>
                <w:bCs/>
                <w:sz w:val="24"/>
              </w:rPr>
            </w:pPr>
          </w:p>
          <w:p>
            <w:pPr>
              <w:spacing w:line="360" w:lineRule="auto"/>
              <w:jc w:val="center"/>
              <w:rPr>
                <w:rFonts w:hint="default" w:ascii="Times New Roman" w:hAnsi="Times New Roman" w:cs="Times New Roman"/>
                <w:b/>
                <w:bCs/>
                <w:sz w:val="24"/>
              </w:rPr>
            </w:pPr>
          </w:p>
          <w:p>
            <w:pPr>
              <w:spacing w:line="360" w:lineRule="auto"/>
              <w:jc w:val="center"/>
              <w:rPr>
                <w:rFonts w:hint="default" w:ascii="Times New Roman" w:hAnsi="Times New Roman" w:cs="Times New Roman"/>
                <w:b/>
                <w:bCs/>
                <w:sz w:val="24"/>
              </w:rPr>
            </w:pPr>
          </w:p>
          <w:p>
            <w:pPr>
              <w:spacing w:line="360" w:lineRule="auto"/>
              <w:jc w:val="center"/>
              <w:rPr>
                <w:rFonts w:hint="default" w:ascii="Times New Roman" w:hAnsi="Times New Roman" w:cs="Times New Roman"/>
                <w:b/>
                <w:bCs/>
                <w:sz w:val="24"/>
              </w:rPr>
            </w:pPr>
          </w:p>
          <w:p>
            <w:pPr>
              <w:spacing w:line="360" w:lineRule="auto"/>
              <w:jc w:val="center"/>
              <w:rPr>
                <w:rFonts w:hint="default" w:ascii="Times New Roman" w:hAnsi="Times New Roman" w:cs="Times New Roman"/>
                <w:b/>
                <w:bCs/>
                <w:sz w:val="24"/>
              </w:rPr>
            </w:pPr>
          </w:p>
          <w:p>
            <w:pPr>
              <w:spacing w:line="360" w:lineRule="auto"/>
              <w:jc w:val="center"/>
              <w:rPr>
                <w:rFonts w:hint="default" w:ascii="Times New Roman" w:hAnsi="Times New Roman" w:cs="Times New Roman"/>
                <w:b/>
                <w:bCs/>
                <w:sz w:val="24"/>
              </w:rPr>
            </w:pPr>
          </w:p>
          <w:p>
            <w:pPr>
              <w:spacing w:line="360" w:lineRule="auto"/>
              <w:jc w:val="center"/>
              <w:rPr>
                <w:rFonts w:hint="default" w:ascii="Times New Roman" w:hAnsi="Times New Roman" w:cs="Times New Roman"/>
                <w:b/>
                <w:bCs/>
                <w:sz w:val="24"/>
              </w:rPr>
            </w:pPr>
          </w:p>
          <w:p>
            <w:pPr>
              <w:spacing w:line="360" w:lineRule="auto"/>
              <w:jc w:val="center"/>
              <w:rPr>
                <w:rFonts w:hint="default" w:ascii="Times New Roman" w:hAnsi="Times New Roman" w:cs="Times New Roman"/>
                <w:b/>
                <w:bCs/>
                <w:sz w:val="24"/>
              </w:rPr>
            </w:pPr>
          </w:p>
          <w:p>
            <w:pPr>
              <w:spacing w:line="360" w:lineRule="auto"/>
              <w:jc w:val="center"/>
              <w:rPr>
                <w:rFonts w:hint="default" w:ascii="Times New Roman" w:hAnsi="Times New Roman" w:cs="Times New Roman"/>
                <w:b/>
                <w:bCs/>
                <w:sz w:val="24"/>
              </w:rPr>
            </w:pPr>
          </w:p>
          <w:p>
            <w:pPr>
              <w:spacing w:line="360" w:lineRule="auto"/>
              <w:jc w:val="center"/>
              <w:rPr>
                <w:rFonts w:hint="default" w:ascii="Times New Roman" w:hAnsi="Times New Roman" w:cs="Times New Roman"/>
                <w:b/>
                <w:bCs/>
                <w:sz w:val="24"/>
              </w:rPr>
            </w:pPr>
          </w:p>
          <w:p>
            <w:pPr>
              <w:spacing w:line="360" w:lineRule="auto"/>
              <w:jc w:val="center"/>
              <w:rPr>
                <w:rFonts w:hint="default" w:ascii="Times New Roman" w:hAnsi="Times New Roman" w:cs="Times New Roman"/>
                <w:b/>
                <w:bCs/>
                <w:sz w:val="24"/>
              </w:rPr>
            </w:pPr>
          </w:p>
          <w:p>
            <w:pPr>
              <w:spacing w:line="360" w:lineRule="auto"/>
              <w:jc w:val="center"/>
              <w:rPr>
                <w:rFonts w:hint="default" w:ascii="Times New Roman" w:hAnsi="Times New Roman" w:cs="Times New Roman"/>
                <w:b/>
                <w:bCs/>
                <w:sz w:val="24"/>
              </w:rPr>
            </w:pPr>
          </w:p>
          <w:p>
            <w:pPr>
              <w:spacing w:line="360" w:lineRule="auto"/>
              <w:jc w:val="center"/>
              <w:rPr>
                <w:rFonts w:hint="default" w:ascii="Times New Roman" w:hAnsi="Times New Roman" w:cs="Times New Roman"/>
                <w:b/>
                <w:bCs/>
                <w:sz w:val="24"/>
              </w:rPr>
            </w:pPr>
          </w:p>
          <w:p>
            <w:pPr>
              <w:spacing w:line="360" w:lineRule="auto"/>
              <w:jc w:val="center"/>
              <w:rPr>
                <w:rFonts w:hint="default" w:ascii="Times New Roman" w:hAnsi="Times New Roman" w:cs="Times New Roman" w:eastAsiaTheme="minorEastAsia"/>
                <w:b/>
                <w:bCs/>
                <w:lang w:eastAsia="zh-CN"/>
              </w:rPr>
            </w:pPr>
          </w:p>
        </w:tc>
      </w:tr>
    </w:tbl>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表七  验收监测期间生产工况记录及验收检测结果</w:t>
      </w:r>
    </w:p>
    <w:tbl>
      <w:tblPr>
        <w:tblStyle w:val="17"/>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49" w:hRule="atLeast"/>
        </w:trPr>
        <w:tc>
          <w:tcPr>
            <w:tcW w:w="9288" w:type="dxa"/>
          </w:tcPr>
          <w:p>
            <w:pPr>
              <w:spacing w:line="360" w:lineRule="auto"/>
              <w:rPr>
                <w:rFonts w:hint="default" w:ascii="Times New Roman" w:hAnsi="Times New Roman" w:cs="Times New Roman"/>
                <w:b/>
                <w:sz w:val="24"/>
              </w:rPr>
            </w:pPr>
            <w:r>
              <w:rPr>
                <w:rFonts w:hint="default" w:ascii="Times New Roman" w:hAnsi="Times New Roman" w:cs="Times New Roman"/>
                <w:b/>
                <w:sz w:val="24"/>
              </w:rPr>
              <w:t>验收监测期间生产工况记录：</w:t>
            </w:r>
          </w:p>
          <w:p>
            <w:pPr>
              <w:pStyle w:val="30"/>
              <w:ind w:firstLine="480" w:firstLineChars="200"/>
              <w:jc w:val="both"/>
              <w:outlineLvl w:val="9"/>
              <w:rPr>
                <w:rFonts w:hint="default" w:ascii="Times New Roman" w:hAnsi="Times New Roman" w:cs="Times New Roman"/>
                <w:bCs/>
                <w:color w:val="000000" w:themeColor="text1"/>
                <w:sz w:val="21"/>
                <w:szCs w:val="21"/>
              </w:rPr>
            </w:pPr>
            <w:bookmarkStart w:id="11" w:name="_Toc510513648"/>
            <w:bookmarkStart w:id="12" w:name="_Toc512519573"/>
            <w:bookmarkStart w:id="13" w:name="_Toc513795213"/>
            <w:bookmarkStart w:id="14" w:name="_Toc508806192"/>
            <w:bookmarkStart w:id="15" w:name="_Toc503769153"/>
            <w:r>
              <w:rPr>
                <w:rFonts w:hint="default" w:ascii="Times New Roman" w:hAnsi="Times New Roman" w:cs="Times New Roman"/>
                <w:bCs/>
                <w:sz w:val="24"/>
              </w:rPr>
              <w:t>项目区在监测</w:t>
            </w:r>
            <w:r>
              <w:rPr>
                <w:rFonts w:hint="default" w:ascii="Times New Roman" w:hAnsi="Times New Roman" w:cs="Times New Roman"/>
                <w:bCs/>
                <w:color w:val="auto"/>
                <w:sz w:val="24"/>
              </w:rPr>
              <w:t>期间正常生产，各环保设施运行正常，通过现场勘察，项目区环保设施均在正常工作</w:t>
            </w:r>
            <w:r>
              <w:rPr>
                <w:rFonts w:hint="default" w:ascii="Times New Roman" w:hAnsi="Times New Roman" w:cs="Times New Roman"/>
                <w:bCs/>
                <w:color w:val="000000" w:themeColor="text1"/>
                <w:sz w:val="24"/>
              </w:rPr>
              <w:t>，未发现任何环保设备无故停止运行，同时，本次验收记录了202</w:t>
            </w:r>
            <w:r>
              <w:rPr>
                <w:rFonts w:hint="default" w:ascii="Times New Roman" w:hAnsi="Times New Roman" w:cs="Times New Roman"/>
                <w:bCs/>
                <w:color w:val="000000" w:themeColor="text1"/>
                <w:sz w:val="24"/>
                <w:lang w:val="en-US" w:eastAsia="zh-CN"/>
              </w:rPr>
              <w:t>2</w:t>
            </w:r>
            <w:r>
              <w:rPr>
                <w:rFonts w:hint="default" w:ascii="Times New Roman" w:hAnsi="Times New Roman" w:cs="Times New Roman"/>
                <w:bCs/>
                <w:color w:val="000000" w:themeColor="text1"/>
                <w:sz w:val="24"/>
              </w:rPr>
              <w:t>年</w:t>
            </w:r>
            <w:r>
              <w:rPr>
                <w:rFonts w:hint="eastAsia" w:cs="Times New Roman"/>
                <w:bCs/>
                <w:color w:val="000000" w:themeColor="text1"/>
                <w:sz w:val="24"/>
                <w:lang w:val="en-US" w:eastAsia="zh-CN"/>
              </w:rPr>
              <w:t>11</w:t>
            </w:r>
            <w:r>
              <w:rPr>
                <w:rFonts w:hint="default" w:ascii="Times New Roman" w:hAnsi="Times New Roman" w:cs="Times New Roman"/>
                <w:bCs/>
                <w:color w:val="000000" w:themeColor="text1"/>
                <w:sz w:val="24"/>
              </w:rPr>
              <w:t>月</w:t>
            </w:r>
            <w:r>
              <w:rPr>
                <w:rFonts w:hint="eastAsia" w:cs="Times New Roman"/>
                <w:bCs/>
                <w:color w:val="000000" w:themeColor="text1"/>
                <w:sz w:val="24"/>
                <w:lang w:val="en-US" w:eastAsia="zh-CN"/>
              </w:rPr>
              <w:t>15</w:t>
            </w:r>
            <w:r>
              <w:rPr>
                <w:rFonts w:hint="default" w:ascii="Times New Roman" w:hAnsi="Times New Roman" w:cs="Times New Roman"/>
                <w:bCs/>
                <w:color w:val="000000" w:themeColor="text1"/>
                <w:sz w:val="24"/>
              </w:rPr>
              <w:t>日、</w:t>
            </w:r>
            <w:r>
              <w:rPr>
                <w:rFonts w:hint="eastAsia" w:cs="Times New Roman"/>
                <w:bCs/>
                <w:color w:val="000000" w:themeColor="text1"/>
                <w:sz w:val="24"/>
                <w:lang w:val="en-US" w:eastAsia="zh-CN"/>
              </w:rPr>
              <w:t>16</w:t>
            </w:r>
            <w:r>
              <w:rPr>
                <w:rFonts w:hint="default" w:ascii="Times New Roman" w:hAnsi="Times New Roman" w:cs="Times New Roman"/>
                <w:bCs/>
                <w:color w:val="000000" w:themeColor="text1"/>
                <w:sz w:val="24"/>
              </w:rPr>
              <w:t>日两天的生产工况。</w:t>
            </w:r>
            <w:bookmarkEnd w:id="11"/>
            <w:bookmarkEnd w:id="12"/>
            <w:bookmarkEnd w:id="13"/>
            <w:bookmarkEnd w:id="14"/>
            <w:bookmarkEnd w:id="15"/>
          </w:p>
          <w:p>
            <w:pPr>
              <w:pStyle w:val="30"/>
              <w:outlineLvl w:val="9"/>
              <w:rPr>
                <w:rFonts w:hint="default" w:ascii="Times New Roman" w:hAnsi="Times New Roman" w:cs="Times New Roman"/>
                <w:b/>
                <w:color w:val="000000" w:themeColor="text1"/>
                <w:sz w:val="24"/>
              </w:rPr>
            </w:pPr>
            <w:bookmarkStart w:id="16" w:name="_Toc510513649"/>
            <w:bookmarkStart w:id="17" w:name="_Toc513795214"/>
            <w:bookmarkStart w:id="18" w:name="_Toc512519574"/>
            <w:r>
              <w:rPr>
                <w:rFonts w:hint="default" w:ascii="Times New Roman" w:hAnsi="Times New Roman" w:cs="Times New Roman"/>
                <w:b/>
                <w:color w:val="000000" w:themeColor="text1"/>
                <w:sz w:val="24"/>
              </w:rPr>
              <w:t>表7.1 项目生产工况表</w:t>
            </w:r>
            <w:bookmarkEnd w:id="16"/>
            <w:bookmarkEnd w:id="17"/>
            <w:bookmarkEnd w:id="18"/>
          </w:p>
          <w:tbl>
            <w:tblPr>
              <w:tblStyle w:val="17"/>
              <w:tblW w:w="90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61"/>
              <w:gridCol w:w="3188"/>
              <w:gridCol w:w="3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4" w:hRule="atLeast"/>
                <w:jc w:val="center"/>
              </w:trPr>
              <w:tc>
                <w:tcPr>
                  <w:tcW w:w="2761" w:type="dxa"/>
                  <w:tcBorders>
                    <w:tl2br w:val="single" w:color="auto" w:sz="4" w:space="0"/>
                  </w:tcBorders>
                  <w:vAlign w:val="center"/>
                </w:tcPr>
                <w:p>
                  <w:pPr>
                    <w:pStyle w:val="30"/>
                    <w:spacing w:line="240" w:lineRule="auto"/>
                    <w:jc w:val="right"/>
                    <w:outlineLvl w:val="9"/>
                    <w:rPr>
                      <w:rFonts w:hint="default" w:ascii="Times New Roman" w:hAnsi="Times New Roman" w:cs="Times New Roman"/>
                      <w:bCs/>
                      <w:color w:val="000000" w:themeColor="text1"/>
                      <w:sz w:val="21"/>
                      <w:szCs w:val="21"/>
                    </w:rPr>
                  </w:pPr>
                  <w:bookmarkStart w:id="19" w:name="_Toc513795215"/>
                  <w:bookmarkStart w:id="20" w:name="_Toc510513650"/>
                  <w:bookmarkStart w:id="21" w:name="_Toc512519575"/>
                  <w:r>
                    <w:rPr>
                      <w:rFonts w:hint="default" w:ascii="Times New Roman" w:hAnsi="Times New Roman" w:cs="Times New Roman"/>
                      <w:bCs/>
                      <w:color w:val="000000" w:themeColor="text1"/>
                      <w:sz w:val="21"/>
                      <w:szCs w:val="21"/>
                    </w:rPr>
                    <w:t>日期</w:t>
                  </w:r>
                  <w:bookmarkEnd w:id="19"/>
                  <w:bookmarkEnd w:id="20"/>
                  <w:bookmarkEnd w:id="21"/>
                </w:p>
                <w:p>
                  <w:pPr>
                    <w:pStyle w:val="30"/>
                    <w:spacing w:line="240" w:lineRule="auto"/>
                    <w:jc w:val="left"/>
                    <w:outlineLvl w:val="9"/>
                    <w:rPr>
                      <w:rFonts w:hint="default" w:ascii="Times New Roman" w:hAnsi="Times New Roman" w:cs="Times New Roman"/>
                      <w:bCs/>
                      <w:color w:val="000000" w:themeColor="text1"/>
                      <w:sz w:val="21"/>
                      <w:szCs w:val="21"/>
                    </w:rPr>
                  </w:pPr>
                  <w:bookmarkStart w:id="22" w:name="_Toc513795216"/>
                  <w:bookmarkStart w:id="23" w:name="_Toc512519576"/>
                  <w:bookmarkStart w:id="24" w:name="_Toc510513651"/>
                  <w:r>
                    <w:rPr>
                      <w:rFonts w:hint="default" w:ascii="Times New Roman" w:hAnsi="Times New Roman" w:cs="Times New Roman"/>
                      <w:bCs/>
                      <w:color w:val="000000" w:themeColor="text1"/>
                      <w:sz w:val="21"/>
                      <w:szCs w:val="21"/>
                    </w:rPr>
                    <w:t>项目</w:t>
                  </w:r>
                  <w:bookmarkEnd w:id="22"/>
                  <w:bookmarkEnd w:id="23"/>
                  <w:bookmarkEnd w:id="24"/>
                </w:p>
              </w:tc>
              <w:tc>
                <w:tcPr>
                  <w:tcW w:w="3188" w:type="dxa"/>
                  <w:vAlign w:val="center"/>
                </w:tcPr>
                <w:p>
                  <w:pPr>
                    <w:pStyle w:val="30"/>
                    <w:spacing w:line="240" w:lineRule="auto"/>
                    <w:outlineLvl w:val="9"/>
                    <w:rPr>
                      <w:rFonts w:hint="default" w:ascii="Times New Roman" w:hAnsi="Times New Roman" w:cs="Times New Roman"/>
                      <w:bCs/>
                      <w:color w:val="000000" w:themeColor="text1"/>
                      <w:sz w:val="21"/>
                      <w:szCs w:val="21"/>
                    </w:rPr>
                  </w:pPr>
                  <w:bookmarkStart w:id="25" w:name="_Toc512519577"/>
                  <w:bookmarkStart w:id="26" w:name="_Toc513795217"/>
                  <w:bookmarkStart w:id="27" w:name="_Toc510513652"/>
                  <w:r>
                    <w:rPr>
                      <w:rFonts w:hint="eastAsia" w:cs="Times New Roman"/>
                      <w:bCs/>
                      <w:color w:val="000000" w:themeColor="text1"/>
                      <w:sz w:val="21"/>
                      <w:szCs w:val="21"/>
                      <w:lang w:val="en-US" w:eastAsia="zh-CN"/>
                    </w:rPr>
                    <w:t>11</w:t>
                  </w:r>
                  <w:r>
                    <w:rPr>
                      <w:rFonts w:hint="default" w:ascii="Times New Roman" w:hAnsi="Times New Roman" w:cs="Times New Roman"/>
                      <w:bCs/>
                      <w:color w:val="000000" w:themeColor="text1"/>
                      <w:sz w:val="21"/>
                      <w:szCs w:val="21"/>
                    </w:rPr>
                    <w:t>月</w:t>
                  </w:r>
                  <w:r>
                    <w:rPr>
                      <w:rFonts w:hint="eastAsia" w:cs="Times New Roman"/>
                      <w:bCs/>
                      <w:color w:val="000000" w:themeColor="text1"/>
                      <w:sz w:val="21"/>
                      <w:szCs w:val="21"/>
                      <w:lang w:val="en-US" w:eastAsia="zh-CN"/>
                    </w:rPr>
                    <w:t>15</w:t>
                  </w:r>
                  <w:r>
                    <w:rPr>
                      <w:rFonts w:hint="default" w:ascii="Times New Roman" w:hAnsi="Times New Roman" w:cs="Times New Roman"/>
                      <w:bCs/>
                      <w:color w:val="000000" w:themeColor="text1"/>
                      <w:sz w:val="21"/>
                      <w:szCs w:val="21"/>
                    </w:rPr>
                    <w:t>日</w:t>
                  </w:r>
                  <w:bookmarkEnd w:id="25"/>
                  <w:bookmarkEnd w:id="26"/>
                  <w:bookmarkEnd w:id="27"/>
                </w:p>
              </w:tc>
              <w:tc>
                <w:tcPr>
                  <w:tcW w:w="3113" w:type="dxa"/>
                  <w:vAlign w:val="center"/>
                </w:tcPr>
                <w:p>
                  <w:pPr>
                    <w:pStyle w:val="30"/>
                    <w:spacing w:line="240" w:lineRule="auto"/>
                    <w:outlineLvl w:val="9"/>
                    <w:rPr>
                      <w:rFonts w:hint="default" w:ascii="Times New Roman" w:hAnsi="Times New Roman" w:cs="Times New Roman"/>
                      <w:bCs/>
                      <w:color w:val="000000" w:themeColor="text1"/>
                      <w:sz w:val="21"/>
                      <w:szCs w:val="21"/>
                    </w:rPr>
                  </w:pPr>
                  <w:bookmarkStart w:id="28" w:name="_Toc510513653"/>
                  <w:bookmarkStart w:id="29" w:name="_Toc512519578"/>
                  <w:bookmarkStart w:id="30" w:name="_Toc513795218"/>
                  <w:r>
                    <w:rPr>
                      <w:rFonts w:hint="eastAsia" w:cs="Times New Roman"/>
                      <w:bCs/>
                      <w:color w:val="000000" w:themeColor="text1"/>
                      <w:sz w:val="21"/>
                      <w:szCs w:val="21"/>
                      <w:lang w:val="en-US" w:eastAsia="zh-CN"/>
                    </w:rPr>
                    <w:t>11</w:t>
                  </w:r>
                  <w:r>
                    <w:rPr>
                      <w:rFonts w:hint="default" w:ascii="Times New Roman" w:hAnsi="Times New Roman" w:cs="Times New Roman"/>
                      <w:bCs/>
                      <w:color w:val="000000" w:themeColor="text1"/>
                      <w:sz w:val="21"/>
                      <w:szCs w:val="21"/>
                    </w:rPr>
                    <w:t>月</w:t>
                  </w:r>
                  <w:r>
                    <w:rPr>
                      <w:rFonts w:hint="eastAsia" w:cs="Times New Roman"/>
                      <w:bCs/>
                      <w:color w:val="000000" w:themeColor="text1"/>
                      <w:sz w:val="21"/>
                      <w:szCs w:val="21"/>
                      <w:lang w:val="en-US" w:eastAsia="zh-CN"/>
                    </w:rPr>
                    <w:t>16</w:t>
                  </w:r>
                  <w:r>
                    <w:rPr>
                      <w:rFonts w:hint="default" w:ascii="Times New Roman" w:hAnsi="Times New Roman" w:cs="Times New Roman"/>
                      <w:bCs/>
                      <w:color w:val="000000" w:themeColor="text1"/>
                      <w:sz w:val="21"/>
                      <w:szCs w:val="21"/>
                    </w:rPr>
                    <w:t>日</w:t>
                  </w:r>
                  <w:bookmarkEnd w:id="28"/>
                  <w:bookmarkEnd w:id="29"/>
                  <w:bookmarkEnd w:id="3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6" w:hRule="atLeast"/>
                <w:jc w:val="center"/>
              </w:trPr>
              <w:tc>
                <w:tcPr>
                  <w:tcW w:w="2761" w:type="dxa"/>
                  <w:vAlign w:val="center"/>
                </w:tcPr>
                <w:p>
                  <w:pPr>
                    <w:pStyle w:val="30"/>
                    <w:spacing w:line="240" w:lineRule="auto"/>
                    <w:outlineLvl w:val="9"/>
                    <w:rPr>
                      <w:rFonts w:hint="default" w:ascii="Times New Roman" w:hAnsi="Times New Roman" w:cs="Times New Roman"/>
                      <w:bCs/>
                      <w:color w:val="auto"/>
                      <w:sz w:val="21"/>
                      <w:szCs w:val="21"/>
                    </w:rPr>
                  </w:pPr>
                  <w:bookmarkStart w:id="31" w:name="_Toc512519579"/>
                  <w:bookmarkStart w:id="32" w:name="_Toc510513654"/>
                  <w:bookmarkStart w:id="33" w:name="_Toc513795219"/>
                  <w:r>
                    <w:rPr>
                      <w:rFonts w:hint="default" w:ascii="Times New Roman" w:hAnsi="Times New Roman" w:cs="Times New Roman"/>
                      <w:bCs/>
                      <w:color w:val="auto"/>
                      <w:sz w:val="21"/>
                      <w:szCs w:val="21"/>
                    </w:rPr>
                    <w:t>环评申报时生产能力</w:t>
                  </w:r>
                  <w:bookmarkEnd w:id="31"/>
                  <w:bookmarkEnd w:id="32"/>
                  <w:bookmarkEnd w:id="33"/>
                </w:p>
                <w:p>
                  <w:pPr>
                    <w:pStyle w:val="30"/>
                    <w:spacing w:line="240" w:lineRule="auto"/>
                    <w:outlineLvl w:val="9"/>
                    <w:rPr>
                      <w:rFonts w:hint="default" w:ascii="Times New Roman" w:hAnsi="Times New Roman" w:cs="Times New Roman"/>
                      <w:bCs/>
                      <w:color w:val="auto"/>
                      <w:sz w:val="21"/>
                      <w:szCs w:val="21"/>
                    </w:rPr>
                  </w:pPr>
                  <w:bookmarkStart w:id="34" w:name="_Toc510513655"/>
                  <w:bookmarkStart w:id="35" w:name="_Toc512519580"/>
                  <w:bookmarkStart w:id="36" w:name="_Toc513795220"/>
                  <w:r>
                    <w:rPr>
                      <w:rFonts w:hint="default" w:ascii="Times New Roman" w:hAnsi="Times New Roman" w:cs="Times New Roman"/>
                      <w:bCs/>
                      <w:color w:val="auto"/>
                      <w:sz w:val="21"/>
                      <w:szCs w:val="21"/>
                    </w:rPr>
                    <w:t>（按年生产300日计）</w:t>
                  </w:r>
                  <w:bookmarkEnd w:id="34"/>
                  <w:bookmarkEnd w:id="35"/>
                  <w:bookmarkEnd w:id="36"/>
                </w:p>
              </w:tc>
              <w:tc>
                <w:tcPr>
                  <w:tcW w:w="6301" w:type="dxa"/>
                  <w:gridSpan w:val="2"/>
                  <w:vAlign w:val="center"/>
                </w:tcPr>
                <w:p>
                  <w:pPr>
                    <w:pStyle w:val="30"/>
                    <w:spacing w:line="240" w:lineRule="auto"/>
                    <w:outlineLvl w:val="9"/>
                    <w:rPr>
                      <w:rFonts w:hint="default" w:ascii="Times New Roman" w:hAnsi="Times New Roman" w:cs="Times New Roman"/>
                      <w:bCs/>
                      <w:color w:val="auto"/>
                      <w:sz w:val="21"/>
                      <w:szCs w:val="21"/>
                    </w:rPr>
                  </w:pPr>
                  <w:r>
                    <w:rPr>
                      <w:rFonts w:hint="default" w:ascii="Times New Roman" w:hAnsi="Times New Roman" w:cs="Times New Roman"/>
                      <w:sz w:val="21"/>
                      <w:szCs w:val="21"/>
                    </w:rPr>
                    <w:t>年翻新加工新模板</w:t>
                  </w:r>
                  <w:r>
                    <w:rPr>
                      <w:rFonts w:hint="default" w:ascii="Times New Roman" w:hAnsi="Times New Roman" w:cs="Times New Roman"/>
                      <w:sz w:val="21"/>
                      <w:szCs w:val="21"/>
                      <w:lang w:val="en-US" w:eastAsia="zh-CN"/>
                    </w:rPr>
                    <w:t>5</w:t>
                  </w:r>
                  <w:r>
                    <w:rPr>
                      <w:rFonts w:hint="default" w:ascii="Times New Roman" w:hAnsi="Times New Roman" w:cs="Times New Roman"/>
                      <w:sz w:val="21"/>
                      <w:szCs w:val="21"/>
                    </w:rPr>
                    <w:t>000m</w:t>
                  </w:r>
                  <w:r>
                    <w:rPr>
                      <w:rFonts w:hint="default" w:ascii="Times New Roman" w:hAnsi="Times New Roman" w:cs="Times New Roman"/>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761" w:type="dxa"/>
                  <w:vAlign w:val="center"/>
                </w:tcPr>
                <w:p>
                  <w:pPr>
                    <w:pStyle w:val="30"/>
                    <w:spacing w:line="240" w:lineRule="auto"/>
                    <w:outlineLvl w:val="9"/>
                    <w:rPr>
                      <w:rFonts w:hint="default" w:ascii="Times New Roman" w:hAnsi="Times New Roman" w:cs="Times New Roman"/>
                      <w:bCs/>
                      <w:color w:val="auto"/>
                      <w:sz w:val="21"/>
                      <w:szCs w:val="21"/>
                    </w:rPr>
                  </w:pPr>
                  <w:bookmarkStart w:id="37" w:name="_Toc513795222"/>
                  <w:bookmarkStart w:id="38" w:name="_Toc512519582"/>
                  <w:bookmarkStart w:id="39" w:name="_Toc510513657"/>
                  <w:r>
                    <w:rPr>
                      <w:rFonts w:hint="default" w:ascii="Times New Roman" w:hAnsi="Times New Roman" w:cs="Times New Roman"/>
                      <w:bCs/>
                      <w:color w:val="auto"/>
                      <w:sz w:val="21"/>
                      <w:szCs w:val="21"/>
                    </w:rPr>
                    <w:t>实际生产能力</w:t>
                  </w:r>
                  <w:bookmarkEnd w:id="37"/>
                  <w:bookmarkEnd w:id="38"/>
                  <w:bookmarkEnd w:id="39"/>
                </w:p>
                <w:p>
                  <w:pPr>
                    <w:pStyle w:val="30"/>
                    <w:spacing w:line="240" w:lineRule="auto"/>
                    <w:outlineLvl w:val="9"/>
                    <w:rPr>
                      <w:rFonts w:hint="default" w:ascii="Times New Roman" w:hAnsi="Times New Roman" w:cs="Times New Roman"/>
                      <w:bCs/>
                      <w:color w:val="auto"/>
                      <w:sz w:val="21"/>
                      <w:szCs w:val="21"/>
                    </w:rPr>
                  </w:pPr>
                  <w:bookmarkStart w:id="40" w:name="_Toc512519583"/>
                  <w:bookmarkStart w:id="41" w:name="_Toc510513658"/>
                  <w:bookmarkStart w:id="42" w:name="_Toc513795223"/>
                  <w:r>
                    <w:rPr>
                      <w:rFonts w:hint="default" w:ascii="Times New Roman" w:hAnsi="Times New Roman" w:cs="Times New Roman"/>
                      <w:bCs/>
                      <w:color w:val="auto"/>
                      <w:sz w:val="21"/>
                      <w:szCs w:val="21"/>
                    </w:rPr>
                    <w:t>（按年生产300天计）</w:t>
                  </w:r>
                  <w:bookmarkEnd w:id="40"/>
                  <w:bookmarkEnd w:id="41"/>
                  <w:bookmarkEnd w:id="42"/>
                </w:p>
              </w:tc>
              <w:tc>
                <w:tcPr>
                  <w:tcW w:w="6301" w:type="dxa"/>
                  <w:gridSpan w:val="2"/>
                  <w:vAlign w:val="center"/>
                </w:tcPr>
                <w:p>
                  <w:pPr>
                    <w:pStyle w:val="30"/>
                    <w:spacing w:line="240" w:lineRule="auto"/>
                    <w:outlineLvl w:val="9"/>
                    <w:rPr>
                      <w:rFonts w:hint="default" w:ascii="Times New Roman" w:hAnsi="Times New Roman" w:eastAsia="宋体" w:cs="Times New Roman"/>
                      <w:color w:val="auto"/>
                      <w:sz w:val="21"/>
                      <w:szCs w:val="21"/>
                      <w:lang w:eastAsia="zh-CN"/>
                    </w:rPr>
                  </w:pPr>
                  <w:r>
                    <w:rPr>
                      <w:rFonts w:hint="default" w:ascii="Times New Roman" w:hAnsi="Times New Roman" w:cs="Times New Roman"/>
                      <w:sz w:val="21"/>
                      <w:szCs w:val="21"/>
                    </w:rPr>
                    <w:t>年翻新加工新模板</w:t>
                  </w:r>
                  <w:r>
                    <w:rPr>
                      <w:rFonts w:hint="default" w:ascii="Times New Roman" w:hAnsi="Times New Roman" w:cs="Times New Roman"/>
                      <w:sz w:val="21"/>
                      <w:szCs w:val="21"/>
                      <w:lang w:val="en-US" w:eastAsia="zh-CN"/>
                    </w:rPr>
                    <w:t>5</w:t>
                  </w:r>
                  <w:r>
                    <w:rPr>
                      <w:rFonts w:hint="default" w:ascii="Times New Roman" w:hAnsi="Times New Roman" w:cs="Times New Roman"/>
                      <w:sz w:val="21"/>
                      <w:szCs w:val="21"/>
                    </w:rPr>
                    <w:t>000m</w:t>
                  </w:r>
                  <w:r>
                    <w:rPr>
                      <w:rFonts w:hint="default" w:ascii="Times New Roman" w:hAnsi="Times New Roman" w:cs="Times New Roman"/>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2761" w:type="dxa"/>
                  <w:vAlign w:val="center"/>
                </w:tcPr>
                <w:p>
                  <w:pPr>
                    <w:pStyle w:val="30"/>
                    <w:spacing w:line="240" w:lineRule="auto"/>
                    <w:outlineLvl w:val="9"/>
                    <w:rPr>
                      <w:rFonts w:hint="default" w:ascii="Times New Roman" w:hAnsi="Times New Roman" w:cs="Times New Roman"/>
                      <w:bCs/>
                      <w:sz w:val="21"/>
                      <w:szCs w:val="21"/>
                    </w:rPr>
                  </w:pPr>
                  <w:bookmarkStart w:id="43" w:name="_Toc513795225"/>
                  <w:bookmarkStart w:id="44" w:name="_Toc512519585"/>
                  <w:bookmarkStart w:id="45" w:name="_Toc510513660"/>
                  <w:r>
                    <w:rPr>
                      <w:rFonts w:hint="default" w:ascii="Times New Roman" w:hAnsi="Times New Roman" w:cs="Times New Roman"/>
                      <w:bCs/>
                      <w:sz w:val="21"/>
                      <w:szCs w:val="21"/>
                    </w:rPr>
                    <w:t>实际产量</w:t>
                  </w:r>
                  <w:bookmarkEnd w:id="43"/>
                  <w:bookmarkEnd w:id="44"/>
                  <w:bookmarkEnd w:id="45"/>
                </w:p>
              </w:tc>
              <w:tc>
                <w:tcPr>
                  <w:tcW w:w="3188" w:type="dxa"/>
                  <w:vAlign w:val="center"/>
                </w:tcPr>
                <w:p>
                  <w:pPr>
                    <w:jc w:val="center"/>
                    <w:rPr>
                      <w:rFonts w:hint="default" w:ascii="Times New Roman" w:hAnsi="Times New Roman" w:cs="Times New Roman"/>
                      <w:sz w:val="21"/>
                      <w:szCs w:val="21"/>
                      <w:lang w:val="en-US"/>
                    </w:rPr>
                  </w:pPr>
                  <w:r>
                    <w:rPr>
                      <w:rFonts w:hint="default" w:ascii="Times New Roman" w:hAnsi="Times New Roman" w:cs="Times New Roman"/>
                      <w:sz w:val="21"/>
                      <w:szCs w:val="21"/>
                      <w:lang w:eastAsia="zh-CN"/>
                    </w:rPr>
                    <w:t>日</w:t>
                  </w:r>
                  <w:r>
                    <w:rPr>
                      <w:rFonts w:hint="default" w:ascii="Times New Roman" w:hAnsi="Times New Roman" w:cs="Times New Roman"/>
                      <w:sz w:val="21"/>
                      <w:szCs w:val="21"/>
                    </w:rPr>
                    <w:t>翻新加工新模板</w:t>
                  </w:r>
                  <w:r>
                    <w:rPr>
                      <w:rFonts w:hint="default" w:ascii="Times New Roman" w:hAnsi="Times New Roman" w:cs="Times New Roman"/>
                      <w:sz w:val="21"/>
                      <w:szCs w:val="21"/>
                      <w:lang w:val="en-US" w:eastAsia="zh-CN"/>
                    </w:rPr>
                    <w:t>13.33</w:t>
                  </w:r>
                  <w:r>
                    <w:rPr>
                      <w:rFonts w:hint="default" w:ascii="Times New Roman" w:hAnsi="Times New Roman" w:cs="Times New Roman"/>
                      <w:sz w:val="21"/>
                      <w:szCs w:val="21"/>
                    </w:rPr>
                    <w:t>m</w:t>
                  </w:r>
                  <w:r>
                    <w:rPr>
                      <w:rFonts w:hint="default" w:ascii="Times New Roman" w:hAnsi="Times New Roman" w:cs="Times New Roman"/>
                      <w:sz w:val="21"/>
                      <w:szCs w:val="21"/>
                      <w:vertAlign w:val="superscript"/>
                    </w:rPr>
                    <w:t>2</w:t>
                  </w:r>
                </w:p>
              </w:tc>
              <w:tc>
                <w:tcPr>
                  <w:tcW w:w="3113" w:type="dxa"/>
                  <w:vAlign w:val="center"/>
                </w:tcPr>
                <w:p>
                  <w:pPr>
                    <w:jc w:val="center"/>
                    <w:rPr>
                      <w:rFonts w:hint="default" w:ascii="Times New Roman" w:hAnsi="Times New Roman" w:cs="Times New Roman"/>
                      <w:sz w:val="21"/>
                      <w:szCs w:val="21"/>
                      <w:lang w:val="en-US"/>
                    </w:rPr>
                  </w:pPr>
                  <w:r>
                    <w:rPr>
                      <w:rFonts w:hint="default" w:ascii="Times New Roman" w:hAnsi="Times New Roman" w:cs="Times New Roman"/>
                      <w:sz w:val="21"/>
                      <w:szCs w:val="21"/>
                    </w:rPr>
                    <w:t>年翻新加工新模板</w:t>
                  </w:r>
                  <w:r>
                    <w:rPr>
                      <w:rFonts w:hint="default" w:ascii="Times New Roman" w:hAnsi="Times New Roman" w:cs="Times New Roman"/>
                      <w:sz w:val="21"/>
                      <w:szCs w:val="21"/>
                      <w:lang w:val="en-US" w:eastAsia="zh-CN"/>
                    </w:rPr>
                    <w:t>14.17</w:t>
                  </w:r>
                  <w:r>
                    <w:rPr>
                      <w:rFonts w:hint="default" w:ascii="Times New Roman" w:hAnsi="Times New Roman" w:cs="Times New Roman"/>
                      <w:sz w:val="21"/>
                      <w:szCs w:val="21"/>
                    </w:rPr>
                    <w:t>m</w:t>
                  </w:r>
                  <w:r>
                    <w:rPr>
                      <w:rFonts w:hint="default" w:ascii="Times New Roman" w:hAnsi="Times New Roman" w:cs="Times New Roman"/>
                      <w:sz w:val="21"/>
                      <w:szCs w:val="21"/>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17" w:hRule="atLeast"/>
                <w:jc w:val="center"/>
              </w:trPr>
              <w:tc>
                <w:tcPr>
                  <w:tcW w:w="2761" w:type="dxa"/>
                  <w:vAlign w:val="center"/>
                </w:tcPr>
                <w:p>
                  <w:pPr>
                    <w:pStyle w:val="30"/>
                    <w:spacing w:line="240" w:lineRule="auto"/>
                    <w:outlineLvl w:val="9"/>
                    <w:rPr>
                      <w:rFonts w:hint="default" w:ascii="Times New Roman" w:hAnsi="Times New Roman" w:cs="Times New Roman"/>
                      <w:bCs/>
                      <w:sz w:val="21"/>
                      <w:szCs w:val="21"/>
                    </w:rPr>
                  </w:pPr>
                  <w:r>
                    <w:rPr>
                      <w:rFonts w:hint="default" w:ascii="Times New Roman" w:hAnsi="Times New Roman" w:cs="Times New Roman"/>
                      <w:bCs/>
                      <w:sz w:val="21"/>
                      <w:szCs w:val="21"/>
                    </w:rPr>
                    <w:t>生产负荷</w:t>
                  </w:r>
                </w:p>
              </w:tc>
              <w:tc>
                <w:tcPr>
                  <w:tcW w:w="3188" w:type="dxa"/>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80%</w:t>
                  </w:r>
                </w:p>
              </w:tc>
              <w:tc>
                <w:tcPr>
                  <w:tcW w:w="3113" w:type="dxa"/>
                  <w:vAlign w:val="center"/>
                </w:tcPr>
                <w:p>
                  <w:pPr>
                    <w:jc w:val="center"/>
                    <w:rPr>
                      <w:rFonts w:hint="default" w:ascii="Times New Roman" w:hAnsi="Times New Roman" w:cs="Times New Roman"/>
                      <w:sz w:val="21"/>
                      <w:szCs w:val="21"/>
                    </w:rPr>
                  </w:pPr>
                  <w:r>
                    <w:rPr>
                      <w:rFonts w:hint="default" w:ascii="Times New Roman" w:hAnsi="Times New Roman" w:cs="Times New Roman"/>
                      <w:sz w:val="21"/>
                      <w:szCs w:val="21"/>
                    </w:rPr>
                    <w:t>85%</w:t>
                  </w:r>
                </w:p>
              </w:tc>
            </w:tr>
          </w:tbl>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p>
            <w:pPr>
              <w:jc w:val="left"/>
              <w:rPr>
                <w:rFonts w:hint="default" w:ascii="Times New Roman" w:hAnsi="Times New Roman" w:cs="Times New Roman"/>
                <w:b/>
                <w:sz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459" w:hRule="atLeast"/>
        </w:trPr>
        <w:tc>
          <w:tcPr>
            <w:tcW w:w="9288" w:type="dxa"/>
          </w:tcPr>
          <w:p>
            <w:pPr>
              <w:spacing w:line="480" w:lineRule="exact"/>
              <w:jc w:val="left"/>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验收监测结果：</w:t>
            </w:r>
          </w:p>
          <w:p>
            <w:pPr>
              <w:spacing w:line="480" w:lineRule="exact"/>
              <w:ind w:firstLine="482" w:firstLineChars="200"/>
              <w:jc w:val="left"/>
              <w:rPr>
                <w:rFonts w:hint="default" w:ascii="Times New Roman" w:hAnsi="Times New Roman" w:cs="Times New Roman" w:eastAsiaTheme="minorEastAsia"/>
                <w:b/>
                <w:color w:val="000000" w:themeColor="text1"/>
                <w:sz w:val="24"/>
                <w:lang w:val="en-US" w:eastAsia="zh-CN"/>
              </w:rPr>
            </w:pPr>
            <w:r>
              <w:rPr>
                <w:rFonts w:hint="default" w:ascii="Times New Roman" w:hAnsi="Times New Roman" w:cs="Times New Roman"/>
                <w:b/>
                <w:color w:val="000000" w:themeColor="text1"/>
                <w:sz w:val="24"/>
                <w:lang w:val="en-US" w:eastAsia="zh-CN"/>
              </w:rPr>
              <w:t>1.废气监测结果</w:t>
            </w:r>
          </w:p>
          <w:p>
            <w:pPr>
              <w:spacing w:line="480" w:lineRule="exact"/>
              <w:ind w:firstLine="482" w:firstLineChars="200"/>
              <w:jc w:val="left"/>
              <w:rPr>
                <w:rFonts w:hint="default" w:ascii="Times New Roman" w:hAnsi="Times New Roman" w:cs="Times New Roman"/>
                <w:b/>
                <w:color w:val="000000" w:themeColor="text1"/>
                <w:sz w:val="28"/>
                <w:szCs w:val="28"/>
              </w:rPr>
            </w:pPr>
            <w:r>
              <w:rPr>
                <w:rFonts w:hint="default" w:ascii="Times New Roman" w:hAnsi="Times New Roman" w:cs="Times New Roman"/>
                <w:b/>
                <w:color w:val="000000" w:themeColor="text1"/>
                <w:sz w:val="24"/>
              </w:rPr>
              <w:t>（1）有组织废气监测结果与分析</w:t>
            </w:r>
            <w:r>
              <w:rPr>
                <w:rFonts w:hint="default" w:ascii="Times New Roman" w:hAnsi="Times New Roman" w:cs="Times New Roman"/>
                <w:b/>
                <w:color w:val="000000" w:themeColor="text1"/>
                <w:sz w:val="28"/>
                <w:szCs w:val="28"/>
              </w:rPr>
              <w:t xml:space="preserve">    </w:t>
            </w:r>
          </w:p>
          <w:p>
            <w:pPr>
              <w:spacing w:line="360" w:lineRule="auto"/>
              <w:jc w:val="center"/>
              <w:rPr>
                <w:rFonts w:hint="default" w:ascii="Times New Roman" w:hAnsi="Times New Roman" w:cs="Times New Roman"/>
                <w:b/>
                <w:color w:val="000000" w:themeColor="text1"/>
                <w:sz w:val="24"/>
              </w:rPr>
            </w:pPr>
            <w:r>
              <w:rPr>
                <w:rFonts w:hint="default" w:ascii="Times New Roman" w:hAnsi="Times New Roman" w:cs="Times New Roman"/>
                <w:b/>
                <w:color w:val="000000" w:themeColor="text1"/>
                <w:sz w:val="24"/>
              </w:rPr>
              <w:t>表7.2</w:t>
            </w:r>
            <w:r>
              <w:rPr>
                <w:rFonts w:hint="eastAsia" w:cs="Times New Roman"/>
                <w:b/>
                <w:color w:val="000000" w:themeColor="text1"/>
                <w:sz w:val="24"/>
                <w:lang w:val="en-US" w:eastAsia="zh-CN"/>
              </w:rPr>
              <w:t>-1</w:t>
            </w:r>
            <w:r>
              <w:rPr>
                <w:rFonts w:hint="default" w:ascii="Times New Roman" w:hAnsi="Times New Roman" w:cs="Times New Roman"/>
                <w:b/>
                <w:color w:val="000000" w:themeColor="text1"/>
                <w:sz w:val="24"/>
              </w:rPr>
              <w:t xml:space="preserve"> 有组织废气监测结果</w:t>
            </w:r>
          </w:p>
          <w:tbl>
            <w:tblPr>
              <w:tblStyle w:val="17"/>
              <w:tblW w:w="4998" w:type="pct"/>
              <w:jc w:val="center"/>
              <w:tblLayout w:type="autofit"/>
              <w:tblCellMar>
                <w:top w:w="0" w:type="dxa"/>
                <w:left w:w="108" w:type="dxa"/>
                <w:bottom w:w="0" w:type="dxa"/>
                <w:right w:w="108" w:type="dxa"/>
              </w:tblCellMar>
            </w:tblPr>
            <w:tblGrid>
              <w:gridCol w:w="1214"/>
              <w:gridCol w:w="1219"/>
              <w:gridCol w:w="1219"/>
              <w:gridCol w:w="1083"/>
              <w:gridCol w:w="1443"/>
              <w:gridCol w:w="1445"/>
              <w:gridCol w:w="1445"/>
            </w:tblGrid>
            <w:tr>
              <w:trPr>
                <w:trHeight w:val="454" w:hRule="atLeast"/>
                <w:jc w:val="center"/>
              </w:trPr>
              <w:tc>
                <w:tcPr>
                  <w:tcW w:w="669"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000000"/>
                      <w:kern w:val="0"/>
                      <w:sz w:val="20"/>
                    </w:rPr>
                  </w:pPr>
                  <w:r>
                    <w:rPr>
                      <w:rFonts w:hint="eastAsia" w:ascii="宋体" w:hAnsi="宋体"/>
                      <w:color w:val="000000"/>
                      <w:kern w:val="0"/>
                      <w:sz w:val="20"/>
                    </w:rPr>
                    <w:t>采样点位</w:t>
                  </w:r>
                </w:p>
              </w:tc>
              <w:tc>
                <w:tcPr>
                  <w:tcW w:w="672"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olor w:val="000000"/>
                      <w:kern w:val="0"/>
                      <w:sz w:val="20"/>
                    </w:rPr>
                  </w:pPr>
                  <w:r>
                    <w:rPr>
                      <w:rFonts w:hint="eastAsia" w:ascii="宋体" w:hAnsi="宋体"/>
                      <w:color w:val="000000"/>
                      <w:kern w:val="0"/>
                      <w:sz w:val="20"/>
                    </w:rPr>
                    <w:t>检测项目</w:t>
                  </w:r>
                  <w:r>
                    <w:rPr>
                      <w:rFonts w:ascii="宋体" w:hAnsi="宋体"/>
                      <w:color w:val="000000"/>
                      <w:kern w:val="0"/>
                      <w:sz w:val="20"/>
                    </w:rPr>
                    <w:t xml:space="preserve"> </w:t>
                  </w:r>
                </w:p>
              </w:tc>
              <w:tc>
                <w:tcPr>
                  <w:tcW w:w="1269" w:type="pct"/>
                  <w:gridSpan w:val="2"/>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olor w:val="000000"/>
                      <w:kern w:val="0"/>
                      <w:sz w:val="20"/>
                    </w:rPr>
                  </w:pPr>
                  <w:r>
                    <w:rPr>
                      <w:rFonts w:hint="eastAsia" w:ascii="宋体" w:hAnsi="宋体" w:cs="宋体"/>
                      <w:color w:val="000000"/>
                      <w:kern w:val="0"/>
                      <w:sz w:val="20"/>
                    </w:rPr>
                    <w:t>采样日期</w:t>
                  </w:r>
                </w:p>
              </w:tc>
              <w:tc>
                <w:tcPr>
                  <w:tcW w:w="79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olor w:val="000000"/>
                      <w:kern w:val="0"/>
                      <w:sz w:val="20"/>
                    </w:rPr>
                  </w:pPr>
                  <w:r>
                    <w:rPr>
                      <w:rFonts w:hint="eastAsia" w:ascii="宋体" w:hAnsi="宋体"/>
                      <w:color w:val="000000"/>
                      <w:kern w:val="0"/>
                      <w:sz w:val="20"/>
                    </w:rPr>
                    <w:t>实测浓度</w:t>
                  </w:r>
                </w:p>
                <w:p>
                  <w:pPr>
                    <w:widowControl/>
                    <w:jc w:val="center"/>
                    <w:rPr>
                      <w:color w:val="000000"/>
                      <w:kern w:val="0"/>
                      <w:sz w:val="20"/>
                    </w:rPr>
                  </w:pPr>
                  <w:r>
                    <w:rPr>
                      <w:color w:val="000000"/>
                      <w:kern w:val="0"/>
                      <w:sz w:val="20"/>
                    </w:rPr>
                    <w:t>（mg/m³）</w:t>
                  </w:r>
                </w:p>
              </w:tc>
              <w:tc>
                <w:tcPr>
                  <w:tcW w:w="79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olor w:val="000000"/>
                      <w:kern w:val="0"/>
                      <w:sz w:val="20"/>
                    </w:rPr>
                  </w:pPr>
                  <w:r>
                    <w:rPr>
                      <w:rFonts w:hint="eastAsia" w:ascii="宋体" w:hAnsi="宋体"/>
                      <w:color w:val="000000"/>
                      <w:kern w:val="0"/>
                      <w:sz w:val="20"/>
                    </w:rPr>
                    <w:t>排放速率</w:t>
                  </w:r>
                </w:p>
                <w:p>
                  <w:pPr>
                    <w:widowControl/>
                    <w:jc w:val="center"/>
                    <w:rPr>
                      <w:color w:val="000000"/>
                      <w:kern w:val="0"/>
                      <w:sz w:val="20"/>
                    </w:rPr>
                  </w:pPr>
                  <w:r>
                    <w:rPr>
                      <w:color w:val="000000"/>
                      <w:kern w:val="0"/>
                      <w:sz w:val="20"/>
                    </w:rPr>
                    <w:t>（kg/h）</w:t>
                  </w:r>
                </w:p>
              </w:tc>
              <w:tc>
                <w:tcPr>
                  <w:tcW w:w="79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olor w:val="000000"/>
                      <w:kern w:val="0"/>
                      <w:sz w:val="20"/>
                    </w:rPr>
                  </w:pPr>
                  <w:r>
                    <w:rPr>
                      <w:rFonts w:hint="eastAsia" w:ascii="宋体" w:hAnsi="宋体"/>
                      <w:color w:val="000000"/>
                      <w:kern w:val="0"/>
                      <w:sz w:val="20"/>
                    </w:rPr>
                    <w:t>排气筒高度</w:t>
                  </w:r>
                  <w:r>
                    <w:rPr>
                      <w:color w:val="000000"/>
                      <w:kern w:val="0"/>
                      <w:sz w:val="20"/>
                    </w:rPr>
                    <w:t>（m）</w:t>
                  </w:r>
                </w:p>
              </w:tc>
            </w:tr>
            <w:tr>
              <w:tblPrEx>
                <w:tblCellMar>
                  <w:top w:w="0" w:type="dxa"/>
                  <w:left w:w="108" w:type="dxa"/>
                  <w:bottom w:w="0" w:type="dxa"/>
                  <w:right w:w="108" w:type="dxa"/>
                </w:tblCellMar>
              </w:tblPrEx>
              <w:trPr>
                <w:trHeight w:val="454" w:hRule="atLeast"/>
                <w:jc w:val="center"/>
              </w:trPr>
              <w:tc>
                <w:tcPr>
                  <w:tcW w:w="669" w:type="pct"/>
                  <w:vMerge w:val="restart"/>
                  <w:tcBorders>
                    <w:top w:val="single" w:color="auto" w:sz="4" w:space="0"/>
                    <w:left w:val="single" w:color="auto" w:sz="4" w:space="0"/>
                    <w:bottom w:val="single" w:color="auto" w:sz="4" w:space="0"/>
                    <w:right w:val="single" w:color="auto" w:sz="4" w:space="0"/>
                  </w:tcBorders>
                  <w:vAlign w:val="center"/>
                </w:tcPr>
                <w:p>
                  <w:pPr>
                    <w:jc w:val="center"/>
                    <w:rPr>
                      <w:kern w:val="0"/>
                      <w:sz w:val="20"/>
                      <w:szCs w:val="21"/>
                    </w:rPr>
                  </w:pPr>
                  <w:r>
                    <w:rPr>
                      <w:rFonts w:hint="eastAsia"/>
                      <w:kern w:val="0"/>
                      <w:sz w:val="20"/>
                      <w:szCs w:val="21"/>
                    </w:rPr>
                    <w:t>抛丸粉尘处理设施DA001废气出口</w:t>
                  </w:r>
                </w:p>
              </w:tc>
              <w:tc>
                <w:tcPr>
                  <w:tcW w:w="67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kern w:val="0"/>
                      <w:sz w:val="20"/>
                    </w:rPr>
                  </w:pPr>
                  <w:r>
                    <w:rPr>
                      <w:rFonts w:hint="eastAsia"/>
                      <w:color w:val="000000"/>
                      <w:kern w:val="0"/>
                      <w:sz w:val="20"/>
                    </w:rPr>
                    <w:t>颗粒物</w:t>
                  </w:r>
                </w:p>
              </w:tc>
              <w:tc>
                <w:tcPr>
                  <w:tcW w:w="672" w:type="pct"/>
                  <w:vMerge w:val="restart"/>
                  <w:tcBorders>
                    <w:top w:val="single" w:color="auto" w:sz="4" w:space="0"/>
                    <w:left w:val="single" w:color="auto" w:sz="4" w:space="0"/>
                    <w:right w:val="single" w:color="auto" w:sz="4" w:space="0"/>
                  </w:tcBorders>
                  <w:shd w:val="clear" w:color="auto" w:fill="auto"/>
                  <w:vAlign w:val="center"/>
                </w:tcPr>
                <w:p>
                  <w:pPr>
                    <w:widowControl/>
                    <w:jc w:val="center"/>
                    <w:rPr>
                      <w:color w:val="000000"/>
                      <w:kern w:val="0"/>
                      <w:sz w:val="20"/>
                    </w:rPr>
                  </w:pPr>
                  <w:r>
                    <w:rPr>
                      <w:rFonts w:hint="eastAsia"/>
                      <w:color w:val="000000"/>
                      <w:kern w:val="0"/>
                      <w:sz w:val="20"/>
                    </w:rPr>
                    <w:t>2022/11/15</w:t>
                  </w:r>
                </w:p>
              </w:tc>
              <w:tc>
                <w:tcPr>
                  <w:tcW w:w="59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sz w:val="20"/>
                    </w:rPr>
                  </w:pPr>
                  <w:r>
                    <w:rPr>
                      <w:rFonts w:hint="eastAsia"/>
                      <w:color w:val="000000"/>
                      <w:sz w:val="20"/>
                    </w:rPr>
                    <w:t>第一次</w:t>
                  </w:r>
                </w:p>
              </w:tc>
              <w:tc>
                <w:tcPr>
                  <w:tcW w:w="79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kern w:val="0"/>
                      <w:sz w:val="20"/>
                    </w:rPr>
                  </w:pPr>
                  <w:r>
                    <w:rPr>
                      <w:color w:val="000000"/>
                      <w:sz w:val="20"/>
                    </w:rPr>
                    <w:t xml:space="preserve">4.9 </w:t>
                  </w:r>
                </w:p>
              </w:tc>
              <w:tc>
                <w:tcPr>
                  <w:tcW w:w="79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等线"/>
                      <w:color w:val="000000"/>
                      <w:kern w:val="0"/>
                      <w:sz w:val="20"/>
                    </w:rPr>
                  </w:pPr>
                  <w:r>
                    <w:rPr>
                      <w:rFonts w:hint="eastAsia" w:eastAsia="等线"/>
                      <w:color w:val="000000"/>
                      <w:kern w:val="0"/>
                      <w:sz w:val="20"/>
                    </w:rPr>
                    <w:t>0.070</w:t>
                  </w:r>
                </w:p>
              </w:tc>
              <w:tc>
                <w:tcPr>
                  <w:tcW w:w="79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kern w:val="0"/>
                      <w:sz w:val="20"/>
                    </w:rPr>
                  </w:pPr>
                  <w:r>
                    <w:rPr>
                      <w:rFonts w:hint="eastAsia"/>
                      <w:color w:val="000000"/>
                      <w:kern w:val="0"/>
                      <w:sz w:val="20"/>
                    </w:rPr>
                    <w:t>15</w:t>
                  </w:r>
                </w:p>
              </w:tc>
            </w:tr>
            <w:tr>
              <w:tblPrEx>
                <w:tblCellMar>
                  <w:top w:w="0" w:type="dxa"/>
                  <w:left w:w="108" w:type="dxa"/>
                  <w:bottom w:w="0" w:type="dxa"/>
                  <w:right w:w="108" w:type="dxa"/>
                </w:tblCellMar>
              </w:tblPrEx>
              <w:trPr>
                <w:trHeight w:val="454" w:hRule="atLeast"/>
                <w:jc w:val="center"/>
              </w:trPr>
              <w:tc>
                <w:tcPr>
                  <w:tcW w:w="66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20"/>
                    </w:rPr>
                  </w:pPr>
                </w:p>
              </w:tc>
              <w:tc>
                <w:tcPr>
                  <w:tcW w:w="672"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20"/>
                    </w:rPr>
                  </w:pPr>
                </w:p>
              </w:tc>
              <w:tc>
                <w:tcPr>
                  <w:tcW w:w="672" w:type="pct"/>
                  <w:vMerge w:val="continue"/>
                  <w:tcBorders>
                    <w:left w:val="single" w:color="auto" w:sz="4" w:space="0"/>
                    <w:right w:val="single" w:color="auto" w:sz="4" w:space="0"/>
                  </w:tcBorders>
                  <w:shd w:val="clear" w:color="auto" w:fill="auto"/>
                  <w:vAlign w:val="center"/>
                </w:tcPr>
                <w:p>
                  <w:pPr>
                    <w:widowControl/>
                    <w:jc w:val="center"/>
                    <w:rPr>
                      <w:color w:val="000000"/>
                      <w:kern w:val="0"/>
                      <w:sz w:val="20"/>
                    </w:rPr>
                  </w:pPr>
                </w:p>
              </w:tc>
              <w:tc>
                <w:tcPr>
                  <w:tcW w:w="597"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20"/>
                    </w:rPr>
                  </w:pPr>
                  <w:r>
                    <w:rPr>
                      <w:rFonts w:hint="eastAsia"/>
                      <w:color w:val="000000"/>
                      <w:sz w:val="20"/>
                    </w:rPr>
                    <w:t>第二次</w:t>
                  </w:r>
                </w:p>
              </w:tc>
              <w:tc>
                <w:tcPr>
                  <w:tcW w:w="795"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20"/>
                    </w:rPr>
                  </w:pPr>
                  <w:r>
                    <w:rPr>
                      <w:color w:val="000000"/>
                      <w:sz w:val="20"/>
                    </w:rPr>
                    <w:t xml:space="preserve">8.7 </w:t>
                  </w:r>
                </w:p>
              </w:tc>
              <w:tc>
                <w:tcPr>
                  <w:tcW w:w="796"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eastAsia="等线"/>
                      <w:color w:val="000000"/>
                      <w:sz w:val="20"/>
                    </w:rPr>
                  </w:pPr>
                  <w:r>
                    <w:rPr>
                      <w:rFonts w:hint="eastAsia" w:eastAsia="等线"/>
                      <w:color w:val="000000"/>
                      <w:sz w:val="20"/>
                    </w:rPr>
                    <w:t>0.12</w:t>
                  </w:r>
                </w:p>
              </w:tc>
              <w:tc>
                <w:tcPr>
                  <w:tcW w:w="796" w:type="pct"/>
                  <w:vMerge w:val="continue"/>
                  <w:tcBorders>
                    <w:left w:val="single" w:color="auto" w:sz="4" w:space="0"/>
                    <w:bottom w:val="single" w:color="auto" w:sz="4" w:space="0"/>
                    <w:right w:val="single" w:color="auto" w:sz="4" w:space="0"/>
                  </w:tcBorders>
                  <w:shd w:val="clear" w:color="auto" w:fill="auto"/>
                  <w:vAlign w:val="center"/>
                </w:tcPr>
                <w:p>
                  <w:pPr>
                    <w:widowControl/>
                    <w:jc w:val="center"/>
                    <w:rPr>
                      <w:color w:val="000000"/>
                      <w:kern w:val="0"/>
                      <w:sz w:val="20"/>
                    </w:rPr>
                  </w:pPr>
                </w:p>
              </w:tc>
            </w:tr>
            <w:tr>
              <w:trPr>
                <w:trHeight w:val="454" w:hRule="atLeast"/>
                <w:jc w:val="center"/>
              </w:trPr>
              <w:tc>
                <w:tcPr>
                  <w:tcW w:w="66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20"/>
                    </w:rPr>
                  </w:pPr>
                </w:p>
              </w:tc>
              <w:tc>
                <w:tcPr>
                  <w:tcW w:w="672"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20"/>
                    </w:rPr>
                  </w:pPr>
                </w:p>
              </w:tc>
              <w:tc>
                <w:tcPr>
                  <w:tcW w:w="672" w:type="pct"/>
                  <w:vMerge w:val="continue"/>
                  <w:tcBorders>
                    <w:left w:val="single" w:color="auto" w:sz="4" w:space="0"/>
                    <w:right w:val="single" w:color="auto" w:sz="4" w:space="0"/>
                  </w:tcBorders>
                  <w:shd w:val="clear" w:color="auto" w:fill="auto"/>
                  <w:vAlign w:val="center"/>
                </w:tcPr>
                <w:p>
                  <w:pPr>
                    <w:widowControl/>
                    <w:jc w:val="center"/>
                    <w:rPr>
                      <w:color w:val="000000"/>
                      <w:kern w:val="0"/>
                      <w:sz w:val="20"/>
                    </w:rPr>
                  </w:pPr>
                </w:p>
              </w:tc>
              <w:tc>
                <w:tcPr>
                  <w:tcW w:w="597"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20"/>
                    </w:rPr>
                  </w:pPr>
                  <w:r>
                    <w:rPr>
                      <w:rFonts w:hint="eastAsia"/>
                      <w:color w:val="000000"/>
                      <w:sz w:val="20"/>
                    </w:rPr>
                    <w:t>第三次</w:t>
                  </w:r>
                </w:p>
              </w:tc>
              <w:tc>
                <w:tcPr>
                  <w:tcW w:w="795"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20"/>
                    </w:rPr>
                  </w:pPr>
                  <w:r>
                    <w:rPr>
                      <w:color w:val="000000"/>
                      <w:sz w:val="20"/>
                    </w:rPr>
                    <w:t xml:space="preserve">6.2 </w:t>
                  </w:r>
                </w:p>
              </w:tc>
              <w:tc>
                <w:tcPr>
                  <w:tcW w:w="796"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eastAsia="等线"/>
                      <w:color w:val="000000"/>
                      <w:sz w:val="20"/>
                    </w:rPr>
                  </w:pPr>
                  <w:r>
                    <w:rPr>
                      <w:rFonts w:hint="eastAsia" w:eastAsia="等线"/>
                      <w:color w:val="000000"/>
                      <w:sz w:val="20"/>
                    </w:rPr>
                    <w:t>0.089</w:t>
                  </w:r>
                </w:p>
              </w:tc>
              <w:tc>
                <w:tcPr>
                  <w:tcW w:w="796" w:type="pct"/>
                  <w:vMerge w:val="continue"/>
                  <w:tcBorders>
                    <w:left w:val="single" w:color="auto" w:sz="4" w:space="0"/>
                    <w:bottom w:val="single" w:color="auto" w:sz="4" w:space="0"/>
                    <w:right w:val="single" w:color="auto" w:sz="4" w:space="0"/>
                  </w:tcBorders>
                  <w:shd w:val="clear" w:color="auto" w:fill="auto"/>
                  <w:vAlign w:val="center"/>
                </w:tcPr>
                <w:p>
                  <w:pPr>
                    <w:widowControl/>
                    <w:jc w:val="center"/>
                    <w:rPr>
                      <w:color w:val="000000"/>
                      <w:kern w:val="0"/>
                      <w:sz w:val="20"/>
                    </w:rPr>
                  </w:pPr>
                </w:p>
              </w:tc>
            </w:tr>
            <w:tr>
              <w:trPr>
                <w:trHeight w:val="454" w:hRule="atLeast"/>
                <w:jc w:val="center"/>
              </w:trPr>
              <w:tc>
                <w:tcPr>
                  <w:tcW w:w="669" w:type="pct"/>
                  <w:vMerge w:val="restart"/>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 w:val="20"/>
                    </w:rPr>
                  </w:pPr>
                  <w:r>
                    <w:rPr>
                      <w:rFonts w:hint="eastAsia"/>
                      <w:color w:val="000000"/>
                      <w:kern w:val="0"/>
                      <w:sz w:val="20"/>
                    </w:rPr>
                    <w:t>喷塑粉尘处理设施DA002废气出口</w:t>
                  </w:r>
                </w:p>
              </w:tc>
              <w:tc>
                <w:tcPr>
                  <w:tcW w:w="672"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kern w:val="0"/>
                      <w:sz w:val="20"/>
                    </w:rPr>
                  </w:pPr>
                  <w:r>
                    <w:rPr>
                      <w:rFonts w:hint="eastAsia"/>
                      <w:color w:val="000000"/>
                      <w:kern w:val="0"/>
                      <w:sz w:val="20"/>
                    </w:rPr>
                    <w:t>颗粒物</w:t>
                  </w:r>
                </w:p>
              </w:tc>
              <w:tc>
                <w:tcPr>
                  <w:tcW w:w="672" w:type="pct"/>
                  <w:vMerge w:val="continue"/>
                  <w:tcBorders>
                    <w:left w:val="single" w:color="auto" w:sz="4" w:space="0"/>
                    <w:right w:val="single" w:color="auto" w:sz="4" w:space="0"/>
                  </w:tcBorders>
                  <w:shd w:val="clear" w:color="auto" w:fill="auto"/>
                  <w:vAlign w:val="center"/>
                </w:tcPr>
                <w:p>
                  <w:pPr>
                    <w:widowControl/>
                    <w:jc w:val="center"/>
                    <w:rPr>
                      <w:color w:val="000000"/>
                      <w:kern w:val="0"/>
                      <w:sz w:val="20"/>
                    </w:rPr>
                  </w:pPr>
                </w:p>
              </w:tc>
              <w:tc>
                <w:tcPr>
                  <w:tcW w:w="597"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sz w:val="20"/>
                    </w:rPr>
                  </w:pPr>
                  <w:r>
                    <w:rPr>
                      <w:rFonts w:hint="eastAsia"/>
                      <w:color w:val="000000"/>
                      <w:sz w:val="20"/>
                    </w:rPr>
                    <w:t>第一次</w:t>
                  </w:r>
                </w:p>
              </w:tc>
              <w:tc>
                <w:tcPr>
                  <w:tcW w:w="795"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20"/>
                    </w:rPr>
                  </w:pPr>
                  <w:r>
                    <w:rPr>
                      <w:color w:val="000000"/>
                      <w:sz w:val="20"/>
                    </w:rPr>
                    <w:t xml:space="preserve">7.5 </w:t>
                  </w:r>
                </w:p>
              </w:tc>
              <w:tc>
                <w:tcPr>
                  <w:tcW w:w="796"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eastAsia="等线"/>
                      <w:color w:val="000000"/>
                      <w:sz w:val="20"/>
                    </w:rPr>
                  </w:pPr>
                  <w:r>
                    <w:rPr>
                      <w:rFonts w:hint="eastAsia" w:eastAsia="等线"/>
                      <w:color w:val="000000"/>
                      <w:sz w:val="20"/>
                    </w:rPr>
                    <w:t>0.050</w:t>
                  </w:r>
                </w:p>
              </w:tc>
              <w:tc>
                <w:tcPr>
                  <w:tcW w:w="796" w:type="pct"/>
                  <w:vMerge w:val="continue"/>
                  <w:tcBorders>
                    <w:left w:val="single" w:color="auto" w:sz="4" w:space="0"/>
                    <w:bottom w:val="single" w:color="auto" w:sz="4" w:space="0"/>
                    <w:right w:val="single" w:color="auto" w:sz="4" w:space="0"/>
                  </w:tcBorders>
                  <w:shd w:val="clear" w:color="auto" w:fill="auto"/>
                  <w:vAlign w:val="center"/>
                </w:tcPr>
                <w:p>
                  <w:pPr>
                    <w:widowControl/>
                    <w:jc w:val="center"/>
                    <w:rPr>
                      <w:color w:val="000000"/>
                      <w:kern w:val="0"/>
                      <w:sz w:val="20"/>
                    </w:rPr>
                  </w:pPr>
                </w:p>
              </w:tc>
            </w:tr>
            <w:tr>
              <w:trPr>
                <w:trHeight w:val="454" w:hRule="atLeast"/>
                <w:jc w:val="center"/>
              </w:trPr>
              <w:tc>
                <w:tcPr>
                  <w:tcW w:w="66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20"/>
                    </w:rPr>
                  </w:pPr>
                </w:p>
              </w:tc>
              <w:tc>
                <w:tcPr>
                  <w:tcW w:w="672"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20"/>
                      <w:highlight w:val="yellow"/>
                    </w:rPr>
                  </w:pPr>
                </w:p>
              </w:tc>
              <w:tc>
                <w:tcPr>
                  <w:tcW w:w="672" w:type="pct"/>
                  <w:vMerge w:val="continue"/>
                  <w:tcBorders>
                    <w:left w:val="single" w:color="auto" w:sz="4" w:space="0"/>
                    <w:right w:val="single" w:color="auto" w:sz="4" w:space="0"/>
                  </w:tcBorders>
                  <w:shd w:val="clear" w:color="auto" w:fill="auto"/>
                  <w:vAlign w:val="center"/>
                </w:tcPr>
                <w:p>
                  <w:pPr>
                    <w:widowControl/>
                    <w:jc w:val="center"/>
                    <w:rPr>
                      <w:color w:val="000000"/>
                      <w:kern w:val="0"/>
                      <w:sz w:val="20"/>
                    </w:rPr>
                  </w:pPr>
                </w:p>
              </w:tc>
              <w:tc>
                <w:tcPr>
                  <w:tcW w:w="597"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20"/>
                    </w:rPr>
                  </w:pPr>
                  <w:r>
                    <w:rPr>
                      <w:rFonts w:hint="eastAsia"/>
                      <w:color w:val="000000"/>
                      <w:sz w:val="20"/>
                    </w:rPr>
                    <w:t>第二次</w:t>
                  </w:r>
                </w:p>
              </w:tc>
              <w:tc>
                <w:tcPr>
                  <w:tcW w:w="795"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sz w:val="20"/>
                    </w:rPr>
                  </w:pPr>
                  <w:r>
                    <w:rPr>
                      <w:color w:val="000000"/>
                      <w:sz w:val="20"/>
                    </w:rPr>
                    <w:t xml:space="preserve">5.6 </w:t>
                  </w:r>
                </w:p>
              </w:tc>
              <w:tc>
                <w:tcPr>
                  <w:tcW w:w="796"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eastAsia="等线"/>
                      <w:color w:val="000000"/>
                      <w:sz w:val="20"/>
                    </w:rPr>
                  </w:pPr>
                  <w:r>
                    <w:rPr>
                      <w:rFonts w:hint="eastAsia" w:eastAsia="等线"/>
                      <w:color w:val="000000"/>
                      <w:sz w:val="20"/>
                    </w:rPr>
                    <w:t>0.037</w:t>
                  </w:r>
                </w:p>
              </w:tc>
              <w:tc>
                <w:tcPr>
                  <w:tcW w:w="796" w:type="pct"/>
                  <w:vMerge w:val="continue"/>
                  <w:tcBorders>
                    <w:left w:val="single" w:color="auto" w:sz="4" w:space="0"/>
                    <w:bottom w:val="single" w:color="auto" w:sz="4" w:space="0"/>
                    <w:right w:val="single" w:color="auto" w:sz="4" w:space="0"/>
                  </w:tcBorders>
                  <w:shd w:val="clear" w:color="auto" w:fill="auto"/>
                  <w:vAlign w:val="center"/>
                </w:tcPr>
                <w:p>
                  <w:pPr>
                    <w:widowControl/>
                    <w:jc w:val="center"/>
                    <w:rPr>
                      <w:color w:val="000000"/>
                      <w:kern w:val="0"/>
                      <w:sz w:val="20"/>
                    </w:rPr>
                  </w:pPr>
                </w:p>
              </w:tc>
            </w:tr>
            <w:tr>
              <w:trPr>
                <w:trHeight w:val="454" w:hRule="atLeast"/>
                <w:jc w:val="center"/>
              </w:trPr>
              <w:tc>
                <w:tcPr>
                  <w:tcW w:w="669"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20"/>
                    </w:rPr>
                  </w:pPr>
                </w:p>
              </w:tc>
              <w:tc>
                <w:tcPr>
                  <w:tcW w:w="672" w:type="pct"/>
                  <w:vMerge w:val="continue"/>
                  <w:tcBorders>
                    <w:top w:val="single" w:color="auto" w:sz="4" w:space="0"/>
                    <w:left w:val="single" w:color="auto" w:sz="4" w:space="0"/>
                    <w:bottom w:val="single" w:color="auto" w:sz="4" w:space="0"/>
                    <w:right w:val="single" w:color="auto" w:sz="4" w:space="0"/>
                  </w:tcBorders>
                  <w:vAlign w:val="center"/>
                </w:tcPr>
                <w:p>
                  <w:pPr>
                    <w:widowControl/>
                    <w:jc w:val="left"/>
                    <w:rPr>
                      <w:color w:val="000000"/>
                      <w:kern w:val="0"/>
                      <w:sz w:val="20"/>
                      <w:highlight w:val="yellow"/>
                    </w:rPr>
                  </w:pPr>
                </w:p>
              </w:tc>
              <w:tc>
                <w:tcPr>
                  <w:tcW w:w="672" w:type="pct"/>
                  <w:vMerge w:val="continue"/>
                  <w:tcBorders>
                    <w:left w:val="single" w:color="auto" w:sz="4" w:space="0"/>
                    <w:right w:val="single" w:color="auto" w:sz="4" w:space="0"/>
                  </w:tcBorders>
                  <w:shd w:val="clear" w:color="auto" w:fill="auto"/>
                  <w:vAlign w:val="center"/>
                </w:tcPr>
                <w:p>
                  <w:pPr>
                    <w:widowControl/>
                    <w:jc w:val="center"/>
                    <w:rPr>
                      <w:color w:val="000000"/>
                      <w:kern w:val="0"/>
                      <w:sz w:val="20"/>
                    </w:rPr>
                  </w:pPr>
                </w:p>
              </w:tc>
              <w:tc>
                <w:tcPr>
                  <w:tcW w:w="597" w:type="pct"/>
                  <w:tcBorders>
                    <w:top w:val="single" w:color="auto" w:sz="4" w:space="0"/>
                    <w:left w:val="nil"/>
                    <w:bottom w:val="single" w:color="auto" w:sz="4" w:space="0"/>
                    <w:right w:val="single" w:color="auto" w:sz="4" w:space="0"/>
                  </w:tcBorders>
                  <w:shd w:val="clear" w:color="auto" w:fill="auto"/>
                  <w:vAlign w:val="center"/>
                </w:tcPr>
                <w:p>
                  <w:pPr>
                    <w:jc w:val="center"/>
                    <w:rPr>
                      <w:color w:val="000000"/>
                      <w:sz w:val="20"/>
                    </w:rPr>
                  </w:pPr>
                  <w:r>
                    <w:rPr>
                      <w:rFonts w:hint="eastAsia"/>
                      <w:color w:val="000000"/>
                      <w:sz w:val="20"/>
                    </w:rPr>
                    <w:t>第三次</w:t>
                  </w:r>
                </w:p>
              </w:tc>
              <w:tc>
                <w:tcPr>
                  <w:tcW w:w="795" w:type="pct"/>
                  <w:tcBorders>
                    <w:top w:val="single" w:color="auto" w:sz="4" w:space="0"/>
                    <w:left w:val="nil"/>
                    <w:bottom w:val="single" w:color="auto" w:sz="4" w:space="0"/>
                    <w:right w:val="single" w:color="auto" w:sz="4" w:space="0"/>
                  </w:tcBorders>
                  <w:shd w:val="clear" w:color="auto" w:fill="auto"/>
                  <w:vAlign w:val="center"/>
                </w:tcPr>
                <w:p>
                  <w:pPr>
                    <w:jc w:val="center"/>
                    <w:rPr>
                      <w:color w:val="000000"/>
                      <w:sz w:val="20"/>
                    </w:rPr>
                  </w:pPr>
                  <w:r>
                    <w:rPr>
                      <w:color w:val="000000"/>
                      <w:sz w:val="20"/>
                    </w:rPr>
                    <w:t xml:space="preserve">8.9 </w:t>
                  </w:r>
                </w:p>
              </w:tc>
              <w:tc>
                <w:tcPr>
                  <w:tcW w:w="796"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eastAsia="等线"/>
                      <w:color w:val="000000"/>
                      <w:sz w:val="20"/>
                    </w:rPr>
                  </w:pPr>
                  <w:r>
                    <w:rPr>
                      <w:rFonts w:hint="eastAsia" w:eastAsia="等线"/>
                      <w:color w:val="000000"/>
                      <w:sz w:val="20"/>
                    </w:rPr>
                    <w:t>0.059</w:t>
                  </w:r>
                </w:p>
              </w:tc>
              <w:tc>
                <w:tcPr>
                  <w:tcW w:w="796" w:type="pct"/>
                  <w:vMerge w:val="continue"/>
                  <w:tcBorders>
                    <w:left w:val="single" w:color="auto" w:sz="4" w:space="0"/>
                    <w:bottom w:val="single" w:color="auto" w:sz="4" w:space="0"/>
                    <w:right w:val="single" w:color="auto" w:sz="4" w:space="0"/>
                  </w:tcBorders>
                  <w:shd w:val="clear" w:color="auto" w:fill="auto"/>
                  <w:vAlign w:val="center"/>
                </w:tcPr>
                <w:p>
                  <w:pPr>
                    <w:widowControl/>
                    <w:jc w:val="center"/>
                    <w:rPr>
                      <w:color w:val="000000"/>
                      <w:kern w:val="0"/>
                      <w:sz w:val="20"/>
                    </w:rPr>
                  </w:pPr>
                </w:p>
              </w:tc>
            </w:tr>
            <w:tr>
              <w:trPr>
                <w:trHeight w:val="454" w:hRule="atLeast"/>
                <w:jc w:val="center"/>
              </w:trPr>
              <w:tc>
                <w:tcPr>
                  <w:tcW w:w="669" w:type="pct"/>
                  <w:vMerge w:val="restart"/>
                  <w:tcBorders>
                    <w:top w:val="single" w:color="auto" w:sz="4" w:space="0"/>
                    <w:left w:val="single" w:color="auto" w:sz="4" w:space="0"/>
                    <w:right w:val="single" w:color="auto" w:sz="4" w:space="0"/>
                  </w:tcBorders>
                  <w:vAlign w:val="center"/>
                </w:tcPr>
                <w:p>
                  <w:pPr>
                    <w:widowControl/>
                    <w:jc w:val="center"/>
                    <w:rPr>
                      <w:color w:val="000000"/>
                      <w:kern w:val="0"/>
                      <w:sz w:val="20"/>
                    </w:rPr>
                  </w:pPr>
                  <w:r>
                    <w:rPr>
                      <w:rFonts w:hint="eastAsia"/>
                      <w:color w:val="000000"/>
                      <w:kern w:val="0"/>
                      <w:sz w:val="20"/>
                    </w:rPr>
                    <w:t>固化废气处理设施DA003废气进口</w:t>
                  </w:r>
                </w:p>
              </w:tc>
              <w:tc>
                <w:tcPr>
                  <w:tcW w:w="672" w:type="pct"/>
                  <w:vMerge w:val="restart"/>
                  <w:tcBorders>
                    <w:top w:val="single" w:color="auto" w:sz="4" w:space="0"/>
                    <w:left w:val="single" w:color="auto" w:sz="4" w:space="0"/>
                    <w:right w:val="single" w:color="auto" w:sz="4" w:space="0"/>
                  </w:tcBorders>
                  <w:vAlign w:val="center"/>
                </w:tcPr>
                <w:p>
                  <w:pPr>
                    <w:jc w:val="center"/>
                    <w:rPr>
                      <w:color w:val="000000"/>
                      <w:kern w:val="0"/>
                      <w:sz w:val="20"/>
                    </w:rPr>
                  </w:pPr>
                  <w:r>
                    <w:rPr>
                      <w:rFonts w:hint="eastAsia"/>
                      <w:color w:val="000000"/>
                      <w:kern w:val="0"/>
                      <w:sz w:val="20"/>
                    </w:rPr>
                    <w:t>非甲烷</w:t>
                  </w:r>
                  <w:r>
                    <w:rPr>
                      <w:color w:val="000000"/>
                      <w:kern w:val="0"/>
                      <w:sz w:val="20"/>
                    </w:rPr>
                    <w:t>总烃</w:t>
                  </w:r>
                </w:p>
              </w:tc>
              <w:tc>
                <w:tcPr>
                  <w:tcW w:w="672" w:type="pct"/>
                  <w:vMerge w:val="continue"/>
                  <w:tcBorders>
                    <w:left w:val="single" w:color="auto" w:sz="4" w:space="0"/>
                    <w:right w:val="single" w:color="auto" w:sz="4" w:space="0"/>
                  </w:tcBorders>
                  <w:shd w:val="clear" w:color="auto" w:fill="auto"/>
                  <w:vAlign w:val="center"/>
                </w:tcPr>
                <w:p>
                  <w:pPr>
                    <w:widowControl/>
                    <w:jc w:val="center"/>
                    <w:rPr>
                      <w:color w:val="000000"/>
                      <w:kern w:val="0"/>
                      <w:sz w:val="20"/>
                    </w:rPr>
                  </w:pPr>
                </w:p>
              </w:tc>
              <w:tc>
                <w:tcPr>
                  <w:tcW w:w="597" w:type="pct"/>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sz w:val="20"/>
                    </w:rPr>
                  </w:pPr>
                  <w:r>
                    <w:rPr>
                      <w:rFonts w:hint="eastAsia"/>
                      <w:color w:val="000000"/>
                      <w:sz w:val="20"/>
                    </w:rPr>
                    <w:t>第一次</w:t>
                  </w:r>
                </w:p>
              </w:tc>
              <w:tc>
                <w:tcPr>
                  <w:tcW w:w="795" w:type="pct"/>
                  <w:tcBorders>
                    <w:top w:val="single" w:color="auto" w:sz="4" w:space="0"/>
                    <w:left w:val="nil"/>
                    <w:bottom w:val="single" w:color="auto" w:sz="4" w:space="0"/>
                    <w:right w:val="single" w:color="auto" w:sz="4" w:space="0"/>
                  </w:tcBorders>
                  <w:shd w:val="clear" w:color="auto" w:fill="auto"/>
                  <w:vAlign w:val="center"/>
                </w:tcPr>
                <w:p>
                  <w:pPr>
                    <w:widowControl/>
                    <w:jc w:val="center"/>
                    <w:rPr>
                      <w:kern w:val="0"/>
                      <w:sz w:val="20"/>
                    </w:rPr>
                  </w:pPr>
                  <w:r>
                    <w:rPr>
                      <w:rFonts w:hint="eastAsia"/>
                      <w:sz w:val="20"/>
                    </w:rPr>
                    <w:t xml:space="preserve">14.7 </w:t>
                  </w:r>
                </w:p>
              </w:tc>
              <w:tc>
                <w:tcPr>
                  <w:tcW w:w="796" w:type="pct"/>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kern w:val="0"/>
                      <w:sz w:val="20"/>
                    </w:rPr>
                  </w:pPr>
                  <w:r>
                    <w:rPr>
                      <w:rFonts w:hint="eastAsia"/>
                      <w:color w:val="000000"/>
                      <w:kern w:val="0"/>
                      <w:sz w:val="20"/>
                    </w:rPr>
                    <w:t>0.083</w:t>
                  </w:r>
                </w:p>
              </w:tc>
              <w:tc>
                <w:tcPr>
                  <w:tcW w:w="796" w:type="pct"/>
                  <w:vMerge w:val="continue"/>
                  <w:tcBorders>
                    <w:left w:val="single" w:color="auto" w:sz="4" w:space="0"/>
                    <w:bottom w:val="single" w:color="auto" w:sz="4" w:space="0"/>
                    <w:right w:val="single" w:color="auto" w:sz="4" w:space="0"/>
                  </w:tcBorders>
                  <w:shd w:val="clear" w:color="auto" w:fill="auto"/>
                  <w:vAlign w:val="center"/>
                </w:tcPr>
                <w:p>
                  <w:pPr>
                    <w:widowControl/>
                    <w:jc w:val="center"/>
                    <w:rPr>
                      <w:color w:val="000000"/>
                      <w:kern w:val="0"/>
                      <w:sz w:val="20"/>
                    </w:rPr>
                  </w:pPr>
                </w:p>
              </w:tc>
            </w:tr>
            <w:tr>
              <w:trPr>
                <w:trHeight w:val="454" w:hRule="atLeast"/>
                <w:jc w:val="center"/>
              </w:trPr>
              <w:tc>
                <w:tcPr>
                  <w:tcW w:w="669" w:type="pct"/>
                  <w:vMerge w:val="continue"/>
                  <w:tcBorders>
                    <w:left w:val="single" w:color="auto" w:sz="4" w:space="0"/>
                    <w:right w:val="single" w:color="auto" w:sz="4" w:space="0"/>
                  </w:tcBorders>
                  <w:vAlign w:val="center"/>
                </w:tcPr>
                <w:p>
                  <w:pPr>
                    <w:widowControl/>
                    <w:jc w:val="center"/>
                    <w:rPr>
                      <w:color w:val="000000"/>
                      <w:kern w:val="0"/>
                      <w:sz w:val="20"/>
                    </w:rPr>
                  </w:pPr>
                </w:p>
              </w:tc>
              <w:tc>
                <w:tcPr>
                  <w:tcW w:w="672" w:type="pct"/>
                  <w:vMerge w:val="continue"/>
                  <w:tcBorders>
                    <w:left w:val="single" w:color="auto" w:sz="4" w:space="0"/>
                    <w:right w:val="single" w:color="auto" w:sz="4" w:space="0"/>
                  </w:tcBorders>
                  <w:vAlign w:val="center"/>
                </w:tcPr>
                <w:p>
                  <w:pPr>
                    <w:jc w:val="center"/>
                    <w:rPr>
                      <w:color w:val="000000"/>
                      <w:kern w:val="0"/>
                      <w:sz w:val="20"/>
                    </w:rPr>
                  </w:pPr>
                </w:p>
              </w:tc>
              <w:tc>
                <w:tcPr>
                  <w:tcW w:w="672" w:type="pct"/>
                  <w:vMerge w:val="continue"/>
                  <w:tcBorders>
                    <w:left w:val="single" w:color="auto" w:sz="4" w:space="0"/>
                    <w:right w:val="single" w:color="auto" w:sz="4" w:space="0"/>
                  </w:tcBorders>
                  <w:shd w:val="clear" w:color="auto" w:fill="auto"/>
                  <w:vAlign w:val="center"/>
                </w:tcPr>
                <w:p>
                  <w:pPr>
                    <w:widowControl/>
                    <w:jc w:val="center"/>
                    <w:rPr>
                      <w:color w:val="000000"/>
                      <w:kern w:val="0"/>
                      <w:sz w:val="20"/>
                    </w:rPr>
                  </w:pPr>
                </w:p>
              </w:tc>
              <w:tc>
                <w:tcPr>
                  <w:tcW w:w="597" w:type="pct"/>
                  <w:tcBorders>
                    <w:top w:val="single" w:color="auto" w:sz="4" w:space="0"/>
                    <w:left w:val="nil"/>
                    <w:bottom w:val="single" w:color="auto" w:sz="4" w:space="0"/>
                    <w:right w:val="single" w:color="auto" w:sz="4" w:space="0"/>
                  </w:tcBorders>
                  <w:shd w:val="clear" w:color="auto" w:fill="auto"/>
                  <w:vAlign w:val="center"/>
                </w:tcPr>
                <w:p>
                  <w:pPr>
                    <w:jc w:val="center"/>
                    <w:rPr>
                      <w:color w:val="000000"/>
                      <w:sz w:val="20"/>
                    </w:rPr>
                  </w:pPr>
                  <w:r>
                    <w:rPr>
                      <w:rFonts w:hint="eastAsia"/>
                      <w:color w:val="000000"/>
                      <w:sz w:val="20"/>
                    </w:rPr>
                    <w:t>第二次</w:t>
                  </w:r>
                </w:p>
              </w:tc>
              <w:tc>
                <w:tcPr>
                  <w:tcW w:w="795" w:type="pct"/>
                  <w:tcBorders>
                    <w:top w:val="single" w:color="auto" w:sz="4" w:space="0"/>
                    <w:left w:val="nil"/>
                    <w:bottom w:val="single" w:color="auto" w:sz="4" w:space="0"/>
                    <w:right w:val="single" w:color="auto" w:sz="4" w:space="0"/>
                  </w:tcBorders>
                  <w:shd w:val="clear" w:color="auto" w:fill="auto"/>
                  <w:vAlign w:val="center"/>
                </w:tcPr>
                <w:p>
                  <w:pPr>
                    <w:jc w:val="center"/>
                    <w:rPr>
                      <w:rFonts w:hint="eastAsia"/>
                      <w:sz w:val="20"/>
                    </w:rPr>
                  </w:pPr>
                  <w:r>
                    <w:rPr>
                      <w:rFonts w:hint="eastAsia"/>
                      <w:sz w:val="20"/>
                    </w:rPr>
                    <w:t xml:space="preserve">14.1 </w:t>
                  </w:r>
                </w:p>
              </w:tc>
              <w:tc>
                <w:tcPr>
                  <w:tcW w:w="796" w:type="pct"/>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kern w:val="0"/>
                      <w:sz w:val="20"/>
                    </w:rPr>
                  </w:pPr>
                  <w:r>
                    <w:rPr>
                      <w:rFonts w:hint="eastAsia"/>
                      <w:color w:val="000000"/>
                      <w:kern w:val="0"/>
                      <w:sz w:val="20"/>
                    </w:rPr>
                    <w:t>0.080</w:t>
                  </w:r>
                </w:p>
              </w:tc>
              <w:tc>
                <w:tcPr>
                  <w:tcW w:w="796" w:type="pct"/>
                  <w:vMerge w:val="continue"/>
                  <w:tcBorders>
                    <w:left w:val="single" w:color="auto" w:sz="4" w:space="0"/>
                    <w:bottom w:val="single" w:color="auto" w:sz="4" w:space="0"/>
                    <w:right w:val="single" w:color="auto" w:sz="4" w:space="0"/>
                  </w:tcBorders>
                  <w:shd w:val="clear" w:color="auto" w:fill="auto"/>
                  <w:vAlign w:val="center"/>
                </w:tcPr>
                <w:p>
                  <w:pPr>
                    <w:widowControl/>
                    <w:jc w:val="center"/>
                    <w:rPr>
                      <w:color w:val="000000"/>
                      <w:kern w:val="0"/>
                      <w:sz w:val="20"/>
                    </w:rPr>
                  </w:pPr>
                </w:p>
              </w:tc>
            </w:tr>
            <w:tr>
              <w:trPr>
                <w:trHeight w:val="454" w:hRule="atLeast"/>
                <w:jc w:val="center"/>
              </w:trPr>
              <w:tc>
                <w:tcPr>
                  <w:tcW w:w="669" w:type="pct"/>
                  <w:vMerge w:val="continue"/>
                  <w:tcBorders>
                    <w:left w:val="single" w:color="auto" w:sz="4" w:space="0"/>
                    <w:bottom w:val="single" w:color="auto" w:sz="4" w:space="0"/>
                    <w:right w:val="single" w:color="auto" w:sz="4" w:space="0"/>
                  </w:tcBorders>
                  <w:vAlign w:val="center"/>
                </w:tcPr>
                <w:p>
                  <w:pPr>
                    <w:widowControl/>
                    <w:jc w:val="center"/>
                    <w:rPr>
                      <w:color w:val="000000"/>
                      <w:kern w:val="0"/>
                      <w:sz w:val="20"/>
                    </w:rPr>
                  </w:pPr>
                </w:p>
              </w:tc>
              <w:tc>
                <w:tcPr>
                  <w:tcW w:w="672" w:type="pct"/>
                  <w:vMerge w:val="continue"/>
                  <w:tcBorders>
                    <w:left w:val="single" w:color="auto" w:sz="4" w:space="0"/>
                    <w:right w:val="single" w:color="auto" w:sz="4" w:space="0"/>
                  </w:tcBorders>
                  <w:vAlign w:val="center"/>
                </w:tcPr>
                <w:p>
                  <w:pPr>
                    <w:jc w:val="center"/>
                    <w:rPr>
                      <w:color w:val="000000"/>
                      <w:kern w:val="0"/>
                      <w:sz w:val="20"/>
                    </w:rPr>
                  </w:pPr>
                </w:p>
              </w:tc>
              <w:tc>
                <w:tcPr>
                  <w:tcW w:w="672" w:type="pct"/>
                  <w:vMerge w:val="continue"/>
                  <w:tcBorders>
                    <w:left w:val="single" w:color="auto" w:sz="4" w:space="0"/>
                    <w:right w:val="single" w:color="auto" w:sz="4" w:space="0"/>
                  </w:tcBorders>
                  <w:shd w:val="clear" w:color="auto" w:fill="auto"/>
                  <w:vAlign w:val="center"/>
                </w:tcPr>
                <w:p>
                  <w:pPr>
                    <w:widowControl/>
                    <w:jc w:val="center"/>
                    <w:rPr>
                      <w:color w:val="000000"/>
                      <w:kern w:val="0"/>
                      <w:sz w:val="20"/>
                    </w:rPr>
                  </w:pPr>
                </w:p>
              </w:tc>
              <w:tc>
                <w:tcPr>
                  <w:tcW w:w="597" w:type="pct"/>
                  <w:tcBorders>
                    <w:top w:val="single" w:color="auto" w:sz="4" w:space="0"/>
                    <w:left w:val="nil"/>
                    <w:bottom w:val="single" w:color="auto" w:sz="4" w:space="0"/>
                    <w:right w:val="single" w:color="auto" w:sz="4" w:space="0"/>
                  </w:tcBorders>
                  <w:shd w:val="clear" w:color="auto" w:fill="auto"/>
                  <w:vAlign w:val="center"/>
                </w:tcPr>
                <w:p>
                  <w:pPr>
                    <w:jc w:val="center"/>
                    <w:rPr>
                      <w:color w:val="000000"/>
                      <w:sz w:val="20"/>
                    </w:rPr>
                  </w:pPr>
                  <w:r>
                    <w:rPr>
                      <w:rFonts w:hint="eastAsia"/>
                      <w:color w:val="000000"/>
                      <w:sz w:val="20"/>
                    </w:rPr>
                    <w:t>第三次</w:t>
                  </w:r>
                </w:p>
              </w:tc>
              <w:tc>
                <w:tcPr>
                  <w:tcW w:w="795" w:type="pct"/>
                  <w:tcBorders>
                    <w:top w:val="single" w:color="auto" w:sz="4" w:space="0"/>
                    <w:left w:val="nil"/>
                    <w:bottom w:val="single" w:color="auto" w:sz="4" w:space="0"/>
                    <w:right w:val="single" w:color="auto" w:sz="4" w:space="0"/>
                  </w:tcBorders>
                  <w:shd w:val="clear" w:color="auto" w:fill="auto"/>
                  <w:vAlign w:val="center"/>
                </w:tcPr>
                <w:p>
                  <w:pPr>
                    <w:jc w:val="center"/>
                    <w:rPr>
                      <w:rFonts w:hint="eastAsia"/>
                      <w:sz w:val="20"/>
                    </w:rPr>
                  </w:pPr>
                  <w:r>
                    <w:rPr>
                      <w:rFonts w:hint="eastAsia"/>
                      <w:sz w:val="20"/>
                    </w:rPr>
                    <w:t xml:space="preserve">13.5 </w:t>
                  </w:r>
                </w:p>
              </w:tc>
              <w:tc>
                <w:tcPr>
                  <w:tcW w:w="796" w:type="pct"/>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kern w:val="0"/>
                      <w:sz w:val="20"/>
                    </w:rPr>
                  </w:pPr>
                  <w:r>
                    <w:rPr>
                      <w:rFonts w:hint="eastAsia"/>
                      <w:color w:val="000000"/>
                      <w:kern w:val="0"/>
                      <w:sz w:val="20"/>
                    </w:rPr>
                    <w:t>0.077</w:t>
                  </w:r>
                </w:p>
              </w:tc>
              <w:tc>
                <w:tcPr>
                  <w:tcW w:w="796" w:type="pct"/>
                  <w:vMerge w:val="continue"/>
                  <w:tcBorders>
                    <w:left w:val="single" w:color="auto" w:sz="4" w:space="0"/>
                    <w:bottom w:val="single" w:color="auto" w:sz="4" w:space="0"/>
                    <w:right w:val="single" w:color="auto" w:sz="4" w:space="0"/>
                  </w:tcBorders>
                  <w:shd w:val="clear" w:color="auto" w:fill="auto"/>
                  <w:vAlign w:val="center"/>
                </w:tcPr>
                <w:p>
                  <w:pPr>
                    <w:widowControl/>
                    <w:jc w:val="center"/>
                    <w:rPr>
                      <w:color w:val="000000"/>
                      <w:kern w:val="0"/>
                      <w:sz w:val="20"/>
                    </w:rPr>
                  </w:pPr>
                </w:p>
              </w:tc>
            </w:tr>
            <w:tr>
              <w:trPr>
                <w:trHeight w:val="454" w:hRule="atLeast"/>
                <w:jc w:val="center"/>
              </w:trPr>
              <w:tc>
                <w:tcPr>
                  <w:tcW w:w="669" w:type="pct"/>
                  <w:vMerge w:val="restart"/>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 w:val="20"/>
                    </w:rPr>
                  </w:pPr>
                  <w:r>
                    <w:rPr>
                      <w:rFonts w:hint="eastAsia"/>
                      <w:color w:val="000000"/>
                      <w:kern w:val="0"/>
                      <w:sz w:val="20"/>
                    </w:rPr>
                    <w:t>固化废气处理设施DA003废气出口</w:t>
                  </w:r>
                </w:p>
              </w:tc>
              <w:tc>
                <w:tcPr>
                  <w:tcW w:w="672" w:type="pct"/>
                  <w:vMerge w:val="continue"/>
                  <w:tcBorders>
                    <w:left w:val="single" w:color="auto" w:sz="4" w:space="0"/>
                    <w:right w:val="single" w:color="auto" w:sz="4" w:space="0"/>
                  </w:tcBorders>
                  <w:vAlign w:val="center"/>
                </w:tcPr>
                <w:p>
                  <w:pPr>
                    <w:widowControl/>
                    <w:jc w:val="center"/>
                    <w:rPr>
                      <w:color w:val="000000"/>
                      <w:kern w:val="0"/>
                      <w:sz w:val="20"/>
                    </w:rPr>
                  </w:pPr>
                </w:p>
              </w:tc>
              <w:tc>
                <w:tcPr>
                  <w:tcW w:w="672" w:type="pct"/>
                  <w:vMerge w:val="continue"/>
                  <w:tcBorders>
                    <w:left w:val="single" w:color="auto" w:sz="4" w:space="0"/>
                    <w:right w:val="single" w:color="auto" w:sz="4" w:space="0"/>
                  </w:tcBorders>
                  <w:shd w:val="clear" w:color="auto" w:fill="auto"/>
                  <w:vAlign w:val="center"/>
                </w:tcPr>
                <w:p>
                  <w:pPr>
                    <w:widowControl/>
                    <w:jc w:val="center"/>
                    <w:rPr>
                      <w:color w:val="000000"/>
                      <w:kern w:val="0"/>
                      <w:sz w:val="20"/>
                    </w:rPr>
                  </w:pPr>
                </w:p>
              </w:tc>
              <w:tc>
                <w:tcPr>
                  <w:tcW w:w="597" w:type="pct"/>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sz w:val="20"/>
                    </w:rPr>
                  </w:pPr>
                  <w:r>
                    <w:rPr>
                      <w:rFonts w:hint="eastAsia"/>
                      <w:color w:val="000000"/>
                      <w:sz w:val="20"/>
                    </w:rPr>
                    <w:t>第一次</w:t>
                  </w:r>
                </w:p>
              </w:tc>
              <w:tc>
                <w:tcPr>
                  <w:tcW w:w="795" w:type="pct"/>
                  <w:tcBorders>
                    <w:top w:val="single" w:color="auto" w:sz="4" w:space="0"/>
                    <w:left w:val="nil"/>
                    <w:bottom w:val="single" w:color="auto" w:sz="4" w:space="0"/>
                    <w:right w:val="single" w:color="auto" w:sz="4" w:space="0"/>
                  </w:tcBorders>
                  <w:shd w:val="clear" w:color="auto" w:fill="auto"/>
                  <w:vAlign w:val="center"/>
                </w:tcPr>
                <w:p>
                  <w:pPr>
                    <w:jc w:val="center"/>
                    <w:rPr>
                      <w:rFonts w:hint="eastAsia"/>
                      <w:sz w:val="20"/>
                    </w:rPr>
                  </w:pPr>
                  <w:r>
                    <w:rPr>
                      <w:rFonts w:hint="eastAsia"/>
                      <w:sz w:val="20"/>
                    </w:rPr>
                    <w:t xml:space="preserve">2.60 </w:t>
                  </w:r>
                </w:p>
              </w:tc>
              <w:tc>
                <w:tcPr>
                  <w:tcW w:w="796" w:type="pct"/>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kern w:val="0"/>
                      <w:sz w:val="20"/>
                    </w:rPr>
                  </w:pPr>
                  <w:r>
                    <w:rPr>
                      <w:rFonts w:hint="eastAsia"/>
                      <w:color w:val="000000"/>
                      <w:kern w:val="0"/>
                      <w:sz w:val="20"/>
                    </w:rPr>
                    <w:t>0.019</w:t>
                  </w:r>
                </w:p>
              </w:tc>
              <w:tc>
                <w:tcPr>
                  <w:tcW w:w="796" w:type="pct"/>
                  <w:vMerge w:val="continue"/>
                  <w:tcBorders>
                    <w:left w:val="single" w:color="auto" w:sz="4" w:space="0"/>
                    <w:bottom w:val="single" w:color="auto" w:sz="4" w:space="0"/>
                    <w:right w:val="single" w:color="auto" w:sz="4" w:space="0"/>
                  </w:tcBorders>
                  <w:shd w:val="clear" w:color="auto" w:fill="auto"/>
                  <w:vAlign w:val="center"/>
                </w:tcPr>
                <w:p>
                  <w:pPr>
                    <w:widowControl/>
                    <w:jc w:val="center"/>
                    <w:rPr>
                      <w:color w:val="000000"/>
                      <w:kern w:val="0"/>
                      <w:sz w:val="20"/>
                    </w:rPr>
                  </w:pPr>
                </w:p>
              </w:tc>
            </w:tr>
            <w:tr>
              <w:trPr>
                <w:trHeight w:val="454" w:hRule="atLeast"/>
                <w:jc w:val="center"/>
              </w:trPr>
              <w:tc>
                <w:tcPr>
                  <w:tcW w:w="669"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 w:val="20"/>
                    </w:rPr>
                  </w:pPr>
                </w:p>
              </w:tc>
              <w:tc>
                <w:tcPr>
                  <w:tcW w:w="672" w:type="pct"/>
                  <w:vMerge w:val="continue"/>
                  <w:tcBorders>
                    <w:left w:val="single" w:color="auto" w:sz="4" w:space="0"/>
                    <w:right w:val="single" w:color="auto" w:sz="4" w:space="0"/>
                  </w:tcBorders>
                  <w:vAlign w:val="center"/>
                </w:tcPr>
                <w:p>
                  <w:pPr>
                    <w:widowControl/>
                    <w:jc w:val="center"/>
                    <w:rPr>
                      <w:color w:val="000000"/>
                      <w:kern w:val="0"/>
                      <w:sz w:val="20"/>
                    </w:rPr>
                  </w:pPr>
                </w:p>
              </w:tc>
              <w:tc>
                <w:tcPr>
                  <w:tcW w:w="672" w:type="pct"/>
                  <w:vMerge w:val="continue"/>
                  <w:tcBorders>
                    <w:left w:val="single" w:color="auto" w:sz="4" w:space="0"/>
                    <w:right w:val="single" w:color="auto" w:sz="4" w:space="0"/>
                  </w:tcBorders>
                  <w:shd w:val="clear" w:color="auto" w:fill="auto"/>
                  <w:vAlign w:val="center"/>
                </w:tcPr>
                <w:p>
                  <w:pPr>
                    <w:widowControl/>
                    <w:jc w:val="center"/>
                    <w:rPr>
                      <w:color w:val="000000"/>
                      <w:kern w:val="0"/>
                      <w:sz w:val="20"/>
                    </w:rPr>
                  </w:pPr>
                </w:p>
              </w:tc>
              <w:tc>
                <w:tcPr>
                  <w:tcW w:w="597" w:type="pct"/>
                  <w:tcBorders>
                    <w:top w:val="single" w:color="auto" w:sz="4" w:space="0"/>
                    <w:left w:val="nil"/>
                    <w:bottom w:val="single" w:color="auto" w:sz="4" w:space="0"/>
                    <w:right w:val="single" w:color="auto" w:sz="4" w:space="0"/>
                  </w:tcBorders>
                  <w:shd w:val="clear" w:color="auto" w:fill="auto"/>
                  <w:vAlign w:val="center"/>
                </w:tcPr>
                <w:p>
                  <w:pPr>
                    <w:jc w:val="center"/>
                    <w:rPr>
                      <w:color w:val="000000"/>
                      <w:sz w:val="20"/>
                    </w:rPr>
                  </w:pPr>
                  <w:r>
                    <w:rPr>
                      <w:rFonts w:hint="eastAsia"/>
                      <w:color w:val="000000"/>
                      <w:sz w:val="20"/>
                    </w:rPr>
                    <w:t>第二次</w:t>
                  </w:r>
                </w:p>
              </w:tc>
              <w:tc>
                <w:tcPr>
                  <w:tcW w:w="795" w:type="pct"/>
                  <w:tcBorders>
                    <w:top w:val="single" w:color="auto" w:sz="4" w:space="0"/>
                    <w:left w:val="nil"/>
                    <w:bottom w:val="single" w:color="auto" w:sz="4" w:space="0"/>
                    <w:right w:val="single" w:color="auto" w:sz="4" w:space="0"/>
                  </w:tcBorders>
                  <w:shd w:val="clear" w:color="auto" w:fill="auto"/>
                  <w:vAlign w:val="center"/>
                </w:tcPr>
                <w:p>
                  <w:pPr>
                    <w:jc w:val="center"/>
                    <w:rPr>
                      <w:rFonts w:hint="eastAsia"/>
                      <w:sz w:val="20"/>
                    </w:rPr>
                  </w:pPr>
                  <w:r>
                    <w:rPr>
                      <w:rFonts w:hint="eastAsia"/>
                      <w:sz w:val="20"/>
                    </w:rPr>
                    <w:t xml:space="preserve">2.61 </w:t>
                  </w:r>
                </w:p>
              </w:tc>
              <w:tc>
                <w:tcPr>
                  <w:tcW w:w="796" w:type="pct"/>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kern w:val="0"/>
                      <w:sz w:val="20"/>
                    </w:rPr>
                  </w:pPr>
                  <w:r>
                    <w:rPr>
                      <w:rFonts w:hint="eastAsia"/>
                      <w:color w:val="000000"/>
                      <w:kern w:val="0"/>
                      <w:sz w:val="20"/>
                    </w:rPr>
                    <w:t>0.019</w:t>
                  </w:r>
                </w:p>
              </w:tc>
              <w:tc>
                <w:tcPr>
                  <w:tcW w:w="796" w:type="pct"/>
                  <w:vMerge w:val="continue"/>
                  <w:tcBorders>
                    <w:left w:val="single" w:color="auto" w:sz="4" w:space="0"/>
                    <w:bottom w:val="single" w:color="auto" w:sz="4" w:space="0"/>
                    <w:right w:val="single" w:color="auto" w:sz="4" w:space="0"/>
                  </w:tcBorders>
                  <w:shd w:val="clear" w:color="auto" w:fill="auto"/>
                  <w:vAlign w:val="center"/>
                </w:tcPr>
                <w:p>
                  <w:pPr>
                    <w:widowControl/>
                    <w:jc w:val="center"/>
                    <w:rPr>
                      <w:color w:val="000000"/>
                      <w:kern w:val="0"/>
                      <w:sz w:val="20"/>
                    </w:rPr>
                  </w:pPr>
                </w:p>
              </w:tc>
            </w:tr>
            <w:tr>
              <w:trPr>
                <w:trHeight w:val="454" w:hRule="atLeast"/>
                <w:jc w:val="center"/>
              </w:trPr>
              <w:tc>
                <w:tcPr>
                  <w:tcW w:w="669"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 w:val="20"/>
                    </w:rPr>
                  </w:pPr>
                </w:p>
              </w:tc>
              <w:tc>
                <w:tcPr>
                  <w:tcW w:w="672" w:type="pct"/>
                  <w:vMerge w:val="continue"/>
                  <w:tcBorders>
                    <w:left w:val="single" w:color="auto" w:sz="4" w:space="0"/>
                    <w:bottom w:val="single" w:color="auto" w:sz="4" w:space="0"/>
                    <w:right w:val="single" w:color="auto" w:sz="4" w:space="0"/>
                  </w:tcBorders>
                  <w:vAlign w:val="center"/>
                </w:tcPr>
                <w:p>
                  <w:pPr>
                    <w:widowControl/>
                    <w:jc w:val="center"/>
                    <w:rPr>
                      <w:color w:val="000000"/>
                      <w:kern w:val="0"/>
                      <w:sz w:val="20"/>
                    </w:rPr>
                  </w:pPr>
                </w:p>
              </w:tc>
              <w:tc>
                <w:tcPr>
                  <w:tcW w:w="672" w:type="pct"/>
                  <w:vMerge w:val="continue"/>
                  <w:tcBorders>
                    <w:left w:val="single" w:color="auto" w:sz="4" w:space="0"/>
                    <w:bottom w:val="single" w:color="auto" w:sz="4" w:space="0"/>
                    <w:right w:val="single" w:color="auto" w:sz="4" w:space="0"/>
                  </w:tcBorders>
                  <w:shd w:val="clear" w:color="auto" w:fill="auto"/>
                  <w:vAlign w:val="center"/>
                </w:tcPr>
                <w:p>
                  <w:pPr>
                    <w:widowControl/>
                    <w:jc w:val="center"/>
                    <w:rPr>
                      <w:color w:val="000000"/>
                      <w:kern w:val="0"/>
                      <w:sz w:val="20"/>
                    </w:rPr>
                  </w:pPr>
                </w:p>
              </w:tc>
              <w:tc>
                <w:tcPr>
                  <w:tcW w:w="597" w:type="pct"/>
                  <w:tcBorders>
                    <w:top w:val="single" w:color="auto" w:sz="4" w:space="0"/>
                    <w:left w:val="nil"/>
                    <w:bottom w:val="single" w:color="auto" w:sz="4" w:space="0"/>
                    <w:right w:val="single" w:color="auto" w:sz="4" w:space="0"/>
                  </w:tcBorders>
                  <w:shd w:val="clear" w:color="auto" w:fill="auto"/>
                  <w:vAlign w:val="center"/>
                </w:tcPr>
                <w:p>
                  <w:pPr>
                    <w:jc w:val="center"/>
                    <w:rPr>
                      <w:color w:val="000000"/>
                      <w:sz w:val="20"/>
                    </w:rPr>
                  </w:pPr>
                  <w:r>
                    <w:rPr>
                      <w:rFonts w:hint="eastAsia"/>
                      <w:color w:val="000000"/>
                      <w:sz w:val="20"/>
                    </w:rPr>
                    <w:t>第三次</w:t>
                  </w:r>
                </w:p>
              </w:tc>
              <w:tc>
                <w:tcPr>
                  <w:tcW w:w="795" w:type="pct"/>
                  <w:tcBorders>
                    <w:top w:val="single" w:color="auto" w:sz="4" w:space="0"/>
                    <w:left w:val="nil"/>
                    <w:bottom w:val="single" w:color="auto" w:sz="4" w:space="0"/>
                    <w:right w:val="single" w:color="auto" w:sz="4" w:space="0"/>
                  </w:tcBorders>
                  <w:shd w:val="clear" w:color="auto" w:fill="auto"/>
                  <w:vAlign w:val="center"/>
                </w:tcPr>
                <w:p>
                  <w:pPr>
                    <w:jc w:val="center"/>
                    <w:rPr>
                      <w:rFonts w:hint="eastAsia"/>
                      <w:sz w:val="20"/>
                    </w:rPr>
                  </w:pPr>
                  <w:r>
                    <w:rPr>
                      <w:rFonts w:hint="eastAsia"/>
                      <w:sz w:val="20"/>
                    </w:rPr>
                    <w:t>2.61</w:t>
                  </w:r>
                </w:p>
              </w:tc>
              <w:tc>
                <w:tcPr>
                  <w:tcW w:w="796" w:type="pct"/>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kern w:val="0"/>
                      <w:sz w:val="20"/>
                    </w:rPr>
                  </w:pPr>
                  <w:r>
                    <w:rPr>
                      <w:rFonts w:hint="eastAsia"/>
                      <w:color w:val="000000"/>
                      <w:kern w:val="0"/>
                      <w:sz w:val="20"/>
                    </w:rPr>
                    <w:t>0.019</w:t>
                  </w:r>
                </w:p>
              </w:tc>
              <w:tc>
                <w:tcPr>
                  <w:tcW w:w="796" w:type="pct"/>
                  <w:vMerge w:val="continue"/>
                  <w:tcBorders>
                    <w:left w:val="single" w:color="auto" w:sz="4" w:space="0"/>
                    <w:bottom w:val="single" w:color="auto" w:sz="4" w:space="0"/>
                    <w:right w:val="single" w:color="auto" w:sz="4" w:space="0"/>
                  </w:tcBorders>
                  <w:shd w:val="clear" w:color="auto" w:fill="auto"/>
                  <w:vAlign w:val="center"/>
                </w:tcPr>
                <w:p>
                  <w:pPr>
                    <w:widowControl/>
                    <w:jc w:val="center"/>
                    <w:rPr>
                      <w:color w:val="000000"/>
                      <w:kern w:val="0"/>
                      <w:sz w:val="20"/>
                    </w:rPr>
                  </w:pPr>
                </w:p>
              </w:tc>
            </w:tr>
            <w:tr>
              <w:trPr>
                <w:trHeight w:val="454" w:hRule="atLeast"/>
                <w:jc w:val="center"/>
              </w:trPr>
              <w:tc>
                <w:tcPr>
                  <w:tcW w:w="669" w:type="pct"/>
                  <w:vMerge w:val="restart"/>
                  <w:tcBorders>
                    <w:top w:val="single" w:color="auto" w:sz="4" w:space="0"/>
                    <w:left w:val="single" w:color="auto" w:sz="4" w:space="0"/>
                    <w:bottom w:val="single" w:color="auto" w:sz="4" w:space="0"/>
                    <w:right w:val="single" w:color="auto" w:sz="4" w:space="0"/>
                  </w:tcBorders>
                  <w:vAlign w:val="center"/>
                </w:tcPr>
                <w:p>
                  <w:pPr>
                    <w:jc w:val="center"/>
                    <w:rPr>
                      <w:kern w:val="0"/>
                      <w:sz w:val="20"/>
                      <w:szCs w:val="21"/>
                    </w:rPr>
                  </w:pPr>
                  <w:r>
                    <w:rPr>
                      <w:rFonts w:hint="eastAsia"/>
                      <w:kern w:val="0"/>
                      <w:sz w:val="20"/>
                      <w:szCs w:val="21"/>
                    </w:rPr>
                    <w:t>抛丸粉尘处理设施DA001废气出口</w:t>
                  </w:r>
                </w:p>
              </w:tc>
              <w:tc>
                <w:tcPr>
                  <w:tcW w:w="672" w:type="pct"/>
                  <w:vMerge w:val="restart"/>
                  <w:tcBorders>
                    <w:left w:val="single" w:color="auto" w:sz="4" w:space="0"/>
                    <w:bottom w:val="single" w:color="auto" w:sz="4" w:space="0"/>
                    <w:right w:val="single" w:color="auto" w:sz="4" w:space="0"/>
                  </w:tcBorders>
                  <w:vAlign w:val="center"/>
                </w:tcPr>
                <w:p>
                  <w:pPr>
                    <w:widowControl/>
                    <w:jc w:val="center"/>
                    <w:rPr>
                      <w:color w:val="000000"/>
                      <w:kern w:val="0"/>
                      <w:sz w:val="20"/>
                    </w:rPr>
                  </w:pPr>
                  <w:r>
                    <w:rPr>
                      <w:rFonts w:hint="eastAsia"/>
                      <w:color w:val="000000"/>
                      <w:kern w:val="0"/>
                      <w:sz w:val="20"/>
                    </w:rPr>
                    <w:t>颗粒物</w:t>
                  </w:r>
                </w:p>
              </w:tc>
              <w:tc>
                <w:tcPr>
                  <w:tcW w:w="672" w:type="pct"/>
                  <w:vMerge w:val="restart"/>
                  <w:tcBorders>
                    <w:top w:val="single" w:color="auto" w:sz="4" w:space="0"/>
                    <w:left w:val="nil"/>
                    <w:right w:val="single" w:color="auto" w:sz="4" w:space="0"/>
                  </w:tcBorders>
                  <w:shd w:val="clear" w:color="auto" w:fill="auto"/>
                  <w:vAlign w:val="center"/>
                </w:tcPr>
                <w:p>
                  <w:pPr>
                    <w:widowControl/>
                    <w:jc w:val="center"/>
                    <w:rPr>
                      <w:color w:val="000000"/>
                      <w:kern w:val="0"/>
                      <w:sz w:val="20"/>
                    </w:rPr>
                  </w:pPr>
                  <w:r>
                    <w:rPr>
                      <w:rFonts w:hint="eastAsia"/>
                      <w:color w:val="000000"/>
                      <w:kern w:val="0"/>
                      <w:sz w:val="20"/>
                    </w:rPr>
                    <w:t>2022/11/16</w:t>
                  </w:r>
                </w:p>
              </w:tc>
              <w:tc>
                <w:tcPr>
                  <w:tcW w:w="597" w:type="pct"/>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sz w:val="20"/>
                    </w:rPr>
                  </w:pPr>
                  <w:r>
                    <w:rPr>
                      <w:rFonts w:hint="eastAsia"/>
                      <w:color w:val="000000"/>
                      <w:sz w:val="20"/>
                    </w:rPr>
                    <w:t>第一次</w:t>
                  </w:r>
                </w:p>
              </w:tc>
              <w:tc>
                <w:tcPr>
                  <w:tcW w:w="795" w:type="pct"/>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kern w:val="0"/>
                      <w:sz w:val="20"/>
                    </w:rPr>
                  </w:pPr>
                  <w:r>
                    <w:rPr>
                      <w:color w:val="000000"/>
                      <w:sz w:val="20"/>
                    </w:rPr>
                    <w:t xml:space="preserve">5.1 </w:t>
                  </w:r>
                </w:p>
              </w:tc>
              <w:tc>
                <w:tcPr>
                  <w:tcW w:w="796" w:type="pct"/>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kern w:val="0"/>
                      <w:sz w:val="20"/>
                    </w:rPr>
                  </w:pPr>
                  <w:r>
                    <w:rPr>
                      <w:rFonts w:hint="eastAsia"/>
                      <w:color w:val="000000"/>
                      <w:kern w:val="0"/>
                      <w:sz w:val="20"/>
                    </w:rPr>
                    <w:t>0.074</w:t>
                  </w:r>
                </w:p>
              </w:tc>
              <w:tc>
                <w:tcPr>
                  <w:tcW w:w="796" w:type="pct"/>
                  <w:vMerge w:val="continue"/>
                  <w:tcBorders>
                    <w:left w:val="single" w:color="auto" w:sz="4" w:space="0"/>
                    <w:bottom w:val="single" w:color="auto" w:sz="4" w:space="0"/>
                    <w:right w:val="single" w:color="auto" w:sz="4" w:space="0"/>
                  </w:tcBorders>
                  <w:shd w:val="clear" w:color="auto" w:fill="auto"/>
                  <w:vAlign w:val="center"/>
                </w:tcPr>
                <w:p>
                  <w:pPr>
                    <w:widowControl/>
                    <w:jc w:val="center"/>
                    <w:rPr>
                      <w:color w:val="000000"/>
                      <w:kern w:val="0"/>
                      <w:sz w:val="20"/>
                    </w:rPr>
                  </w:pPr>
                </w:p>
              </w:tc>
            </w:tr>
            <w:tr>
              <w:trPr>
                <w:trHeight w:val="454" w:hRule="atLeast"/>
                <w:jc w:val="center"/>
              </w:trPr>
              <w:tc>
                <w:tcPr>
                  <w:tcW w:w="669"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 w:val="20"/>
                    </w:rPr>
                  </w:pPr>
                </w:p>
              </w:tc>
              <w:tc>
                <w:tcPr>
                  <w:tcW w:w="672" w:type="pct"/>
                  <w:vMerge w:val="continue"/>
                  <w:tcBorders>
                    <w:left w:val="single" w:color="auto" w:sz="4" w:space="0"/>
                    <w:bottom w:val="single" w:color="auto" w:sz="4" w:space="0"/>
                    <w:right w:val="single" w:color="auto" w:sz="4" w:space="0"/>
                  </w:tcBorders>
                  <w:vAlign w:val="center"/>
                </w:tcPr>
                <w:p>
                  <w:pPr>
                    <w:widowControl/>
                    <w:jc w:val="center"/>
                    <w:rPr>
                      <w:color w:val="000000"/>
                      <w:kern w:val="0"/>
                      <w:sz w:val="20"/>
                    </w:rPr>
                  </w:pPr>
                </w:p>
              </w:tc>
              <w:tc>
                <w:tcPr>
                  <w:tcW w:w="672" w:type="pct"/>
                  <w:vMerge w:val="continue"/>
                  <w:tcBorders>
                    <w:left w:val="nil"/>
                    <w:right w:val="single" w:color="auto" w:sz="4" w:space="0"/>
                  </w:tcBorders>
                  <w:shd w:val="clear" w:color="auto" w:fill="auto"/>
                  <w:vAlign w:val="center"/>
                </w:tcPr>
                <w:p>
                  <w:pPr>
                    <w:widowControl/>
                    <w:jc w:val="center"/>
                    <w:rPr>
                      <w:color w:val="000000"/>
                      <w:kern w:val="0"/>
                      <w:sz w:val="20"/>
                    </w:rPr>
                  </w:pPr>
                </w:p>
              </w:tc>
              <w:tc>
                <w:tcPr>
                  <w:tcW w:w="597" w:type="pct"/>
                  <w:tcBorders>
                    <w:top w:val="single" w:color="auto" w:sz="4" w:space="0"/>
                    <w:left w:val="nil"/>
                    <w:bottom w:val="single" w:color="auto" w:sz="4" w:space="0"/>
                    <w:right w:val="single" w:color="auto" w:sz="4" w:space="0"/>
                  </w:tcBorders>
                  <w:shd w:val="clear" w:color="auto" w:fill="auto"/>
                  <w:vAlign w:val="center"/>
                </w:tcPr>
                <w:p>
                  <w:pPr>
                    <w:jc w:val="center"/>
                    <w:rPr>
                      <w:color w:val="000000"/>
                      <w:sz w:val="20"/>
                    </w:rPr>
                  </w:pPr>
                  <w:r>
                    <w:rPr>
                      <w:rFonts w:hint="eastAsia"/>
                      <w:color w:val="000000"/>
                      <w:sz w:val="20"/>
                    </w:rPr>
                    <w:t>第二次</w:t>
                  </w:r>
                </w:p>
              </w:tc>
              <w:tc>
                <w:tcPr>
                  <w:tcW w:w="795" w:type="pct"/>
                  <w:tcBorders>
                    <w:top w:val="single" w:color="auto" w:sz="4" w:space="0"/>
                    <w:left w:val="nil"/>
                    <w:bottom w:val="single" w:color="auto" w:sz="4" w:space="0"/>
                    <w:right w:val="single" w:color="auto" w:sz="4" w:space="0"/>
                  </w:tcBorders>
                  <w:shd w:val="clear" w:color="auto" w:fill="auto"/>
                  <w:vAlign w:val="center"/>
                </w:tcPr>
                <w:p>
                  <w:pPr>
                    <w:jc w:val="center"/>
                    <w:rPr>
                      <w:color w:val="000000"/>
                      <w:sz w:val="20"/>
                    </w:rPr>
                  </w:pPr>
                  <w:r>
                    <w:rPr>
                      <w:color w:val="000000"/>
                      <w:sz w:val="20"/>
                    </w:rPr>
                    <w:t xml:space="preserve">9.4 </w:t>
                  </w:r>
                </w:p>
              </w:tc>
              <w:tc>
                <w:tcPr>
                  <w:tcW w:w="796" w:type="pct"/>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kern w:val="0"/>
                      <w:sz w:val="20"/>
                    </w:rPr>
                  </w:pPr>
                  <w:r>
                    <w:rPr>
                      <w:rFonts w:hint="eastAsia"/>
                      <w:color w:val="000000"/>
                      <w:kern w:val="0"/>
                      <w:sz w:val="20"/>
                    </w:rPr>
                    <w:t>0.14</w:t>
                  </w:r>
                </w:p>
              </w:tc>
              <w:tc>
                <w:tcPr>
                  <w:tcW w:w="796" w:type="pct"/>
                  <w:vMerge w:val="continue"/>
                  <w:tcBorders>
                    <w:left w:val="single" w:color="auto" w:sz="4" w:space="0"/>
                    <w:bottom w:val="single" w:color="auto" w:sz="4" w:space="0"/>
                    <w:right w:val="single" w:color="auto" w:sz="4" w:space="0"/>
                  </w:tcBorders>
                  <w:shd w:val="clear" w:color="auto" w:fill="auto"/>
                  <w:vAlign w:val="center"/>
                </w:tcPr>
                <w:p>
                  <w:pPr>
                    <w:widowControl/>
                    <w:jc w:val="center"/>
                    <w:rPr>
                      <w:color w:val="000000"/>
                      <w:kern w:val="0"/>
                      <w:sz w:val="20"/>
                    </w:rPr>
                  </w:pPr>
                </w:p>
              </w:tc>
            </w:tr>
            <w:tr>
              <w:trPr>
                <w:trHeight w:val="454" w:hRule="atLeast"/>
                <w:jc w:val="center"/>
              </w:trPr>
              <w:tc>
                <w:tcPr>
                  <w:tcW w:w="669"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color w:val="000000"/>
                      <w:kern w:val="0"/>
                      <w:sz w:val="20"/>
                    </w:rPr>
                  </w:pPr>
                </w:p>
              </w:tc>
              <w:tc>
                <w:tcPr>
                  <w:tcW w:w="672" w:type="pct"/>
                  <w:vMerge w:val="continue"/>
                  <w:tcBorders>
                    <w:left w:val="single" w:color="auto" w:sz="4" w:space="0"/>
                    <w:bottom w:val="single" w:color="auto" w:sz="4" w:space="0"/>
                    <w:right w:val="single" w:color="auto" w:sz="4" w:space="0"/>
                  </w:tcBorders>
                  <w:vAlign w:val="center"/>
                </w:tcPr>
                <w:p>
                  <w:pPr>
                    <w:widowControl/>
                    <w:jc w:val="center"/>
                    <w:rPr>
                      <w:color w:val="000000"/>
                      <w:kern w:val="0"/>
                      <w:sz w:val="20"/>
                    </w:rPr>
                  </w:pPr>
                </w:p>
              </w:tc>
              <w:tc>
                <w:tcPr>
                  <w:tcW w:w="672" w:type="pct"/>
                  <w:vMerge w:val="continue"/>
                  <w:tcBorders>
                    <w:left w:val="nil"/>
                    <w:right w:val="single" w:color="auto" w:sz="4" w:space="0"/>
                  </w:tcBorders>
                  <w:shd w:val="clear" w:color="auto" w:fill="auto"/>
                  <w:vAlign w:val="center"/>
                </w:tcPr>
                <w:p>
                  <w:pPr>
                    <w:widowControl/>
                    <w:jc w:val="center"/>
                    <w:rPr>
                      <w:color w:val="000000"/>
                      <w:kern w:val="0"/>
                      <w:sz w:val="20"/>
                    </w:rPr>
                  </w:pPr>
                </w:p>
              </w:tc>
              <w:tc>
                <w:tcPr>
                  <w:tcW w:w="597" w:type="pct"/>
                  <w:tcBorders>
                    <w:top w:val="single" w:color="auto" w:sz="4" w:space="0"/>
                    <w:left w:val="nil"/>
                    <w:bottom w:val="single" w:color="auto" w:sz="4" w:space="0"/>
                    <w:right w:val="single" w:color="auto" w:sz="4" w:space="0"/>
                  </w:tcBorders>
                  <w:shd w:val="clear" w:color="auto" w:fill="auto"/>
                  <w:vAlign w:val="center"/>
                </w:tcPr>
                <w:p>
                  <w:pPr>
                    <w:jc w:val="center"/>
                    <w:rPr>
                      <w:color w:val="000000"/>
                      <w:sz w:val="20"/>
                    </w:rPr>
                  </w:pPr>
                  <w:r>
                    <w:rPr>
                      <w:rFonts w:hint="eastAsia"/>
                      <w:color w:val="000000"/>
                      <w:sz w:val="20"/>
                    </w:rPr>
                    <w:t>第三次</w:t>
                  </w:r>
                </w:p>
              </w:tc>
              <w:tc>
                <w:tcPr>
                  <w:tcW w:w="795" w:type="pct"/>
                  <w:tcBorders>
                    <w:top w:val="single" w:color="auto" w:sz="4" w:space="0"/>
                    <w:left w:val="nil"/>
                    <w:bottom w:val="single" w:color="auto" w:sz="4" w:space="0"/>
                    <w:right w:val="single" w:color="auto" w:sz="4" w:space="0"/>
                  </w:tcBorders>
                  <w:shd w:val="clear" w:color="auto" w:fill="auto"/>
                  <w:vAlign w:val="center"/>
                </w:tcPr>
                <w:p>
                  <w:pPr>
                    <w:jc w:val="center"/>
                    <w:rPr>
                      <w:color w:val="000000"/>
                      <w:sz w:val="20"/>
                    </w:rPr>
                  </w:pPr>
                  <w:r>
                    <w:rPr>
                      <w:color w:val="000000"/>
                      <w:sz w:val="20"/>
                    </w:rPr>
                    <w:t xml:space="preserve">6.9 </w:t>
                  </w:r>
                </w:p>
              </w:tc>
              <w:tc>
                <w:tcPr>
                  <w:tcW w:w="796" w:type="pct"/>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kern w:val="0"/>
                      <w:sz w:val="20"/>
                    </w:rPr>
                  </w:pPr>
                  <w:r>
                    <w:rPr>
                      <w:rFonts w:hint="eastAsia"/>
                      <w:color w:val="000000"/>
                      <w:kern w:val="0"/>
                      <w:sz w:val="20"/>
                    </w:rPr>
                    <w:t>0.098</w:t>
                  </w:r>
                </w:p>
              </w:tc>
              <w:tc>
                <w:tcPr>
                  <w:tcW w:w="796" w:type="pct"/>
                  <w:vMerge w:val="continue"/>
                  <w:tcBorders>
                    <w:left w:val="single" w:color="auto" w:sz="4" w:space="0"/>
                    <w:bottom w:val="single" w:color="auto" w:sz="4" w:space="0"/>
                    <w:right w:val="single" w:color="auto" w:sz="4" w:space="0"/>
                  </w:tcBorders>
                  <w:shd w:val="clear" w:color="auto" w:fill="auto"/>
                  <w:vAlign w:val="center"/>
                </w:tcPr>
                <w:p>
                  <w:pPr>
                    <w:widowControl/>
                    <w:jc w:val="center"/>
                    <w:rPr>
                      <w:color w:val="000000"/>
                      <w:kern w:val="0"/>
                      <w:sz w:val="20"/>
                    </w:rPr>
                  </w:pPr>
                </w:p>
              </w:tc>
            </w:tr>
            <w:tr>
              <w:trPr>
                <w:trHeight w:val="454" w:hRule="atLeast"/>
                <w:jc w:val="center"/>
              </w:trPr>
              <w:tc>
                <w:tcPr>
                  <w:tcW w:w="669" w:type="pct"/>
                  <w:vMerge w:val="restart"/>
                  <w:tcBorders>
                    <w:left w:val="single" w:color="auto" w:sz="4" w:space="0"/>
                    <w:right w:val="single" w:color="auto" w:sz="4" w:space="0"/>
                  </w:tcBorders>
                  <w:vAlign w:val="center"/>
                </w:tcPr>
                <w:p>
                  <w:pPr>
                    <w:widowControl/>
                    <w:jc w:val="center"/>
                    <w:rPr>
                      <w:color w:val="000000"/>
                      <w:kern w:val="0"/>
                      <w:sz w:val="20"/>
                    </w:rPr>
                  </w:pPr>
                  <w:r>
                    <w:rPr>
                      <w:rFonts w:hint="eastAsia"/>
                      <w:color w:val="000000"/>
                      <w:kern w:val="0"/>
                      <w:sz w:val="20"/>
                    </w:rPr>
                    <w:t>喷塑粉尘处理设施DA002废气出口</w:t>
                  </w:r>
                </w:p>
              </w:tc>
              <w:tc>
                <w:tcPr>
                  <w:tcW w:w="672" w:type="pct"/>
                  <w:vMerge w:val="restart"/>
                  <w:tcBorders>
                    <w:left w:val="single" w:color="auto" w:sz="4" w:space="0"/>
                    <w:right w:val="single" w:color="auto" w:sz="4" w:space="0"/>
                  </w:tcBorders>
                  <w:vAlign w:val="center"/>
                </w:tcPr>
                <w:p>
                  <w:pPr>
                    <w:widowControl/>
                    <w:jc w:val="center"/>
                    <w:rPr>
                      <w:color w:val="000000"/>
                      <w:kern w:val="0"/>
                      <w:sz w:val="20"/>
                    </w:rPr>
                  </w:pPr>
                  <w:r>
                    <w:rPr>
                      <w:rFonts w:hint="eastAsia"/>
                      <w:color w:val="000000"/>
                      <w:kern w:val="0"/>
                      <w:sz w:val="20"/>
                    </w:rPr>
                    <w:t>颗粒物</w:t>
                  </w:r>
                </w:p>
              </w:tc>
              <w:tc>
                <w:tcPr>
                  <w:tcW w:w="672" w:type="pct"/>
                  <w:vMerge w:val="continue"/>
                  <w:tcBorders>
                    <w:left w:val="nil"/>
                    <w:right w:val="single" w:color="auto" w:sz="4" w:space="0"/>
                  </w:tcBorders>
                  <w:shd w:val="clear" w:color="auto" w:fill="auto"/>
                  <w:vAlign w:val="center"/>
                </w:tcPr>
                <w:p>
                  <w:pPr>
                    <w:widowControl/>
                    <w:jc w:val="center"/>
                    <w:rPr>
                      <w:color w:val="000000"/>
                      <w:kern w:val="0"/>
                      <w:sz w:val="20"/>
                    </w:rPr>
                  </w:pPr>
                </w:p>
              </w:tc>
              <w:tc>
                <w:tcPr>
                  <w:tcW w:w="597" w:type="pct"/>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sz w:val="20"/>
                    </w:rPr>
                  </w:pPr>
                  <w:r>
                    <w:rPr>
                      <w:rFonts w:hint="eastAsia"/>
                      <w:color w:val="000000"/>
                      <w:sz w:val="20"/>
                    </w:rPr>
                    <w:t>第一次</w:t>
                  </w:r>
                </w:p>
              </w:tc>
              <w:tc>
                <w:tcPr>
                  <w:tcW w:w="795" w:type="pct"/>
                  <w:tcBorders>
                    <w:top w:val="single" w:color="auto" w:sz="4" w:space="0"/>
                    <w:left w:val="nil"/>
                    <w:bottom w:val="single" w:color="auto" w:sz="4" w:space="0"/>
                    <w:right w:val="single" w:color="auto" w:sz="4" w:space="0"/>
                  </w:tcBorders>
                  <w:shd w:val="clear" w:color="auto" w:fill="auto"/>
                  <w:vAlign w:val="center"/>
                </w:tcPr>
                <w:p>
                  <w:pPr>
                    <w:jc w:val="center"/>
                    <w:rPr>
                      <w:color w:val="000000"/>
                      <w:sz w:val="20"/>
                    </w:rPr>
                  </w:pPr>
                  <w:r>
                    <w:rPr>
                      <w:color w:val="000000"/>
                      <w:sz w:val="20"/>
                    </w:rPr>
                    <w:t xml:space="preserve">7.8 </w:t>
                  </w:r>
                </w:p>
              </w:tc>
              <w:tc>
                <w:tcPr>
                  <w:tcW w:w="796" w:type="pct"/>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kern w:val="0"/>
                      <w:sz w:val="20"/>
                    </w:rPr>
                  </w:pPr>
                  <w:r>
                    <w:rPr>
                      <w:rFonts w:hint="eastAsia"/>
                      <w:color w:val="000000"/>
                      <w:kern w:val="0"/>
                      <w:sz w:val="20"/>
                    </w:rPr>
                    <w:t>0.052</w:t>
                  </w:r>
                </w:p>
              </w:tc>
              <w:tc>
                <w:tcPr>
                  <w:tcW w:w="796" w:type="pct"/>
                  <w:vMerge w:val="continue"/>
                  <w:tcBorders>
                    <w:left w:val="single" w:color="auto" w:sz="4" w:space="0"/>
                    <w:bottom w:val="single" w:color="auto" w:sz="4" w:space="0"/>
                    <w:right w:val="single" w:color="auto" w:sz="4" w:space="0"/>
                  </w:tcBorders>
                  <w:shd w:val="clear" w:color="auto" w:fill="auto"/>
                  <w:vAlign w:val="center"/>
                </w:tcPr>
                <w:p>
                  <w:pPr>
                    <w:widowControl/>
                    <w:jc w:val="center"/>
                    <w:rPr>
                      <w:color w:val="000000"/>
                      <w:kern w:val="0"/>
                      <w:sz w:val="20"/>
                    </w:rPr>
                  </w:pPr>
                </w:p>
              </w:tc>
            </w:tr>
            <w:tr>
              <w:trPr>
                <w:trHeight w:val="454" w:hRule="atLeast"/>
                <w:jc w:val="center"/>
              </w:trPr>
              <w:tc>
                <w:tcPr>
                  <w:tcW w:w="669" w:type="pct"/>
                  <w:vMerge w:val="continue"/>
                  <w:tcBorders>
                    <w:left w:val="single" w:color="auto" w:sz="4" w:space="0"/>
                    <w:right w:val="single" w:color="auto" w:sz="4" w:space="0"/>
                  </w:tcBorders>
                  <w:vAlign w:val="center"/>
                </w:tcPr>
                <w:p>
                  <w:pPr>
                    <w:widowControl/>
                    <w:jc w:val="center"/>
                    <w:rPr>
                      <w:color w:val="000000"/>
                      <w:kern w:val="0"/>
                      <w:sz w:val="20"/>
                    </w:rPr>
                  </w:pPr>
                </w:p>
              </w:tc>
              <w:tc>
                <w:tcPr>
                  <w:tcW w:w="672" w:type="pct"/>
                  <w:vMerge w:val="continue"/>
                  <w:tcBorders>
                    <w:left w:val="single" w:color="auto" w:sz="4" w:space="0"/>
                    <w:right w:val="single" w:color="auto" w:sz="4" w:space="0"/>
                  </w:tcBorders>
                  <w:vAlign w:val="center"/>
                </w:tcPr>
                <w:p>
                  <w:pPr>
                    <w:widowControl/>
                    <w:jc w:val="center"/>
                    <w:rPr>
                      <w:color w:val="000000"/>
                      <w:kern w:val="0"/>
                      <w:sz w:val="20"/>
                    </w:rPr>
                  </w:pPr>
                </w:p>
              </w:tc>
              <w:tc>
                <w:tcPr>
                  <w:tcW w:w="672" w:type="pct"/>
                  <w:vMerge w:val="continue"/>
                  <w:tcBorders>
                    <w:left w:val="nil"/>
                    <w:right w:val="single" w:color="auto" w:sz="4" w:space="0"/>
                  </w:tcBorders>
                  <w:shd w:val="clear" w:color="auto" w:fill="auto"/>
                  <w:vAlign w:val="center"/>
                </w:tcPr>
                <w:p>
                  <w:pPr>
                    <w:widowControl/>
                    <w:jc w:val="center"/>
                    <w:rPr>
                      <w:color w:val="000000"/>
                      <w:kern w:val="0"/>
                      <w:sz w:val="20"/>
                    </w:rPr>
                  </w:pPr>
                </w:p>
              </w:tc>
              <w:tc>
                <w:tcPr>
                  <w:tcW w:w="597" w:type="pct"/>
                  <w:tcBorders>
                    <w:top w:val="single" w:color="auto" w:sz="4" w:space="0"/>
                    <w:left w:val="nil"/>
                    <w:bottom w:val="single" w:color="auto" w:sz="4" w:space="0"/>
                    <w:right w:val="single" w:color="auto" w:sz="4" w:space="0"/>
                  </w:tcBorders>
                  <w:shd w:val="clear" w:color="auto" w:fill="auto"/>
                  <w:vAlign w:val="center"/>
                </w:tcPr>
                <w:p>
                  <w:pPr>
                    <w:jc w:val="center"/>
                    <w:rPr>
                      <w:color w:val="000000"/>
                      <w:sz w:val="20"/>
                    </w:rPr>
                  </w:pPr>
                  <w:r>
                    <w:rPr>
                      <w:rFonts w:hint="eastAsia"/>
                      <w:color w:val="000000"/>
                      <w:sz w:val="20"/>
                    </w:rPr>
                    <w:t>第二次</w:t>
                  </w:r>
                </w:p>
              </w:tc>
              <w:tc>
                <w:tcPr>
                  <w:tcW w:w="795" w:type="pct"/>
                  <w:tcBorders>
                    <w:top w:val="single" w:color="auto" w:sz="4" w:space="0"/>
                    <w:left w:val="nil"/>
                    <w:bottom w:val="single" w:color="auto" w:sz="4" w:space="0"/>
                    <w:right w:val="single" w:color="auto" w:sz="4" w:space="0"/>
                  </w:tcBorders>
                  <w:shd w:val="clear" w:color="auto" w:fill="auto"/>
                  <w:vAlign w:val="center"/>
                </w:tcPr>
                <w:p>
                  <w:pPr>
                    <w:jc w:val="center"/>
                    <w:rPr>
                      <w:color w:val="000000"/>
                      <w:sz w:val="20"/>
                    </w:rPr>
                  </w:pPr>
                  <w:r>
                    <w:rPr>
                      <w:color w:val="000000"/>
                      <w:sz w:val="20"/>
                    </w:rPr>
                    <w:t xml:space="preserve">5.4 </w:t>
                  </w:r>
                </w:p>
              </w:tc>
              <w:tc>
                <w:tcPr>
                  <w:tcW w:w="796" w:type="pct"/>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kern w:val="0"/>
                      <w:sz w:val="20"/>
                    </w:rPr>
                  </w:pPr>
                  <w:r>
                    <w:rPr>
                      <w:rFonts w:hint="eastAsia"/>
                      <w:color w:val="000000"/>
                      <w:kern w:val="0"/>
                      <w:sz w:val="20"/>
                    </w:rPr>
                    <w:t>0.036</w:t>
                  </w:r>
                </w:p>
              </w:tc>
              <w:tc>
                <w:tcPr>
                  <w:tcW w:w="796" w:type="pct"/>
                  <w:vMerge w:val="continue"/>
                  <w:tcBorders>
                    <w:left w:val="single" w:color="auto" w:sz="4" w:space="0"/>
                    <w:bottom w:val="single" w:color="auto" w:sz="4" w:space="0"/>
                    <w:right w:val="single" w:color="auto" w:sz="4" w:space="0"/>
                  </w:tcBorders>
                  <w:shd w:val="clear" w:color="auto" w:fill="auto"/>
                  <w:vAlign w:val="center"/>
                </w:tcPr>
                <w:p>
                  <w:pPr>
                    <w:widowControl/>
                    <w:jc w:val="center"/>
                    <w:rPr>
                      <w:color w:val="000000"/>
                      <w:kern w:val="0"/>
                      <w:sz w:val="20"/>
                    </w:rPr>
                  </w:pPr>
                </w:p>
              </w:tc>
            </w:tr>
            <w:tr>
              <w:trPr>
                <w:trHeight w:val="454" w:hRule="atLeast"/>
                <w:jc w:val="center"/>
              </w:trPr>
              <w:tc>
                <w:tcPr>
                  <w:tcW w:w="669" w:type="pct"/>
                  <w:vMerge w:val="continue"/>
                  <w:tcBorders>
                    <w:left w:val="single" w:color="auto" w:sz="4" w:space="0"/>
                    <w:bottom w:val="single" w:color="auto" w:sz="4" w:space="0"/>
                    <w:right w:val="single" w:color="auto" w:sz="4" w:space="0"/>
                  </w:tcBorders>
                  <w:vAlign w:val="center"/>
                </w:tcPr>
                <w:p>
                  <w:pPr>
                    <w:widowControl/>
                    <w:jc w:val="center"/>
                    <w:rPr>
                      <w:color w:val="000000"/>
                      <w:kern w:val="0"/>
                      <w:sz w:val="20"/>
                    </w:rPr>
                  </w:pPr>
                </w:p>
              </w:tc>
              <w:tc>
                <w:tcPr>
                  <w:tcW w:w="672" w:type="pct"/>
                  <w:vMerge w:val="continue"/>
                  <w:tcBorders>
                    <w:left w:val="single" w:color="auto" w:sz="4" w:space="0"/>
                    <w:bottom w:val="single" w:color="auto" w:sz="4" w:space="0"/>
                    <w:right w:val="single" w:color="auto" w:sz="4" w:space="0"/>
                  </w:tcBorders>
                  <w:vAlign w:val="center"/>
                </w:tcPr>
                <w:p>
                  <w:pPr>
                    <w:widowControl/>
                    <w:jc w:val="center"/>
                    <w:rPr>
                      <w:color w:val="000000"/>
                      <w:kern w:val="0"/>
                      <w:sz w:val="20"/>
                    </w:rPr>
                  </w:pPr>
                </w:p>
              </w:tc>
              <w:tc>
                <w:tcPr>
                  <w:tcW w:w="672" w:type="pct"/>
                  <w:vMerge w:val="continue"/>
                  <w:tcBorders>
                    <w:left w:val="nil"/>
                    <w:bottom w:val="single" w:color="auto" w:sz="4" w:space="0"/>
                    <w:right w:val="single" w:color="auto" w:sz="4" w:space="0"/>
                  </w:tcBorders>
                  <w:shd w:val="clear" w:color="auto" w:fill="auto"/>
                  <w:vAlign w:val="center"/>
                </w:tcPr>
                <w:p>
                  <w:pPr>
                    <w:widowControl/>
                    <w:jc w:val="center"/>
                    <w:rPr>
                      <w:color w:val="000000"/>
                      <w:kern w:val="0"/>
                      <w:sz w:val="20"/>
                    </w:rPr>
                  </w:pPr>
                </w:p>
              </w:tc>
              <w:tc>
                <w:tcPr>
                  <w:tcW w:w="597" w:type="pct"/>
                  <w:tcBorders>
                    <w:top w:val="single" w:color="auto" w:sz="4" w:space="0"/>
                    <w:left w:val="nil"/>
                    <w:bottom w:val="single" w:color="auto" w:sz="4" w:space="0"/>
                    <w:right w:val="single" w:color="auto" w:sz="4" w:space="0"/>
                  </w:tcBorders>
                  <w:shd w:val="clear" w:color="auto" w:fill="auto"/>
                  <w:vAlign w:val="center"/>
                </w:tcPr>
                <w:p>
                  <w:pPr>
                    <w:jc w:val="center"/>
                    <w:rPr>
                      <w:color w:val="000000"/>
                      <w:sz w:val="20"/>
                    </w:rPr>
                  </w:pPr>
                  <w:r>
                    <w:rPr>
                      <w:rFonts w:hint="eastAsia"/>
                      <w:color w:val="000000"/>
                      <w:sz w:val="20"/>
                    </w:rPr>
                    <w:t>第三次</w:t>
                  </w:r>
                </w:p>
              </w:tc>
              <w:tc>
                <w:tcPr>
                  <w:tcW w:w="795" w:type="pct"/>
                  <w:tcBorders>
                    <w:top w:val="single" w:color="auto" w:sz="4" w:space="0"/>
                    <w:left w:val="nil"/>
                    <w:bottom w:val="single" w:color="auto" w:sz="4" w:space="0"/>
                    <w:right w:val="single" w:color="auto" w:sz="4" w:space="0"/>
                  </w:tcBorders>
                  <w:shd w:val="clear" w:color="auto" w:fill="auto"/>
                  <w:vAlign w:val="center"/>
                </w:tcPr>
                <w:p>
                  <w:pPr>
                    <w:jc w:val="center"/>
                    <w:rPr>
                      <w:color w:val="000000"/>
                      <w:sz w:val="20"/>
                    </w:rPr>
                  </w:pPr>
                  <w:r>
                    <w:rPr>
                      <w:color w:val="000000"/>
                      <w:sz w:val="20"/>
                    </w:rPr>
                    <w:t xml:space="preserve">9.2 </w:t>
                  </w:r>
                </w:p>
              </w:tc>
              <w:tc>
                <w:tcPr>
                  <w:tcW w:w="796" w:type="pct"/>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kern w:val="0"/>
                      <w:sz w:val="20"/>
                    </w:rPr>
                  </w:pPr>
                  <w:r>
                    <w:rPr>
                      <w:rFonts w:hint="eastAsia"/>
                      <w:color w:val="000000"/>
                      <w:kern w:val="0"/>
                      <w:sz w:val="20"/>
                    </w:rPr>
                    <w:t>0.061</w:t>
                  </w:r>
                </w:p>
              </w:tc>
              <w:tc>
                <w:tcPr>
                  <w:tcW w:w="796" w:type="pct"/>
                  <w:vMerge w:val="continue"/>
                  <w:tcBorders>
                    <w:left w:val="single" w:color="auto" w:sz="4" w:space="0"/>
                    <w:bottom w:val="single" w:color="auto" w:sz="4" w:space="0"/>
                    <w:right w:val="single" w:color="auto" w:sz="4" w:space="0"/>
                  </w:tcBorders>
                  <w:shd w:val="clear" w:color="auto" w:fill="auto"/>
                  <w:vAlign w:val="center"/>
                </w:tcPr>
                <w:p>
                  <w:pPr>
                    <w:widowControl/>
                    <w:jc w:val="center"/>
                    <w:rPr>
                      <w:color w:val="000000"/>
                      <w:kern w:val="0"/>
                      <w:sz w:val="20"/>
                    </w:rPr>
                  </w:pPr>
                </w:p>
              </w:tc>
            </w:tr>
            <w:tr>
              <w:trPr>
                <w:trHeight w:val="454" w:hRule="atLeast"/>
                <w:jc w:val="center"/>
              </w:trPr>
              <w:tc>
                <w:tcPr>
                  <w:tcW w:w="669" w:type="pct"/>
                  <w:vMerge w:val="restart"/>
                  <w:tcBorders>
                    <w:top w:val="single" w:color="auto" w:sz="4" w:space="0"/>
                    <w:left w:val="single" w:color="auto" w:sz="4" w:space="0"/>
                    <w:right w:val="single" w:color="auto" w:sz="4" w:space="0"/>
                  </w:tcBorders>
                  <w:vAlign w:val="center"/>
                </w:tcPr>
                <w:p>
                  <w:pPr>
                    <w:widowControl/>
                    <w:jc w:val="center"/>
                    <w:rPr>
                      <w:color w:val="000000"/>
                      <w:kern w:val="0"/>
                      <w:sz w:val="20"/>
                    </w:rPr>
                  </w:pPr>
                  <w:r>
                    <w:rPr>
                      <w:rFonts w:hint="eastAsia"/>
                      <w:color w:val="000000"/>
                      <w:kern w:val="0"/>
                      <w:sz w:val="20"/>
                    </w:rPr>
                    <w:t>固化废气处理设施DA003废气进口</w:t>
                  </w:r>
                </w:p>
              </w:tc>
              <w:tc>
                <w:tcPr>
                  <w:tcW w:w="672" w:type="pct"/>
                  <w:vMerge w:val="restart"/>
                  <w:tcBorders>
                    <w:top w:val="single" w:color="auto" w:sz="4" w:space="0"/>
                    <w:left w:val="single" w:color="auto" w:sz="4" w:space="0"/>
                    <w:right w:val="single" w:color="auto" w:sz="4" w:space="0"/>
                  </w:tcBorders>
                  <w:vAlign w:val="center"/>
                </w:tcPr>
                <w:p>
                  <w:pPr>
                    <w:jc w:val="center"/>
                    <w:rPr>
                      <w:color w:val="000000"/>
                      <w:kern w:val="0"/>
                      <w:sz w:val="20"/>
                    </w:rPr>
                  </w:pPr>
                  <w:r>
                    <w:rPr>
                      <w:rFonts w:hint="eastAsia"/>
                      <w:color w:val="000000"/>
                      <w:kern w:val="0"/>
                      <w:sz w:val="20"/>
                    </w:rPr>
                    <w:t>非甲烷</w:t>
                  </w:r>
                  <w:r>
                    <w:rPr>
                      <w:color w:val="000000"/>
                      <w:kern w:val="0"/>
                      <w:sz w:val="20"/>
                    </w:rPr>
                    <w:t>总烃</w:t>
                  </w:r>
                </w:p>
              </w:tc>
              <w:tc>
                <w:tcPr>
                  <w:tcW w:w="672" w:type="pct"/>
                  <w:vMerge w:val="continue"/>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kern w:val="0"/>
                      <w:sz w:val="20"/>
                    </w:rPr>
                  </w:pPr>
                </w:p>
              </w:tc>
              <w:tc>
                <w:tcPr>
                  <w:tcW w:w="597" w:type="pct"/>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sz w:val="20"/>
                    </w:rPr>
                  </w:pPr>
                  <w:r>
                    <w:rPr>
                      <w:rFonts w:hint="eastAsia"/>
                      <w:color w:val="000000"/>
                      <w:sz w:val="20"/>
                    </w:rPr>
                    <w:t>第一次</w:t>
                  </w:r>
                </w:p>
              </w:tc>
              <w:tc>
                <w:tcPr>
                  <w:tcW w:w="795" w:type="pct"/>
                  <w:tcBorders>
                    <w:top w:val="single" w:color="auto" w:sz="4" w:space="0"/>
                    <w:left w:val="nil"/>
                    <w:bottom w:val="single" w:color="auto" w:sz="4" w:space="0"/>
                    <w:right w:val="single" w:color="auto" w:sz="4" w:space="0"/>
                  </w:tcBorders>
                  <w:shd w:val="clear" w:color="auto" w:fill="auto"/>
                  <w:vAlign w:val="center"/>
                </w:tcPr>
                <w:p>
                  <w:pPr>
                    <w:widowControl/>
                    <w:jc w:val="center"/>
                    <w:rPr>
                      <w:kern w:val="0"/>
                      <w:sz w:val="20"/>
                    </w:rPr>
                  </w:pPr>
                  <w:r>
                    <w:rPr>
                      <w:rFonts w:hint="eastAsia"/>
                      <w:sz w:val="20"/>
                    </w:rPr>
                    <w:t xml:space="preserve">13.9 </w:t>
                  </w:r>
                </w:p>
              </w:tc>
              <w:tc>
                <w:tcPr>
                  <w:tcW w:w="796" w:type="pct"/>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kern w:val="0"/>
                      <w:sz w:val="20"/>
                    </w:rPr>
                  </w:pPr>
                  <w:r>
                    <w:rPr>
                      <w:rFonts w:hint="eastAsia"/>
                      <w:color w:val="000000"/>
                      <w:kern w:val="0"/>
                      <w:sz w:val="20"/>
                    </w:rPr>
                    <w:t>0.079</w:t>
                  </w:r>
                </w:p>
              </w:tc>
              <w:tc>
                <w:tcPr>
                  <w:tcW w:w="79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kern w:val="0"/>
                      <w:sz w:val="20"/>
                    </w:rPr>
                  </w:pPr>
                </w:p>
              </w:tc>
            </w:tr>
            <w:tr>
              <w:trPr>
                <w:trHeight w:val="454" w:hRule="atLeast"/>
                <w:jc w:val="center"/>
              </w:trPr>
              <w:tc>
                <w:tcPr>
                  <w:tcW w:w="669" w:type="pct"/>
                  <w:vMerge w:val="continue"/>
                  <w:tcBorders>
                    <w:left w:val="single" w:color="auto" w:sz="4" w:space="0"/>
                    <w:right w:val="single" w:color="auto" w:sz="4" w:space="0"/>
                  </w:tcBorders>
                  <w:vAlign w:val="center"/>
                </w:tcPr>
                <w:p>
                  <w:pPr>
                    <w:widowControl/>
                    <w:jc w:val="center"/>
                    <w:rPr>
                      <w:color w:val="000000"/>
                      <w:kern w:val="0"/>
                      <w:sz w:val="20"/>
                    </w:rPr>
                  </w:pPr>
                </w:p>
              </w:tc>
              <w:tc>
                <w:tcPr>
                  <w:tcW w:w="672" w:type="pct"/>
                  <w:vMerge w:val="continue"/>
                  <w:tcBorders>
                    <w:left w:val="single" w:color="auto" w:sz="4" w:space="0"/>
                    <w:right w:val="single" w:color="auto" w:sz="4" w:space="0"/>
                  </w:tcBorders>
                  <w:vAlign w:val="center"/>
                </w:tcPr>
                <w:p>
                  <w:pPr>
                    <w:jc w:val="center"/>
                    <w:rPr>
                      <w:color w:val="000000"/>
                      <w:kern w:val="0"/>
                      <w:sz w:val="20"/>
                    </w:rPr>
                  </w:pPr>
                </w:p>
              </w:tc>
              <w:tc>
                <w:tcPr>
                  <w:tcW w:w="672" w:type="pct"/>
                  <w:vMerge w:val="continue"/>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kern w:val="0"/>
                      <w:sz w:val="20"/>
                    </w:rPr>
                  </w:pPr>
                </w:p>
              </w:tc>
              <w:tc>
                <w:tcPr>
                  <w:tcW w:w="597" w:type="pct"/>
                  <w:tcBorders>
                    <w:top w:val="single" w:color="auto" w:sz="4" w:space="0"/>
                    <w:left w:val="nil"/>
                    <w:bottom w:val="single" w:color="auto" w:sz="4" w:space="0"/>
                    <w:right w:val="single" w:color="auto" w:sz="4" w:space="0"/>
                  </w:tcBorders>
                  <w:shd w:val="clear" w:color="auto" w:fill="auto"/>
                  <w:vAlign w:val="center"/>
                </w:tcPr>
                <w:p>
                  <w:pPr>
                    <w:jc w:val="center"/>
                    <w:rPr>
                      <w:color w:val="000000"/>
                      <w:sz w:val="20"/>
                    </w:rPr>
                  </w:pPr>
                  <w:r>
                    <w:rPr>
                      <w:rFonts w:hint="eastAsia"/>
                      <w:color w:val="000000"/>
                      <w:sz w:val="20"/>
                    </w:rPr>
                    <w:t>第二次</w:t>
                  </w:r>
                </w:p>
              </w:tc>
              <w:tc>
                <w:tcPr>
                  <w:tcW w:w="795" w:type="pct"/>
                  <w:tcBorders>
                    <w:top w:val="single" w:color="auto" w:sz="4" w:space="0"/>
                    <w:left w:val="nil"/>
                    <w:bottom w:val="single" w:color="auto" w:sz="4" w:space="0"/>
                    <w:right w:val="single" w:color="auto" w:sz="4" w:space="0"/>
                  </w:tcBorders>
                  <w:shd w:val="clear" w:color="auto" w:fill="auto"/>
                  <w:vAlign w:val="center"/>
                </w:tcPr>
                <w:p>
                  <w:pPr>
                    <w:jc w:val="center"/>
                    <w:rPr>
                      <w:rFonts w:hint="eastAsia"/>
                      <w:sz w:val="20"/>
                    </w:rPr>
                  </w:pPr>
                  <w:r>
                    <w:rPr>
                      <w:rFonts w:hint="eastAsia"/>
                      <w:sz w:val="20"/>
                    </w:rPr>
                    <w:t xml:space="preserve">13.3 </w:t>
                  </w:r>
                </w:p>
              </w:tc>
              <w:tc>
                <w:tcPr>
                  <w:tcW w:w="796" w:type="pct"/>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kern w:val="0"/>
                      <w:sz w:val="20"/>
                    </w:rPr>
                  </w:pPr>
                  <w:r>
                    <w:rPr>
                      <w:rFonts w:hint="eastAsia"/>
                      <w:color w:val="000000"/>
                      <w:kern w:val="0"/>
                      <w:sz w:val="20"/>
                    </w:rPr>
                    <w:t>0.076</w:t>
                  </w:r>
                </w:p>
              </w:tc>
              <w:tc>
                <w:tcPr>
                  <w:tcW w:w="79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kern w:val="0"/>
                      <w:sz w:val="20"/>
                    </w:rPr>
                  </w:pPr>
                </w:p>
              </w:tc>
            </w:tr>
            <w:tr>
              <w:trPr>
                <w:trHeight w:val="454" w:hRule="atLeast"/>
                <w:jc w:val="center"/>
              </w:trPr>
              <w:tc>
                <w:tcPr>
                  <w:tcW w:w="669" w:type="pct"/>
                  <w:vMerge w:val="continue"/>
                  <w:tcBorders>
                    <w:left w:val="single" w:color="auto" w:sz="4" w:space="0"/>
                    <w:bottom w:val="single" w:color="auto" w:sz="4" w:space="0"/>
                    <w:right w:val="single" w:color="auto" w:sz="4" w:space="0"/>
                  </w:tcBorders>
                  <w:vAlign w:val="center"/>
                </w:tcPr>
                <w:p>
                  <w:pPr>
                    <w:widowControl/>
                    <w:jc w:val="center"/>
                    <w:rPr>
                      <w:color w:val="000000"/>
                      <w:kern w:val="0"/>
                      <w:sz w:val="20"/>
                    </w:rPr>
                  </w:pPr>
                </w:p>
              </w:tc>
              <w:tc>
                <w:tcPr>
                  <w:tcW w:w="672" w:type="pct"/>
                  <w:vMerge w:val="continue"/>
                  <w:tcBorders>
                    <w:left w:val="single" w:color="auto" w:sz="4" w:space="0"/>
                    <w:right w:val="single" w:color="auto" w:sz="4" w:space="0"/>
                  </w:tcBorders>
                  <w:vAlign w:val="center"/>
                </w:tcPr>
                <w:p>
                  <w:pPr>
                    <w:jc w:val="center"/>
                    <w:rPr>
                      <w:color w:val="000000"/>
                      <w:kern w:val="0"/>
                      <w:sz w:val="20"/>
                    </w:rPr>
                  </w:pPr>
                </w:p>
              </w:tc>
              <w:tc>
                <w:tcPr>
                  <w:tcW w:w="672" w:type="pct"/>
                  <w:vMerge w:val="continue"/>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kern w:val="0"/>
                      <w:sz w:val="20"/>
                    </w:rPr>
                  </w:pPr>
                </w:p>
              </w:tc>
              <w:tc>
                <w:tcPr>
                  <w:tcW w:w="597" w:type="pct"/>
                  <w:tcBorders>
                    <w:top w:val="single" w:color="auto" w:sz="4" w:space="0"/>
                    <w:left w:val="nil"/>
                    <w:bottom w:val="single" w:color="auto" w:sz="4" w:space="0"/>
                    <w:right w:val="single" w:color="auto" w:sz="4" w:space="0"/>
                  </w:tcBorders>
                  <w:shd w:val="clear" w:color="auto" w:fill="auto"/>
                  <w:vAlign w:val="center"/>
                </w:tcPr>
                <w:p>
                  <w:pPr>
                    <w:jc w:val="center"/>
                    <w:rPr>
                      <w:color w:val="000000"/>
                      <w:sz w:val="20"/>
                    </w:rPr>
                  </w:pPr>
                  <w:r>
                    <w:rPr>
                      <w:rFonts w:hint="eastAsia"/>
                      <w:color w:val="000000"/>
                      <w:sz w:val="20"/>
                    </w:rPr>
                    <w:t>第三次</w:t>
                  </w:r>
                </w:p>
              </w:tc>
              <w:tc>
                <w:tcPr>
                  <w:tcW w:w="795" w:type="pct"/>
                  <w:tcBorders>
                    <w:top w:val="single" w:color="auto" w:sz="4" w:space="0"/>
                    <w:left w:val="nil"/>
                    <w:bottom w:val="single" w:color="auto" w:sz="4" w:space="0"/>
                    <w:right w:val="single" w:color="auto" w:sz="4" w:space="0"/>
                  </w:tcBorders>
                  <w:shd w:val="clear" w:color="auto" w:fill="auto"/>
                  <w:vAlign w:val="center"/>
                </w:tcPr>
                <w:p>
                  <w:pPr>
                    <w:jc w:val="center"/>
                    <w:rPr>
                      <w:rFonts w:hint="eastAsia"/>
                      <w:sz w:val="20"/>
                    </w:rPr>
                  </w:pPr>
                  <w:r>
                    <w:rPr>
                      <w:rFonts w:hint="eastAsia"/>
                      <w:sz w:val="20"/>
                    </w:rPr>
                    <w:t xml:space="preserve">12.3 </w:t>
                  </w:r>
                </w:p>
              </w:tc>
              <w:tc>
                <w:tcPr>
                  <w:tcW w:w="796" w:type="pct"/>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kern w:val="0"/>
                      <w:sz w:val="20"/>
                    </w:rPr>
                  </w:pPr>
                  <w:r>
                    <w:rPr>
                      <w:rFonts w:hint="eastAsia"/>
                      <w:color w:val="000000"/>
                      <w:kern w:val="0"/>
                      <w:sz w:val="20"/>
                    </w:rPr>
                    <w:t>0.071</w:t>
                  </w:r>
                </w:p>
              </w:tc>
              <w:tc>
                <w:tcPr>
                  <w:tcW w:w="79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kern w:val="0"/>
                      <w:sz w:val="20"/>
                    </w:rPr>
                  </w:pPr>
                </w:p>
              </w:tc>
            </w:tr>
            <w:tr>
              <w:trPr>
                <w:trHeight w:val="454" w:hRule="atLeast"/>
                <w:jc w:val="center"/>
              </w:trPr>
              <w:tc>
                <w:tcPr>
                  <w:tcW w:w="669" w:type="pct"/>
                  <w:vMerge w:val="restart"/>
                  <w:tcBorders>
                    <w:top w:val="single" w:color="auto" w:sz="4" w:space="0"/>
                    <w:left w:val="single" w:color="auto" w:sz="4" w:space="0"/>
                    <w:right w:val="single" w:color="auto" w:sz="4" w:space="0"/>
                  </w:tcBorders>
                  <w:vAlign w:val="center"/>
                </w:tcPr>
                <w:p>
                  <w:pPr>
                    <w:widowControl/>
                    <w:jc w:val="center"/>
                    <w:rPr>
                      <w:color w:val="000000"/>
                      <w:kern w:val="0"/>
                      <w:sz w:val="20"/>
                    </w:rPr>
                  </w:pPr>
                  <w:r>
                    <w:rPr>
                      <w:rFonts w:hint="eastAsia"/>
                      <w:color w:val="000000"/>
                      <w:kern w:val="0"/>
                      <w:sz w:val="20"/>
                    </w:rPr>
                    <w:t>固化废气处理设施DA003废气出口</w:t>
                  </w:r>
                </w:p>
              </w:tc>
              <w:tc>
                <w:tcPr>
                  <w:tcW w:w="672" w:type="pct"/>
                  <w:vMerge w:val="continue"/>
                  <w:tcBorders>
                    <w:left w:val="single" w:color="auto" w:sz="4" w:space="0"/>
                    <w:right w:val="single" w:color="auto" w:sz="4" w:space="0"/>
                  </w:tcBorders>
                  <w:vAlign w:val="center"/>
                </w:tcPr>
                <w:p>
                  <w:pPr>
                    <w:widowControl/>
                    <w:jc w:val="center"/>
                    <w:rPr>
                      <w:color w:val="000000"/>
                      <w:kern w:val="0"/>
                      <w:sz w:val="20"/>
                    </w:rPr>
                  </w:pPr>
                </w:p>
              </w:tc>
              <w:tc>
                <w:tcPr>
                  <w:tcW w:w="672" w:type="pct"/>
                  <w:vMerge w:val="continue"/>
                  <w:tcBorders>
                    <w:top w:val="single" w:color="auto" w:sz="4" w:space="0"/>
                    <w:left w:val="nil"/>
                    <w:right w:val="single" w:color="auto" w:sz="4" w:space="0"/>
                  </w:tcBorders>
                  <w:shd w:val="clear" w:color="auto" w:fill="auto"/>
                  <w:vAlign w:val="center"/>
                </w:tcPr>
                <w:p>
                  <w:pPr>
                    <w:widowControl/>
                    <w:jc w:val="center"/>
                    <w:rPr>
                      <w:color w:val="000000"/>
                      <w:kern w:val="0"/>
                      <w:sz w:val="20"/>
                    </w:rPr>
                  </w:pPr>
                </w:p>
              </w:tc>
              <w:tc>
                <w:tcPr>
                  <w:tcW w:w="597" w:type="pct"/>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sz w:val="20"/>
                    </w:rPr>
                  </w:pPr>
                  <w:r>
                    <w:rPr>
                      <w:rFonts w:hint="eastAsia"/>
                      <w:color w:val="000000"/>
                      <w:sz w:val="20"/>
                    </w:rPr>
                    <w:t>第一次</w:t>
                  </w:r>
                </w:p>
              </w:tc>
              <w:tc>
                <w:tcPr>
                  <w:tcW w:w="795" w:type="pct"/>
                  <w:tcBorders>
                    <w:top w:val="single" w:color="auto" w:sz="4" w:space="0"/>
                    <w:left w:val="nil"/>
                    <w:bottom w:val="single" w:color="auto" w:sz="4" w:space="0"/>
                    <w:right w:val="single" w:color="auto" w:sz="4" w:space="0"/>
                  </w:tcBorders>
                  <w:shd w:val="clear" w:color="auto" w:fill="auto"/>
                  <w:vAlign w:val="center"/>
                </w:tcPr>
                <w:p>
                  <w:pPr>
                    <w:jc w:val="center"/>
                    <w:rPr>
                      <w:rFonts w:hint="eastAsia"/>
                      <w:sz w:val="20"/>
                    </w:rPr>
                  </w:pPr>
                  <w:r>
                    <w:rPr>
                      <w:rFonts w:hint="eastAsia"/>
                      <w:sz w:val="20"/>
                    </w:rPr>
                    <w:t xml:space="preserve">3.16 </w:t>
                  </w:r>
                </w:p>
              </w:tc>
              <w:tc>
                <w:tcPr>
                  <w:tcW w:w="796" w:type="pct"/>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kern w:val="0"/>
                      <w:sz w:val="20"/>
                    </w:rPr>
                  </w:pPr>
                  <w:r>
                    <w:rPr>
                      <w:rFonts w:hint="eastAsia"/>
                      <w:color w:val="000000"/>
                      <w:kern w:val="0"/>
                      <w:sz w:val="20"/>
                    </w:rPr>
                    <w:t>0.023</w:t>
                  </w:r>
                </w:p>
              </w:tc>
              <w:tc>
                <w:tcPr>
                  <w:tcW w:w="79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kern w:val="0"/>
                      <w:sz w:val="20"/>
                    </w:rPr>
                  </w:pPr>
                </w:p>
              </w:tc>
            </w:tr>
            <w:tr>
              <w:trPr>
                <w:trHeight w:val="454" w:hRule="atLeast"/>
                <w:jc w:val="center"/>
              </w:trPr>
              <w:tc>
                <w:tcPr>
                  <w:tcW w:w="669" w:type="pct"/>
                  <w:vMerge w:val="continue"/>
                  <w:tcBorders>
                    <w:left w:val="single" w:color="auto" w:sz="4" w:space="0"/>
                    <w:right w:val="single" w:color="auto" w:sz="4" w:space="0"/>
                  </w:tcBorders>
                  <w:vAlign w:val="center"/>
                </w:tcPr>
                <w:p>
                  <w:pPr>
                    <w:widowControl/>
                    <w:jc w:val="center"/>
                    <w:rPr>
                      <w:color w:val="000000"/>
                      <w:kern w:val="0"/>
                      <w:sz w:val="20"/>
                    </w:rPr>
                  </w:pPr>
                </w:p>
              </w:tc>
              <w:tc>
                <w:tcPr>
                  <w:tcW w:w="672" w:type="pct"/>
                  <w:vMerge w:val="continue"/>
                  <w:tcBorders>
                    <w:left w:val="single" w:color="auto" w:sz="4" w:space="0"/>
                    <w:right w:val="single" w:color="auto" w:sz="4" w:space="0"/>
                  </w:tcBorders>
                  <w:vAlign w:val="center"/>
                </w:tcPr>
                <w:p>
                  <w:pPr>
                    <w:widowControl/>
                    <w:jc w:val="center"/>
                    <w:rPr>
                      <w:color w:val="000000"/>
                      <w:kern w:val="0"/>
                      <w:sz w:val="20"/>
                    </w:rPr>
                  </w:pPr>
                </w:p>
              </w:tc>
              <w:tc>
                <w:tcPr>
                  <w:tcW w:w="672" w:type="pct"/>
                  <w:vMerge w:val="continue"/>
                  <w:tcBorders>
                    <w:left w:val="nil"/>
                    <w:right w:val="single" w:color="auto" w:sz="4" w:space="0"/>
                  </w:tcBorders>
                  <w:shd w:val="clear" w:color="auto" w:fill="auto"/>
                  <w:vAlign w:val="center"/>
                </w:tcPr>
                <w:p>
                  <w:pPr>
                    <w:widowControl/>
                    <w:jc w:val="center"/>
                    <w:rPr>
                      <w:color w:val="000000"/>
                      <w:kern w:val="0"/>
                      <w:sz w:val="20"/>
                    </w:rPr>
                  </w:pPr>
                </w:p>
              </w:tc>
              <w:tc>
                <w:tcPr>
                  <w:tcW w:w="597" w:type="pct"/>
                  <w:tcBorders>
                    <w:top w:val="single" w:color="auto" w:sz="4" w:space="0"/>
                    <w:left w:val="nil"/>
                    <w:bottom w:val="single" w:color="auto" w:sz="4" w:space="0"/>
                    <w:right w:val="single" w:color="auto" w:sz="4" w:space="0"/>
                  </w:tcBorders>
                  <w:shd w:val="clear" w:color="auto" w:fill="auto"/>
                  <w:vAlign w:val="center"/>
                </w:tcPr>
                <w:p>
                  <w:pPr>
                    <w:jc w:val="center"/>
                    <w:rPr>
                      <w:color w:val="000000"/>
                      <w:sz w:val="20"/>
                    </w:rPr>
                  </w:pPr>
                  <w:r>
                    <w:rPr>
                      <w:rFonts w:hint="eastAsia"/>
                      <w:color w:val="000000"/>
                      <w:sz w:val="20"/>
                    </w:rPr>
                    <w:t>第二次</w:t>
                  </w:r>
                </w:p>
              </w:tc>
              <w:tc>
                <w:tcPr>
                  <w:tcW w:w="795" w:type="pct"/>
                  <w:tcBorders>
                    <w:top w:val="single" w:color="auto" w:sz="4" w:space="0"/>
                    <w:left w:val="nil"/>
                    <w:bottom w:val="single" w:color="auto" w:sz="4" w:space="0"/>
                    <w:right w:val="single" w:color="auto" w:sz="4" w:space="0"/>
                  </w:tcBorders>
                  <w:shd w:val="clear" w:color="auto" w:fill="auto"/>
                  <w:vAlign w:val="center"/>
                </w:tcPr>
                <w:p>
                  <w:pPr>
                    <w:jc w:val="center"/>
                    <w:rPr>
                      <w:rFonts w:hint="eastAsia"/>
                      <w:sz w:val="20"/>
                    </w:rPr>
                  </w:pPr>
                  <w:r>
                    <w:rPr>
                      <w:rFonts w:hint="eastAsia"/>
                      <w:sz w:val="20"/>
                    </w:rPr>
                    <w:t xml:space="preserve">3.08 </w:t>
                  </w:r>
                </w:p>
              </w:tc>
              <w:tc>
                <w:tcPr>
                  <w:tcW w:w="796" w:type="pct"/>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kern w:val="0"/>
                      <w:sz w:val="20"/>
                    </w:rPr>
                  </w:pPr>
                  <w:r>
                    <w:rPr>
                      <w:rFonts w:hint="eastAsia"/>
                      <w:color w:val="000000"/>
                      <w:kern w:val="0"/>
                      <w:sz w:val="20"/>
                    </w:rPr>
                    <w:t>0.023</w:t>
                  </w:r>
                </w:p>
              </w:tc>
              <w:tc>
                <w:tcPr>
                  <w:tcW w:w="796" w:type="pct"/>
                  <w:vMerge w:val="continue"/>
                  <w:tcBorders>
                    <w:left w:val="single" w:color="auto" w:sz="4" w:space="0"/>
                    <w:bottom w:val="single" w:color="auto" w:sz="4" w:space="0"/>
                    <w:right w:val="single" w:color="auto" w:sz="4" w:space="0"/>
                  </w:tcBorders>
                  <w:shd w:val="clear" w:color="auto" w:fill="auto"/>
                  <w:vAlign w:val="center"/>
                </w:tcPr>
                <w:p>
                  <w:pPr>
                    <w:widowControl/>
                    <w:jc w:val="center"/>
                    <w:rPr>
                      <w:color w:val="000000"/>
                      <w:kern w:val="0"/>
                      <w:sz w:val="20"/>
                    </w:rPr>
                  </w:pPr>
                </w:p>
              </w:tc>
            </w:tr>
            <w:tr>
              <w:trPr>
                <w:trHeight w:val="454" w:hRule="atLeast"/>
                <w:jc w:val="center"/>
              </w:trPr>
              <w:tc>
                <w:tcPr>
                  <w:tcW w:w="669" w:type="pct"/>
                  <w:vMerge w:val="continue"/>
                  <w:tcBorders>
                    <w:left w:val="single" w:color="auto" w:sz="4" w:space="0"/>
                    <w:bottom w:val="single" w:color="auto" w:sz="4" w:space="0"/>
                    <w:right w:val="single" w:color="auto" w:sz="4" w:space="0"/>
                  </w:tcBorders>
                  <w:vAlign w:val="center"/>
                </w:tcPr>
                <w:p>
                  <w:pPr>
                    <w:widowControl/>
                    <w:jc w:val="center"/>
                    <w:rPr>
                      <w:color w:val="000000"/>
                      <w:kern w:val="0"/>
                      <w:sz w:val="20"/>
                    </w:rPr>
                  </w:pPr>
                </w:p>
              </w:tc>
              <w:tc>
                <w:tcPr>
                  <w:tcW w:w="672" w:type="pct"/>
                  <w:vMerge w:val="continue"/>
                  <w:tcBorders>
                    <w:left w:val="single" w:color="auto" w:sz="4" w:space="0"/>
                    <w:bottom w:val="single" w:color="auto" w:sz="4" w:space="0"/>
                    <w:right w:val="single" w:color="auto" w:sz="4" w:space="0"/>
                  </w:tcBorders>
                  <w:vAlign w:val="center"/>
                </w:tcPr>
                <w:p>
                  <w:pPr>
                    <w:widowControl/>
                    <w:jc w:val="center"/>
                    <w:rPr>
                      <w:color w:val="000000"/>
                      <w:kern w:val="0"/>
                      <w:sz w:val="20"/>
                    </w:rPr>
                  </w:pPr>
                </w:p>
              </w:tc>
              <w:tc>
                <w:tcPr>
                  <w:tcW w:w="672" w:type="pct"/>
                  <w:vMerge w:val="continue"/>
                  <w:tcBorders>
                    <w:left w:val="nil"/>
                    <w:bottom w:val="single" w:color="auto" w:sz="4" w:space="0"/>
                    <w:right w:val="single" w:color="auto" w:sz="4" w:space="0"/>
                  </w:tcBorders>
                  <w:shd w:val="clear" w:color="auto" w:fill="auto"/>
                  <w:vAlign w:val="center"/>
                </w:tcPr>
                <w:p>
                  <w:pPr>
                    <w:widowControl/>
                    <w:jc w:val="center"/>
                    <w:rPr>
                      <w:color w:val="000000"/>
                      <w:kern w:val="0"/>
                      <w:sz w:val="20"/>
                    </w:rPr>
                  </w:pPr>
                </w:p>
              </w:tc>
              <w:tc>
                <w:tcPr>
                  <w:tcW w:w="597" w:type="pct"/>
                  <w:tcBorders>
                    <w:top w:val="single" w:color="auto" w:sz="4" w:space="0"/>
                    <w:left w:val="nil"/>
                    <w:bottom w:val="single" w:color="auto" w:sz="4" w:space="0"/>
                    <w:right w:val="single" w:color="auto" w:sz="4" w:space="0"/>
                  </w:tcBorders>
                  <w:shd w:val="clear" w:color="auto" w:fill="auto"/>
                  <w:vAlign w:val="center"/>
                </w:tcPr>
                <w:p>
                  <w:pPr>
                    <w:jc w:val="center"/>
                    <w:rPr>
                      <w:color w:val="000000"/>
                      <w:sz w:val="20"/>
                    </w:rPr>
                  </w:pPr>
                  <w:r>
                    <w:rPr>
                      <w:rFonts w:hint="eastAsia"/>
                      <w:color w:val="000000"/>
                      <w:sz w:val="20"/>
                    </w:rPr>
                    <w:t>第三次</w:t>
                  </w:r>
                </w:p>
              </w:tc>
              <w:tc>
                <w:tcPr>
                  <w:tcW w:w="795" w:type="pct"/>
                  <w:tcBorders>
                    <w:top w:val="single" w:color="auto" w:sz="4" w:space="0"/>
                    <w:left w:val="nil"/>
                    <w:bottom w:val="single" w:color="auto" w:sz="4" w:space="0"/>
                    <w:right w:val="single" w:color="auto" w:sz="4" w:space="0"/>
                  </w:tcBorders>
                  <w:shd w:val="clear" w:color="auto" w:fill="auto"/>
                  <w:vAlign w:val="center"/>
                </w:tcPr>
                <w:p>
                  <w:pPr>
                    <w:jc w:val="center"/>
                    <w:rPr>
                      <w:rFonts w:hint="eastAsia"/>
                      <w:sz w:val="20"/>
                    </w:rPr>
                  </w:pPr>
                  <w:r>
                    <w:rPr>
                      <w:rFonts w:hint="eastAsia"/>
                      <w:sz w:val="20"/>
                    </w:rPr>
                    <w:t>3.10</w:t>
                  </w:r>
                </w:p>
              </w:tc>
              <w:tc>
                <w:tcPr>
                  <w:tcW w:w="796" w:type="pct"/>
                  <w:tcBorders>
                    <w:top w:val="single" w:color="auto" w:sz="4" w:space="0"/>
                    <w:left w:val="nil"/>
                    <w:bottom w:val="single" w:color="auto" w:sz="4" w:space="0"/>
                    <w:right w:val="single" w:color="auto" w:sz="4" w:space="0"/>
                  </w:tcBorders>
                  <w:shd w:val="clear" w:color="auto" w:fill="auto"/>
                  <w:vAlign w:val="center"/>
                </w:tcPr>
                <w:p>
                  <w:pPr>
                    <w:widowControl/>
                    <w:jc w:val="center"/>
                    <w:rPr>
                      <w:color w:val="000000"/>
                      <w:kern w:val="0"/>
                      <w:sz w:val="20"/>
                    </w:rPr>
                  </w:pPr>
                  <w:r>
                    <w:rPr>
                      <w:rFonts w:hint="eastAsia"/>
                      <w:color w:val="000000"/>
                      <w:kern w:val="0"/>
                      <w:sz w:val="20"/>
                    </w:rPr>
                    <w:t>0.023</w:t>
                  </w:r>
                </w:p>
              </w:tc>
              <w:tc>
                <w:tcPr>
                  <w:tcW w:w="796" w:type="pct"/>
                  <w:vMerge w:val="continue"/>
                  <w:tcBorders>
                    <w:left w:val="single" w:color="auto" w:sz="4" w:space="0"/>
                    <w:bottom w:val="single" w:color="auto" w:sz="4" w:space="0"/>
                    <w:right w:val="single" w:color="auto" w:sz="4" w:space="0"/>
                  </w:tcBorders>
                  <w:shd w:val="clear" w:color="auto" w:fill="auto"/>
                  <w:vAlign w:val="center"/>
                </w:tcPr>
                <w:p>
                  <w:pPr>
                    <w:widowControl/>
                    <w:jc w:val="center"/>
                    <w:rPr>
                      <w:color w:val="000000"/>
                      <w:kern w:val="0"/>
                      <w:sz w:val="20"/>
                    </w:rPr>
                  </w:pPr>
                </w:p>
              </w:tc>
            </w:tr>
          </w:tbl>
          <w:p>
            <w:pPr>
              <w:spacing w:line="360" w:lineRule="auto"/>
              <w:jc w:val="center"/>
              <w:rPr>
                <w:rFonts w:hint="default" w:ascii="Times New Roman" w:hAnsi="Times New Roman" w:cs="Times New Roman"/>
                <w:color w:val="000000" w:themeColor="text1"/>
                <w:sz w:val="24"/>
              </w:rPr>
            </w:pPr>
            <w:r>
              <w:rPr>
                <w:rFonts w:hint="default" w:ascii="Times New Roman" w:hAnsi="Times New Roman" w:cs="Times New Roman"/>
                <w:b/>
                <w:color w:val="000000" w:themeColor="text1"/>
                <w:sz w:val="24"/>
              </w:rPr>
              <w:t>表7.2</w:t>
            </w:r>
            <w:r>
              <w:rPr>
                <w:rFonts w:hint="eastAsia" w:cs="Times New Roman"/>
                <w:b/>
                <w:color w:val="000000" w:themeColor="text1"/>
                <w:sz w:val="24"/>
                <w:lang w:val="en-US" w:eastAsia="zh-CN"/>
              </w:rPr>
              <w:t>-2</w:t>
            </w:r>
            <w:r>
              <w:rPr>
                <w:rFonts w:hint="default" w:ascii="Times New Roman" w:hAnsi="Times New Roman" w:cs="Times New Roman"/>
                <w:b/>
                <w:color w:val="000000" w:themeColor="text1"/>
                <w:sz w:val="24"/>
              </w:rPr>
              <w:t xml:space="preserve"> 有组织废气监测结果</w:t>
            </w:r>
          </w:p>
          <w:tbl>
            <w:tblPr>
              <w:tblStyle w:val="17"/>
              <w:tblW w:w="9068" w:type="dxa"/>
              <w:jc w:val="center"/>
              <w:tblLayout w:type="autofit"/>
              <w:tblCellMar>
                <w:top w:w="0" w:type="dxa"/>
                <w:left w:w="108" w:type="dxa"/>
                <w:bottom w:w="0" w:type="dxa"/>
                <w:right w:w="108" w:type="dxa"/>
              </w:tblCellMar>
            </w:tblPr>
            <w:tblGrid>
              <w:gridCol w:w="1492"/>
              <w:gridCol w:w="1207"/>
              <w:gridCol w:w="1227"/>
              <w:gridCol w:w="1218"/>
              <w:gridCol w:w="1354"/>
              <w:gridCol w:w="1354"/>
              <w:gridCol w:w="1216"/>
            </w:tblGrid>
            <w:tr>
              <w:trPr>
                <w:trHeight w:val="454" w:hRule="atLeast"/>
                <w:jc w:val="center"/>
              </w:trPr>
              <w:tc>
                <w:tcPr>
                  <w:tcW w:w="822"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000000" w:themeColor="text1"/>
                      <w:kern w:val="0"/>
                      <w:sz w:val="20"/>
                    </w:rPr>
                  </w:pPr>
                  <w:r>
                    <w:rPr>
                      <w:rFonts w:hint="eastAsia" w:ascii="宋体" w:hAnsi="宋体"/>
                      <w:color w:val="000000" w:themeColor="text1"/>
                      <w:kern w:val="0"/>
                      <w:sz w:val="20"/>
                    </w:rPr>
                    <w:t>采样点位</w:t>
                  </w:r>
                </w:p>
              </w:tc>
              <w:tc>
                <w:tcPr>
                  <w:tcW w:w="665"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olor w:val="000000" w:themeColor="text1"/>
                      <w:kern w:val="0"/>
                      <w:sz w:val="20"/>
                    </w:rPr>
                  </w:pPr>
                  <w:r>
                    <w:rPr>
                      <w:rFonts w:hint="eastAsia" w:ascii="宋体" w:hAnsi="宋体"/>
                      <w:color w:val="000000" w:themeColor="text1"/>
                      <w:kern w:val="0"/>
                      <w:sz w:val="20"/>
                    </w:rPr>
                    <w:t>检测项目</w:t>
                  </w:r>
                  <w:r>
                    <w:rPr>
                      <w:rFonts w:ascii="宋体" w:hAnsi="宋体"/>
                      <w:color w:val="000000" w:themeColor="text1"/>
                      <w:kern w:val="0"/>
                      <w:sz w:val="20"/>
                    </w:rPr>
                    <w:t xml:space="preserve"> </w:t>
                  </w:r>
                </w:p>
              </w:tc>
              <w:tc>
                <w:tcPr>
                  <w:tcW w:w="67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olor w:val="000000" w:themeColor="text1"/>
                      <w:kern w:val="0"/>
                      <w:sz w:val="20"/>
                    </w:rPr>
                  </w:pPr>
                  <w:r>
                    <w:rPr>
                      <w:rFonts w:hint="eastAsia" w:ascii="宋体" w:hAnsi="宋体" w:cs="宋体"/>
                      <w:color w:val="000000" w:themeColor="text1"/>
                      <w:kern w:val="0"/>
                      <w:sz w:val="20"/>
                    </w:rPr>
                    <w:t>采样日期</w:t>
                  </w:r>
                </w:p>
              </w:tc>
              <w:tc>
                <w:tcPr>
                  <w:tcW w:w="67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olor w:val="000000" w:themeColor="text1"/>
                      <w:kern w:val="0"/>
                      <w:sz w:val="20"/>
                    </w:rPr>
                  </w:pPr>
                  <w:r>
                    <w:rPr>
                      <w:rFonts w:hint="eastAsia" w:ascii="宋体" w:hAnsi="宋体"/>
                      <w:color w:val="000000" w:themeColor="text1"/>
                      <w:kern w:val="0"/>
                      <w:sz w:val="20"/>
                    </w:rPr>
                    <w:t>实测浓度</w:t>
                  </w:r>
                </w:p>
                <w:p>
                  <w:pPr>
                    <w:widowControl/>
                    <w:jc w:val="center"/>
                    <w:rPr>
                      <w:color w:val="000000" w:themeColor="text1"/>
                      <w:kern w:val="0"/>
                      <w:sz w:val="20"/>
                    </w:rPr>
                  </w:pPr>
                  <w:r>
                    <w:rPr>
                      <w:color w:val="000000" w:themeColor="text1"/>
                      <w:kern w:val="0"/>
                      <w:sz w:val="20"/>
                    </w:rPr>
                    <w:t>（mg/m³）</w:t>
                  </w:r>
                </w:p>
              </w:tc>
              <w:tc>
                <w:tcPr>
                  <w:tcW w:w="746" w:type="pc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000000" w:themeColor="text1"/>
                      <w:kern w:val="0"/>
                      <w:sz w:val="20"/>
                    </w:rPr>
                  </w:pPr>
                  <w:r>
                    <w:rPr>
                      <w:rFonts w:hint="eastAsia" w:ascii="宋体" w:hAnsi="宋体"/>
                      <w:color w:val="000000" w:themeColor="text1"/>
                      <w:kern w:val="0"/>
                      <w:sz w:val="20"/>
                    </w:rPr>
                    <w:t>折算浓度</w:t>
                  </w:r>
                  <w:r>
                    <w:rPr>
                      <w:color w:val="000000" w:themeColor="text1"/>
                      <w:kern w:val="0"/>
                      <w:sz w:val="20"/>
                    </w:rPr>
                    <w:t>（mg/m³）</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olor w:val="000000" w:themeColor="text1"/>
                      <w:kern w:val="0"/>
                      <w:sz w:val="20"/>
                    </w:rPr>
                  </w:pPr>
                  <w:r>
                    <w:rPr>
                      <w:rFonts w:hint="eastAsia" w:ascii="宋体" w:hAnsi="宋体"/>
                      <w:color w:val="000000" w:themeColor="text1"/>
                      <w:kern w:val="0"/>
                      <w:sz w:val="20"/>
                    </w:rPr>
                    <w:t>排放速率</w:t>
                  </w:r>
                </w:p>
                <w:p>
                  <w:pPr>
                    <w:widowControl/>
                    <w:jc w:val="center"/>
                    <w:rPr>
                      <w:color w:val="000000" w:themeColor="text1"/>
                      <w:kern w:val="0"/>
                      <w:sz w:val="20"/>
                    </w:rPr>
                  </w:pPr>
                  <w:r>
                    <w:rPr>
                      <w:color w:val="000000" w:themeColor="text1"/>
                      <w:kern w:val="0"/>
                      <w:sz w:val="20"/>
                    </w:rPr>
                    <w:t>（kg/h）</w:t>
                  </w:r>
                </w:p>
              </w:tc>
              <w:tc>
                <w:tcPr>
                  <w:tcW w:w="670"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olor w:val="000000" w:themeColor="text1"/>
                      <w:kern w:val="0"/>
                      <w:sz w:val="20"/>
                    </w:rPr>
                  </w:pPr>
                  <w:r>
                    <w:rPr>
                      <w:rFonts w:hint="eastAsia" w:ascii="宋体" w:hAnsi="宋体"/>
                      <w:color w:val="000000" w:themeColor="text1"/>
                      <w:kern w:val="0"/>
                      <w:sz w:val="20"/>
                    </w:rPr>
                    <w:t>排气筒高度</w:t>
                  </w:r>
                  <w:r>
                    <w:rPr>
                      <w:color w:val="000000" w:themeColor="text1"/>
                      <w:kern w:val="0"/>
                      <w:sz w:val="20"/>
                    </w:rPr>
                    <w:t>（m）</w:t>
                  </w:r>
                </w:p>
              </w:tc>
            </w:tr>
            <w:tr>
              <w:tblPrEx>
                <w:tblCellMar>
                  <w:top w:w="0" w:type="dxa"/>
                  <w:left w:w="108" w:type="dxa"/>
                  <w:bottom w:w="0" w:type="dxa"/>
                  <w:right w:w="108" w:type="dxa"/>
                </w:tblCellMar>
              </w:tblPrEx>
              <w:trPr>
                <w:trHeight w:val="454" w:hRule="atLeast"/>
                <w:jc w:val="center"/>
              </w:trPr>
              <w:tc>
                <w:tcPr>
                  <w:tcW w:w="822" w:type="pct"/>
                  <w:vMerge w:val="restart"/>
                  <w:tcBorders>
                    <w:top w:val="single" w:color="auto" w:sz="4" w:space="0"/>
                    <w:left w:val="single" w:color="auto" w:sz="4" w:space="0"/>
                    <w:bottom w:val="single" w:color="auto" w:sz="4" w:space="0"/>
                    <w:right w:val="single" w:color="auto" w:sz="4" w:space="0"/>
                  </w:tcBorders>
                  <w:vAlign w:val="center"/>
                </w:tcPr>
                <w:p>
                  <w:pPr>
                    <w:jc w:val="center"/>
                    <w:rPr>
                      <w:color w:val="000000" w:themeColor="text1"/>
                      <w:kern w:val="0"/>
                      <w:sz w:val="20"/>
                      <w:szCs w:val="21"/>
                    </w:rPr>
                  </w:pPr>
                  <w:r>
                    <w:rPr>
                      <w:rFonts w:hint="eastAsia"/>
                      <w:color w:val="000000" w:themeColor="text1"/>
                      <w:kern w:val="0"/>
                      <w:sz w:val="20"/>
                      <w:szCs w:val="21"/>
                    </w:rPr>
                    <w:t>生物质燃烧炉废气处理设施排放口</w:t>
                  </w:r>
                </w:p>
              </w:tc>
              <w:tc>
                <w:tcPr>
                  <w:tcW w:w="66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r>
                    <w:rPr>
                      <w:rFonts w:hint="eastAsia"/>
                      <w:color w:val="000000" w:themeColor="text1"/>
                      <w:kern w:val="0"/>
                      <w:sz w:val="20"/>
                    </w:rPr>
                    <w:t>颗粒物</w:t>
                  </w:r>
                </w:p>
              </w:tc>
              <w:tc>
                <w:tcPr>
                  <w:tcW w:w="67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sz w:val="20"/>
                    </w:rPr>
                  </w:pPr>
                  <w:r>
                    <w:rPr>
                      <w:rFonts w:hint="eastAsia"/>
                      <w:color w:val="000000" w:themeColor="text1"/>
                      <w:sz w:val="20"/>
                    </w:rPr>
                    <w:t>2022/11/15</w:t>
                  </w:r>
                </w:p>
              </w:tc>
              <w:tc>
                <w:tcPr>
                  <w:tcW w:w="67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r>
                    <w:rPr>
                      <w:color w:val="000000" w:themeColor="text1"/>
                      <w:sz w:val="20"/>
                    </w:rPr>
                    <w:t xml:space="preserve">4.5 </w:t>
                  </w:r>
                </w:p>
              </w:tc>
              <w:tc>
                <w:tcPr>
                  <w:tcW w:w="746" w:type="pct"/>
                  <w:tcBorders>
                    <w:top w:val="single" w:color="auto" w:sz="4" w:space="0"/>
                    <w:left w:val="single" w:color="auto" w:sz="4" w:space="0"/>
                    <w:bottom w:val="single" w:color="auto" w:sz="4" w:space="0"/>
                    <w:right w:val="single" w:color="auto" w:sz="4" w:space="0"/>
                  </w:tcBorders>
                  <w:vAlign w:val="center"/>
                </w:tcPr>
                <w:p>
                  <w:pPr>
                    <w:widowControl/>
                    <w:jc w:val="center"/>
                    <w:rPr>
                      <w:rFonts w:eastAsia="等线"/>
                      <w:color w:val="000000" w:themeColor="text1"/>
                      <w:kern w:val="0"/>
                      <w:sz w:val="20"/>
                    </w:rPr>
                  </w:pPr>
                  <w:r>
                    <w:rPr>
                      <w:rFonts w:eastAsia="等线"/>
                      <w:color w:val="000000" w:themeColor="text1"/>
                      <w:kern w:val="0"/>
                      <w:sz w:val="20"/>
                    </w:rPr>
                    <w:t>11.0</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等线"/>
                      <w:color w:val="000000" w:themeColor="text1"/>
                      <w:kern w:val="0"/>
                      <w:sz w:val="20"/>
                    </w:rPr>
                  </w:pPr>
                  <w:r>
                    <w:rPr>
                      <w:rFonts w:eastAsia="等线"/>
                      <w:color w:val="000000" w:themeColor="text1"/>
                      <w:kern w:val="0"/>
                      <w:sz w:val="20"/>
                    </w:rPr>
                    <w:t>7.5×10</w:t>
                  </w:r>
                  <w:r>
                    <w:rPr>
                      <w:rFonts w:eastAsia="等线"/>
                      <w:color w:val="000000" w:themeColor="text1"/>
                      <w:kern w:val="0"/>
                      <w:sz w:val="20"/>
                      <w:vertAlign w:val="superscript"/>
                    </w:rPr>
                    <w:t>-4</w:t>
                  </w:r>
                </w:p>
              </w:tc>
              <w:tc>
                <w:tcPr>
                  <w:tcW w:w="67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r>
                    <w:rPr>
                      <w:rFonts w:hint="eastAsia"/>
                      <w:color w:val="000000" w:themeColor="text1"/>
                      <w:kern w:val="0"/>
                      <w:sz w:val="20"/>
                    </w:rPr>
                    <w:t>15</w:t>
                  </w:r>
                </w:p>
              </w:tc>
            </w:tr>
            <w:tr>
              <w:tblPrEx>
                <w:tblCellMar>
                  <w:top w:w="0" w:type="dxa"/>
                  <w:left w:w="108" w:type="dxa"/>
                  <w:bottom w:w="0" w:type="dxa"/>
                  <w:right w:w="108" w:type="dxa"/>
                </w:tblCellMar>
              </w:tblPrEx>
              <w:trPr>
                <w:trHeight w:val="454" w:hRule="atLeast"/>
                <w:jc w:val="center"/>
              </w:trPr>
              <w:tc>
                <w:tcPr>
                  <w:tcW w:w="822"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themeColor="text1"/>
                      <w:kern w:val="0"/>
                      <w:sz w:val="20"/>
                      <w:szCs w:val="21"/>
                    </w:rPr>
                  </w:pPr>
                </w:p>
              </w:tc>
              <w:tc>
                <w:tcPr>
                  <w:tcW w:w="66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p>
              </w:tc>
              <w:tc>
                <w:tcPr>
                  <w:tcW w:w="67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sz w:val="20"/>
                    </w:rPr>
                  </w:pPr>
                </w:p>
              </w:tc>
              <w:tc>
                <w:tcPr>
                  <w:tcW w:w="671"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themeColor="text1"/>
                      <w:sz w:val="20"/>
                    </w:rPr>
                  </w:pPr>
                  <w:r>
                    <w:rPr>
                      <w:color w:val="000000" w:themeColor="text1"/>
                      <w:sz w:val="20"/>
                    </w:rPr>
                    <w:t xml:space="preserve">5.9 </w:t>
                  </w:r>
                </w:p>
              </w:tc>
              <w:tc>
                <w:tcPr>
                  <w:tcW w:w="746" w:type="pct"/>
                  <w:tcBorders>
                    <w:top w:val="single" w:color="auto" w:sz="4" w:space="0"/>
                    <w:left w:val="single" w:color="auto" w:sz="4" w:space="0"/>
                    <w:bottom w:val="single" w:color="auto" w:sz="4" w:space="0"/>
                    <w:right w:val="single" w:color="auto" w:sz="4" w:space="0"/>
                  </w:tcBorders>
                  <w:vAlign w:val="center"/>
                </w:tcPr>
                <w:p>
                  <w:pPr>
                    <w:widowControl/>
                    <w:jc w:val="center"/>
                    <w:rPr>
                      <w:rFonts w:eastAsia="等线"/>
                      <w:color w:val="000000" w:themeColor="text1"/>
                      <w:kern w:val="0"/>
                      <w:sz w:val="20"/>
                    </w:rPr>
                  </w:pPr>
                  <w:r>
                    <w:rPr>
                      <w:rFonts w:eastAsia="等线"/>
                      <w:color w:val="000000" w:themeColor="text1"/>
                      <w:kern w:val="0"/>
                      <w:sz w:val="20"/>
                    </w:rPr>
                    <w:t>15.1</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等线"/>
                      <w:color w:val="000000" w:themeColor="text1"/>
                      <w:kern w:val="0"/>
                      <w:sz w:val="20"/>
                    </w:rPr>
                  </w:pPr>
                  <w:r>
                    <w:rPr>
                      <w:rFonts w:eastAsia="等线"/>
                      <w:color w:val="000000" w:themeColor="text1"/>
                      <w:kern w:val="0"/>
                      <w:sz w:val="20"/>
                    </w:rPr>
                    <w:t>1.0×10</w:t>
                  </w:r>
                  <w:r>
                    <w:rPr>
                      <w:rFonts w:eastAsia="等线"/>
                      <w:color w:val="000000" w:themeColor="text1"/>
                      <w:kern w:val="0"/>
                      <w:sz w:val="20"/>
                      <w:vertAlign w:val="superscript"/>
                    </w:rPr>
                    <w:t>-3</w:t>
                  </w:r>
                </w:p>
              </w:tc>
              <w:tc>
                <w:tcPr>
                  <w:tcW w:w="67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themeColor="text1"/>
                      <w:kern w:val="0"/>
                      <w:sz w:val="20"/>
                    </w:rPr>
                  </w:pPr>
                </w:p>
              </w:tc>
            </w:tr>
            <w:tr>
              <w:trPr>
                <w:trHeight w:val="454" w:hRule="atLeast"/>
                <w:jc w:val="center"/>
              </w:trPr>
              <w:tc>
                <w:tcPr>
                  <w:tcW w:w="822"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themeColor="text1"/>
                      <w:kern w:val="0"/>
                      <w:sz w:val="20"/>
                      <w:szCs w:val="21"/>
                    </w:rPr>
                  </w:pPr>
                </w:p>
              </w:tc>
              <w:tc>
                <w:tcPr>
                  <w:tcW w:w="66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p>
              </w:tc>
              <w:tc>
                <w:tcPr>
                  <w:tcW w:w="67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sz w:val="20"/>
                    </w:rPr>
                  </w:pPr>
                </w:p>
              </w:tc>
              <w:tc>
                <w:tcPr>
                  <w:tcW w:w="671"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themeColor="text1"/>
                      <w:sz w:val="20"/>
                    </w:rPr>
                  </w:pPr>
                  <w:r>
                    <w:rPr>
                      <w:color w:val="000000" w:themeColor="text1"/>
                      <w:sz w:val="20"/>
                    </w:rPr>
                    <w:t xml:space="preserve">6.6 </w:t>
                  </w:r>
                </w:p>
              </w:tc>
              <w:tc>
                <w:tcPr>
                  <w:tcW w:w="746" w:type="pct"/>
                  <w:tcBorders>
                    <w:top w:val="single" w:color="auto" w:sz="4" w:space="0"/>
                    <w:left w:val="single" w:color="auto" w:sz="4" w:space="0"/>
                    <w:bottom w:val="single" w:color="auto" w:sz="4" w:space="0"/>
                    <w:right w:val="single" w:color="auto" w:sz="4" w:space="0"/>
                  </w:tcBorders>
                  <w:vAlign w:val="center"/>
                </w:tcPr>
                <w:p>
                  <w:pPr>
                    <w:widowControl/>
                    <w:jc w:val="center"/>
                    <w:rPr>
                      <w:rFonts w:eastAsia="等线"/>
                      <w:color w:val="000000" w:themeColor="text1"/>
                      <w:kern w:val="0"/>
                      <w:sz w:val="20"/>
                    </w:rPr>
                  </w:pPr>
                  <w:r>
                    <w:rPr>
                      <w:rFonts w:eastAsia="等线"/>
                      <w:color w:val="000000" w:themeColor="text1"/>
                      <w:kern w:val="0"/>
                      <w:sz w:val="20"/>
                    </w:rPr>
                    <w:t>16.5</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等线"/>
                      <w:color w:val="000000" w:themeColor="text1"/>
                      <w:kern w:val="0"/>
                      <w:sz w:val="20"/>
                    </w:rPr>
                  </w:pPr>
                  <w:r>
                    <w:rPr>
                      <w:rFonts w:eastAsia="等线"/>
                      <w:color w:val="000000" w:themeColor="text1"/>
                      <w:kern w:val="0"/>
                      <w:sz w:val="20"/>
                    </w:rPr>
                    <w:t>1.1×10</w:t>
                  </w:r>
                  <w:r>
                    <w:rPr>
                      <w:rFonts w:eastAsia="等线"/>
                      <w:color w:val="000000" w:themeColor="text1"/>
                      <w:kern w:val="0"/>
                      <w:sz w:val="20"/>
                      <w:vertAlign w:val="superscript"/>
                    </w:rPr>
                    <w:t>-3</w:t>
                  </w:r>
                </w:p>
              </w:tc>
              <w:tc>
                <w:tcPr>
                  <w:tcW w:w="67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themeColor="text1"/>
                      <w:kern w:val="0"/>
                      <w:sz w:val="20"/>
                    </w:rPr>
                  </w:pPr>
                </w:p>
              </w:tc>
            </w:tr>
            <w:tr>
              <w:trPr>
                <w:trHeight w:val="454" w:hRule="atLeast"/>
                <w:jc w:val="center"/>
              </w:trPr>
              <w:tc>
                <w:tcPr>
                  <w:tcW w:w="822"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themeColor="text1"/>
                      <w:kern w:val="0"/>
                      <w:sz w:val="20"/>
                      <w:szCs w:val="21"/>
                    </w:rPr>
                  </w:pPr>
                </w:p>
              </w:tc>
              <w:tc>
                <w:tcPr>
                  <w:tcW w:w="66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r>
                    <w:rPr>
                      <w:rFonts w:hint="eastAsia"/>
                      <w:color w:val="000000" w:themeColor="text1"/>
                      <w:kern w:val="0"/>
                      <w:sz w:val="20"/>
                    </w:rPr>
                    <w:t>二氧化硫</w:t>
                  </w:r>
                </w:p>
              </w:tc>
              <w:tc>
                <w:tcPr>
                  <w:tcW w:w="67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sz w:val="20"/>
                    </w:rPr>
                  </w:pPr>
                </w:p>
              </w:tc>
              <w:tc>
                <w:tcPr>
                  <w:tcW w:w="67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r>
                    <w:rPr>
                      <w:color w:val="000000" w:themeColor="text1"/>
                      <w:kern w:val="0"/>
                      <w:sz w:val="20"/>
                    </w:rPr>
                    <w:t>38</w:t>
                  </w:r>
                </w:p>
              </w:tc>
              <w:tc>
                <w:tcPr>
                  <w:tcW w:w="746" w:type="pct"/>
                  <w:tcBorders>
                    <w:top w:val="single" w:color="auto" w:sz="4" w:space="0"/>
                    <w:left w:val="single" w:color="auto" w:sz="4" w:space="0"/>
                    <w:bottom w:val="single" w:color="auto" w:sz="4" w:space="0"/>
                    <w:right w:val="single" w:color="auto" w:sz="4" w:space="0"/>
                  </w:tcBorders>
                  <w:vAlign w:val="center"/>
                </w:tcPr>
                <w:p>
                  <w:pPr>
                    <w:widowControl/>
                    <w:jc w:val="center"/>
                    <w:rPr>
                      <w:rFonts w:eastAsia="等线"/>
                      <w:color w:val="000000" w:themeColor="text1"/>
                      <w:kern w:val="0"/>
                      <w:sz w:val="20"/>
                    </w:rPr>
                  </w:pPr>
                  <w:r>
                    <w:rPr>
                      <w:rFonts w:eastAsia="等线"/>
                      <w:color w:val="000000" w:themeColor="text1"/>
                      <w:kern w:val="0"/>
                      <w:sz w:val="20"/>
                    </w:rPr>
                    <w:t>93</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等线"/>
                      <w:color w:val="000000" w:themeColor="text1"/>
                      <w:kern w:val="0"/>
                      <w:sz w:val="20"/>
                    </w:rPr>
                  </w:pPr>
                  <w:r>
                    <w:rPr>
                      <w:rFonts w:eastAsia="等线"/>
                      <w:color w:val="000000" w:themeColor="text1"/>
                      <w:kern w:val="0"/>
                      <w:sz w:val="20"/>
                    </w:rPr>
                    <w:t>6.3×10</w:t>
                  </w:r>
                  <w:r>
                    <w:rPr>
                      <w:rFonts w:eastAsia="等线"/>
                      <w:color w:val="000000" w:themeColor="text1"/>
                      <w:kern w:val="0"/>
                      <w:sz w:val="20"/>
                      <w:vertAlign w:val="superscript"/>
                    </w:rPr>
                    <w:t>-3</w:t>
                  </w:r>
                </w:p>
              </w:tc>
              <w:tc>
                <w:tcPr>
                  <w:tcW w:w="67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themeColor="text1"/>
                      <w:kern w:val="0"/>
                      <w:sz w:val="20"/>
                    </w:rPr>
                  </w:pPr>
                </w:p>
              </w:tc>
            </w:tr>
            <w:tr>
              <w:trPr>
                <w:trHeight w:val="454" w:hRule="atLeast"/>
                <w:jc w:val="center"/>
              </w:trPr>
              <w:tc>
                <w:tcPr>
                  <w:tcW w:w="822"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themeColor="text1"/>
                      <w:kern w:val="0"/>
                      <w:sz w:val="20"/>
                      <w:szCs w:val="21"/>
                    </w:rPr>
                  </w:pPr>
                </w:p>
              </w:tc>
              <w:tc>
                <w:tcPr>
                  <w:tcW w:w="66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p>
              </w:tc>
              <w:tc>
                <w:tcPr>
                  <w:tcW w:w="67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sz w:val="20"/>
                    </w:rPr>
                  </w:pPr>
                </w:p>
              </w:tc>
              <w:tc>
                <w:tcPr>
                  <w:tcW w:w="67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r>
                    <w:rPr>
                      <w:color w:val="000000" w:themeColor="text1"/>
                      <w:kern w:val="0"/>
                      <w:sz w:val="20"/>
                    </w:rPr>
                    <w:t>38</w:t>
                  </w:r>
                </w:p>
              </w:tc>
              <w:tc>
                <w:tcPr>
                  <w:tcW w:w="746" w:type="pct"/>
                  <w:tcBorders>
                    <w:top w:val="single" w:color="auto" w:sz="4" w:space="0"/>
                    <w:left w:val="single" w:color="auto" w:sz="4" w:space="0"/>
                    <w:bottom w:val="single" w:color="auto" w:sz="4" w:space="0"/>
                    <w:right w:val="single" w:color="auto" w:sz="4" w:space="0"/>
                  </w:tcBorders>
                  <w:vAlign w:val="center"/>
                </w:tcPr>
                <w:p>
                  <w:pPr>
                    <w:widowControl/>
                    <w:jc w:val="center"/>
                    <w:rPr>
                      <w:rFonts w:eastAsia="等线"/>
                      <w:color w:val="000000" w:themeColor="text1"/>
                      <w:kern w:val="0"/>
                      <w:sz w:val="20"/>
                    </w:rPr>
                  </w:pPr>
                  <w:r>
                    <w:rPr>
                      <w:rFonts w:eastAsia="等线"/>
                      <w:color w:val="000000" w:themeColor="text1"/>
                      <w:kern w:val="0"/>
                      <w:sz w:val="20"/>
                    </w:rPr>
                    <w:t>97</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等线"/>
                      <w:color w:val="000000" w:themeColor="text1"/>
                      <w:kern w:val="0"/>
                      <w:sz w:val="20"/>
                    </w:rPr>
                  </w:pPr>
                  <w:r>
                    <w:rPr>
                      <w:rFonts w:eastAsia="等线"/>
                      <w:color w:val="000000" w:themeColor="text1"/>
                      <w:kern w:val="0"/>
                      <w:sz w:val="20"/>
                    </w:rPr>
                    <w:t>6.5×10</w:t>
                  </w:r>
                  <w:r>
                    <w:rPr>
                      <w:rFonts w:eastAsia="等线"/>
                      <w:color w:val="000000" w:themeColor="text1"/>
                      <w:kern w:val="0"/>
                      <w:sz w:val="20"/>
                      <w:vertAlign w:val="superscript"/>
                    </w:rPr>
                    <w:t>-3</w:t>
                  </w:r>
                </w:p>
              </w:tc>
              <w:tc>
                <w:tcPr>
                  <w:tcW w:w="67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themeColor="text1"/>
                      <w:kern w:val="0"/>
                      <w:sz w:val="20"/>
                    </w:rPr>
                  </w:pPr>
                </w:p>
              </w:tc>
            </w:tr>
            <w:tr>
              <w:trPr>
                <w:trHeight w:val="454" w:hRule="atLeast"/>
                <w:jc w:val="center"/>
              </w:trPr>
              <w:tc>
                <w:tcPr>
                  <w:tcW w:w="822"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themeColor="text1"/>
                      <w:kern w:val="0"/>
                      <w:sz w:val="20"/>
                      <w:szCs w:val="21"/>
                    </w:rPr>
                  </w:pPr>
                </w:p>
              </w:tc>
              <w:tc>
                <w:tcPr>
                  <w:tcW w:w="66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p>
              </w:tc>
              <w:tc>
                <w:tcPr>
                  <w:tcW w:w="67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sz w:val="20"/>
                    </w:rPr>
                  </w:pPr>
                </w:p>
              </w:tc>
              <w:tc>
                <w:tcPr>
                  <w:tcW w:w="67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r>
                    <w:rPr>
                      <w:color w:val="000000" w:themeColor="text1"/>
                      <w:kern w:val="0"/>
                      <w:sz w:val="20"/>
                    </w:rPr>
                    <w:t>37</w:t>
                  </w:r>
                </w:p>
              </w:tc>
              <w:tc>
                <w:tcPr>
                  <w:tcW w:w="746" w:type="pct"/>
                  <w:tcBorders>
                    <w:top w:val="single" w:color="auto" w:sz="4" w:space="0"/>
                    <w:left w:val="single" w:color="auto" w:sz="4" w:space="0"/>
                    <w:bottom w:val="single" w:color="auto" w:sz="4" w:space="0"/>
                    <w:right w:val="single" w:color="auto" w:sz="4" w:space="0"/>
                  </w:tcBorders>
                  <w:vAlign w:val="center"/>
                </w:tcPr>
                <w:p>
                  <w:pPr>
                    <w:widowControl/>
                    <w:jc w:val="center"/>
                    <w:rPr>
                      <w:rFonts w:eastAsia="等线"/>
                      <w:color w:val="000000" w:themeColor="text1"/>
                      <w:kern w:val="0"/>
                      <w:sz w:val="20"/>
                    </w:rPr>
                  </w:pPr>
                  <w:r>
                    <w:rPr>
                      <w:rFonts w:eastAsia="等线"/>
                      <w:color w:val="000000" w:themeColor="text1"/>
                      <w:kern w:val="0"/>
                      <w:sz w:val="20"/>
                    </w:rPr>
                    <w:t>92</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等线"/>
                      <w:color w:val="000000" w:themeColor="text1"/>
                      <w:kern w:val="0"/>
                      <w:sz w:val="20"/>
                    </w:rPr>
                  </w:pPr>
                  <w:r>
                    <w:rPr>
                      <w:rFonts w:eastAsia="等线"/>
                      <w:color w:val="000000" w:themeColor="text1"/>
                      <w:kern w:val="0"/>
                      <w:sz w:val="20"/>
                    </w:rPr>
                    <w:t>6.4×10</w:t>
                  </w:r>
                  <w:r>
                    <w:rPr>
                      <w:rFonts w:eastAsia="等线"/>
                      <w:color w:val="000000" w:themeColor="text1"/>
                      <w:kern w:val="0"/>
                      <w:sz w:val="20"/>
                      <w:vertAlign w:val="superscript"/>
                    </w:rPr>
                    <w:t>-3</w:t>
                  </w:r>
                </w:p>
              </w:tc>
              <w:tc>
                <w:tcPr>
                  <w:tcW w:w="67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themeColor="text1"/>
                      <w:kern w:val="0"/>
                      <w:sz w:val="20"/>
                    </w:rPr>
                  </w:pPr>
                </w:p>
              </w:tc>
            </w:tr>
            <w:tr>
              <w:trPr>
                <w:trHeight w:val="454" w:hRule="atLeast"/>
                <w:jc w:val="center"/>
              </w:trPr>
              <w:tc>
                <w:tcPr>
                  <w:tcW w:w="822"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0"/>
                    </w:rPr>
                  </w:pPr>
                </w:p>
              </w:tc>
              <w:tc>
                <w:tcPr>
                  <w:tcW w:w="66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r>
                    <w:rPr>
                      <w:rFonts w:hint="eastAsia"/>
                      <w:color w:val="000000" w:themeColor="text1"/>
                      <w:kern w:val="0"/>
                      <w:sz w:val="20"/>
                    </w:rPr>
                    <w:t>氮氧化物</w:t>
                  </w:r>
                </w:p>
              </w:tc>
              <w:tc>
                <w:tcPr>
                  <w:tcW w:w="67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themeColor="text1"/>
                      <w:sz w:val="20"/>
                    </w:rPr>
                  </w:pPr>
                </w:p>
              </w:tc>
              <w:tc>
                <w:tcPr>
                  <w:tcW w:w="67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r>
                    <w:rPr>
                      <w:color w:val="000000" w:themeColor="text1"/>
                      <w:kern w:val="0"/>
                      <w:sz w:val="20"/>
                    </w:rPr>
                    <w:t>110</w:t>
                  </w:r>
                </w:p>
              </w:tc>
              <w:tc>
                <w:tcPr>
                  <w:tcW w:w="746" w:type="pct"/>
                  <w:tcBorders>
                    <w:top w:val="single" w:color="auto" w:sz="4" w:space="0"/>
                    <w:left w:val="single" w:color="auto" w:sz="4" w:space="0"/>
                    <w:bottom w:val="single" w:color="auto" w:sz="4" w:space="0"/>
                    <w:right w:val="single" w:color="auto" w:sz="4" w:space="0"/>
                  </w:tcBorders>
                  <w:vAlign w:val="center"/>
                </w:tcPr>
                <w:p>
                  <w:pPr>
                    <w:jc w:val="center"/>
                    <w:rPr>
                      <w:rFonts w:eastAsia="等线"/>
                      <w:color w:val="000000" w:themeColor="text1"/>
                      <w:sz w:val="20"/>
                    </w:rPr>
                  </w:pPr>
                  <w:r>
                    <w:rPr>
                      <w:rFonts w:eastAsia="等线"/>
                      <w:color w:val="000000" w:themeColor="text1"/>
                      <w:sz w:val="20"/>
                    </w:rPr>
                    <w:t>269</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eastAsia="等线"/>
                      <w:color w:val="000000" w:themeColor="text1"/>
                      <w:sz w:val="20"/>
                    </w:rPr>
                  </w:pPr>
                  <w:r>
                    <w:rPr>
                      <w:rFonts w:eastAsia="等线"/>
                      <w:color w:val="000000" w:themeColor="text1"/>
                      <w:sz w:val="20"/>
                    </w:rPr>
                    <w:t>0.018</w:t>
                  </w:r>
                </w:p>
              </w:tc>
              <w:tc>
                <w:tcPr>
                  <w:tcW w:w="67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themeColor="text1"/>
                      <w:kern w:val="0"/>
                      <w:sz w:val="20"/>
                    </w:rPr>
                  </w:pPr>
                </w:p>
              </w:tc>
            </w:tr>
            <w:tr>
              <w:trPr>
                <w:trHeight w:val="454" w:hRule="atLeast"/>
                <w:jc w:val="center"/>
              </w:trPr>
              <w:tc>
                <w:tcPr>
                  <w:tcW w:w="822"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0"/>
                    </w:rPr>
                  </w:pPr>
                </w:p>
              </w:tc>
              <w:tc>
                <w:tcPr>
                  <w:tcW w:w="66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p>
              </w:tc>
              <w:tc>
                <w:tcPr>
                  <w:tcW w:w="67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themeColor="text1"/>
                      <w:sz w:val="20"/>
                    </w:rPr>
                  </w:pPr>
                </w:p>
              </w:tc>
              <w:tc>
                <w:tcPr>
                  <w:tcW w:w="67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r>
                    <w:rPr>
                      <w:color w:val="000000" w:themeColor="text1"/>
                      <w:kern w:val="0"/>
                      <w:sz w:val="20"/>
                    </w:rPr>
                    <w:t>111</w:t>
                  </w:r>
                </w:p>
              </w:tc>
              <w:tc>
                <w:tcPr>
                  <w:tcW w:w="746" w:type="pct"/>
                  <w:tcBorders>
                    <w:top w:val="single" w:color="auto" w:sz="4" w:space="0"/>
                    <w:left w:val="single" w:color="auto" w:sz="4" w:space="0"/>
                    <w:bottom w:val="single" w:color="auto" w:sz="4" w:space="0"/>
                    <w:right w:val="single" w:color="auto" w:sz="4" w:space="0"/>
                  </w:tcBorders>
                  <w:vAlign w:val="center"/>
                </w:tcPr>
                <w:p>
                  <w:pPr>
                    <w:jc w:val="center"/>
                    <w:rPr>
                      <w:rFonts w:eastAsia="等线"/>
                      <w:color w:val="000000" w:themeColor="text1"/>
                      <w:sz w:val="20"/>
                    </w:rPr>
                  </w:pPr>
                  <w:r>
                    <w:rPr>
                      <w:rFonts w:eastAsia="等线"/>
                      <w:color w:val="000000" w:themeColor="text1"/>
                      <w:sz w:val="20"/>
                    </w:rPr>
                    <w:t>283</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eastAsia="等线"/>
                      <w:color w:val="000000" w:themeColor="text1"/>
                      <w:sz w:val="20"/>
                    </w:rPr>
                  </w:pPr>
                  <w:r>
                    <w:rPr>
                      <w:rFonts w:eastAsia="等线"/>
                      <w:color w:val="000000" w:themeColor="text1"/>
                      <w:sz w:val="20"/>
                    </w:rPr>
                    <w:t>0.019</w:t>
                  </w:r>
                </w:p>
              </w:tc>
              <w:tc>
                <w:tcPr>
                  <w:tcW w:w="67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themeColor="text1"/>
                      <w:kern w:val="0"/>
                      <w:sz w:val="20"/>
                    </w:rPr>
                  </w:pPr>
                </w:p>
              </w:tc>
            </w:tr>
            <w:tr>
              <w:trPr>
                <w:trHeight w:val="454" w:hRule="atLeast"/>
                <w:jc w:val="center"/>
              </w:trPr>
              <w:tc>
                <w:tcPr>
                  <w:tcW w:w="822"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0"/>
                    </w:rPr>
                  </w:pPr>
                </w:p>
              </w:tc>
              <w:tc>
                <w:tcPr>
                  <w:tcW w:w="66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p>
              </w:tc>
              <w:tc>
                <w:tcPr>
                  <w:tcW w:w="67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themeColor="text1"/>
                      <w:sz w:val="20"/>
                    </w:rPr>
                  </w:pPr>
                </w:p>
              </w:tc>
              <w:tc>
                <w:tcPr>
                  <w:tcW w:w="67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r>
                    <w:rPr>
                      <w:color w:val="000000" w:themeColor="text1"/>
                      <w:kern w:val="0"/>
                      <w:sz w:val="20"/>
                    </w:rPr>
                    <w:t>111</w:t>
                  </w:r>
                </w:p>
              </w:tc>
              <w:tc>
                <w:tcPr>
                  <w:tcW w:w="746" w:type="pct"/>
                  <w:tcBorders>
                    <w:top w:val="single" w:color="auto" w:sz="4" w:space="0"/>
                    <w:left w:val="single" w:color="auto" w:sz="4" w:space="0"/>
                    <w:bottom w:val="single" w:color="auto" w:sz="4" w:space="0"/>
                    <w:right w:val="single" w:color="auto" w:sz="4" w:space="0"/>
                  </w:tcBorders>
                  <w:vAlign w:val="center"/>
                </w:tcPr>
                <w:p>
                  <w:pPr>
                    <w:jc w:val="center"/>
                    <w:rPr>
                      <w:rFonts w:eastAsia="等线"/>
                      <w:color w:val="000000" w:themeColor="text1"/>
                      <w:sz w:val="20"/>
                    </w:rPr>
                  </w:pPr>
                  <w:r>
                    <w:rPr>
                      <w:rFonts w:eastAsia="等线"/>
                      <w:color w:val="000000" w:themeColor="text1"/>
                      <w:sz w:val="20"/>
                    </w:rPr>
                    <w:t>278</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eastAsia="等线"/>
                      <w:color w:val="000000" w:themeColor="text1"/>
                      <w:sz w:val="20"/>
                    </w:rPr>
                  </w:pPr>
                  <w:r>
                    <w:rPr>
                      <w:rFonts w:eastAsia="等线"/>
                      <w:color w:val="000000" w:themeColor="text1"/>
                      <w:sz w:val="20"/>
                    </w:rPr>
                    <w:t>0.019</w:t>
                  </w:r>
                </w:p>
              </w:tc>
              <w:tc>
                <w:tcPr>
                  <w:tcW w:w="67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themeColor="text1"/>
                      <w:kern w:val="0"/>
                      <w:sz w:val="20"/>
                    </w:rPr>
                  </w:pPr>
                </w:p>
              </w:tc>
            </w:tr>
            <w:tr>
              <w:trPr>
                <w:trHeight w:val="454" w:hRule="atLeast"/>
                <w:jc w:val="center"/>
              </w:trPr>
              <w:tc>
                <w:tcPr>
                  <w:tcW w:w="822"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themeColor="text1"/>
                      <w:kern w:val="0"/>
                      <w:sz w:val="20"/>
                      <w:szCs w:val="21"/>
                    </w:rPr>
                  </w:pPr>
                </w:p>
              </w:tc>
              <w:tc>
                <w:tcPr>
                  <w:tcW w:w="66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r>
                    <w:rPr>
                      <w:rFonts w:hint="eastAsia"/>
                      <w:color w:val="000000" w:themeColor="text1"/>
                      <w:kern w:val="0"/>
                      <w:sz w:val="20"/>
                    </w:rPr>
                    <w:t>颗粒物</w:t>
                  </w:r>
                </w:p>
              </w:tc>
              <w:tc>
                <w:tcPr>
                  <w:tcW w:w="676"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sz w:val="20"/>
                    </w:rPr>
                  </w:pPr>
                  <w:r>
                    <w:rPr>
                      <w:rFonts w:hint="eastAsia"/>
                      <w:color w:val="000000" w:themeColor="text1"/>
                      <w:sz w:val="20"/>
                    </w:rPr>
                    <w:t>2022/11/16</w:t>
                  </w:r>
                </w:p>
              </w:tc>
              <w:tc>
                <w:tcPr>
                  <w:tcW w:w="67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r>
                    <w:rPr>
                      <w:color w:val="000000" w:themeColor="text1"/>
                      <w:sz w:val="20"/>
                    </w:rPr>
                    <w:t xml:space="preserve">4.7 </w:t>
                  </w:r>
                </w:p>
              </w:tc>
              <w:tc>
                <w:tcPr>
                  <w:tcW w:w="746" w:type="pct"/>
                  <w:tcBorders>
                    <w:top w:val="single" w:color="auto" w:sz="4" w:space="0"/>
                    <w:left w:val="single" w:color="auto" w:sz="4" w:space="0"/>
                    <w:bottom w:val="single" w:color="auto" w:sz="4" w:space="0"/>
                    <w:right w:val="single" w:color="auto" w:sz="4" w:space="0"/>
                  </w:tcBorders>
                  <w:vAlign w:val="center"/>
                </w:tcPr>
                <w:p>
                  <w:pPr>
                    <w:widowControl/>
                    <w:jc w:val="center"/>
                    <w:rPr>
                      <w:rFonts w:eastAsia="等线"/>
                      <w:color w:val="000000" w:themeColor="text1"/>
                      <w:kern w:val="0"/>
                      <w:sz w:val="20"/>
                    </w:rPr>
                  </w:pPr>
                  <w:r>
                    <w:rPr>
                      <w:rFonts w:eastAsia="等线"/>
                      <w:color w:val="000000" w:themeColor="text1"/>
                      <w:kern w:val="0"/>
                      <w:sz w:val="20"/>
                    </w:rPr>
                    <w:t>11.5</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等线"/>
                      <w:color w:val="000000" w:themeColor="text1"/>
                      <w:kern w:val="0"/>
                      <w:sz w:val="20"/>
                    </w:rPr>
                  </w:pPr>
                  <w:r>
                    <w:rPr>
                      <w:rFonts w:eastAsia="等线"/>
                      <w:color w:val="000000" w:themeColor="text1"/>
                      <w:kern w:val="0"/>
                      <w:sz w:val="20"/>
                    </w:rPr>
                    <w:t>8.0×10</w:t>
                  </w:r>
                  <w:r>
                    <w:rPr>
                      <w:rFonts w:eastAsia="等线"/>
                      <w:color w:val="000000" w:themeColor="text1"/>
                      <w:kern w:val="0"/>
                      <w:sz w:val="20"/>
                      <w:vertAlign w:val="superscript"/>
                    </w:rPr>
                    <w:t>-4</w:t>
                  </w:r>
                </w:p>
              </w:tc>
              <w:tc>
                <w:tcPr>
                  <w:tcW w:w="67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p>
              </w:tc>
            </w:tr>
            <w:tr>
              <w:trPr>
                <w:trHeight w:val="454" w:hRule="atLeast"/>
                <w:jc w:val="center"/>
              </w:trPr>
              <w:tc>
                <w:tcPr>
                  <w:tcW w:w="822"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themeColor="text1"/>
                      <w:kern w:val="0"/>
                      <w:sz w:val="20"/>
                      <w:szCs w:val="21"/>
                    </w:rPr>
                  </w:pPr>
                </w:p>
              </w:tc>
              <w:tc>
                <w:tcPr>
                  <w:tcW w:w="66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p>
              </w:tc>
              <w:tc>
                <w:tcPr>
                  <w:tcW w:w="67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sz w:val="20"/>
                    </w:rPr>
                  </w:pPr>
                </w:p>
              </w:tc>
              <w:tc>
                <w:tcPr>
                  <w:tcW w:w="671"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themeColor="text1"/>
                      <w:sz w:val="20"/>
                    </w:rPr>
                  </w:pPr>
                  <w:r>
                    <w:rPr>
                      <w:color w:val="000000" w:themeColor="text1"/>
                      <w:sz w:val="20"/>
                    </w:rPr>
                    <w:t xml:space="preserve">5.4 </w:t>
                  </w:r>
                </w:p>
              </w:tc>
              <w:tc>
                <w:tcPr>
                  <w:tcW w:w="746" w:type="pct"/>
                  <w:tcBorders>
                    <w:top w:val="single" w:color="auto" w:sz="4" w:space="0"/>
                    <w:left w:val="single" w:color="auto" w:sz="4" w:space="0"/>
                    <w:bottom w:val="single" w:color="auto" w:sz="4" w:space="0"/>
                    <w:right w:val="single" w:color="auto" w:sz="4" w:space="0"/>
                  </w:tcBorders>
                  <w:vAlign w:val="center"/>
                </w:tcPr>
                <w:p>
                  <w:pPr>
                    <w:widowControl/>
                    <w:jc w:val="center"/>
                    <w:rPr>
                      <w:rFonts w:eastAsia="等线"/>
                      <w:color w:val="000000" w:themeColor="text1"/>
                      <w:kern w:val="0"/>
                      <w:sz w:val="20"/>
                    </w:rPr>
                  </w:pPr>
                  <w:r>
                    <w:rPr>
                      <w:rFonts w:eastAsia="等线"/>
                      <w:color w:val="000000" w:themeColor="text1"/>
                      <w:kern w:val="0"/>
                      <w:sz w:val="20"/>
                    </w:rPr>
                    <w:t>13.8</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等线"/>
                      <w:color w:val="000000" w:themeColor="text1"/>
                      <w:kern w:val="0"/>
                      <w:sz w:val="20"/>
                    </w:rPr>
                  </w:pPr>
                  <w:r>
                    <w:rPr>
                      <w:rFonts w:eastAsia="等线"/>
                      <w:color w:val="000000" w:themeColor="text1"/>
                      <w:kern w:val="0"/>
                      <w:sz w:val="20"/>
                    </w:rPr>
                    <w:t>9.5×10</w:t>
                  </w:r>
                  <w:r>
                    <w:rPr>
                      <w:rFonts w:eastAsia="等线"/>
                      <w:color w:val="000000" w:themeColor="text1"/>
                      <w:kern w:val="0"/>
                      <w:sz w:val="20"/>
                      <w:vertAlign w:val="superscript"/>
                    </w:rPr>
                    <w:t>-4</w:t>
                  </w:r>
                </w:p>
              </w:tc>
              <w:tc>
                <w:tcPr>
                  <w:tcW w:w="67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p>
              </w:tc>
            </w:tr>
            <w:tr>
              <w:trPr>
                <w:trHeight w:val="454" w:hRule="atLeast"/>
                <w:jc w:val="center"/>
              </w:trPr>
              <w:tc>
                <w:tcPr>
                  <w:tcW w:w="822"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themeColor="text1"/>
                      <w:kern w:val="0"/>
                      <w:sz w:val="20"/>
                      <w:szCs w:val="21"/>
                    </w:rPr>
                  </w:pPr>
                </w:p>
              </w:tc>
              <w:tc>
                <w:tcPr>
                  <w:tcW w:w="66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p>
              </w:tc>
              <w:tc>
                <w:tcPr>
                  <w:tcW w:w="67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sz w:val="20"/>
                    </w:rPr>
                  </w:pPr>
                </w:p>
              </w:tc>
              <w:tc>
                <w:tcPr>
                  <w:tcW w:w="671"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themeColor="text1"/>
                      <w:sz w:val="20"/>
                    </w:rPr>
                  </w:pPr>
                  <w:r>
                    <w:rPr>
                      <w:color w:val="000000" w:themeColor="text1"/>
                      <w:sz w:val="20"/>
                    </w:rPr>
                    <w:t xml:space="preserve">6.8 </w:t>
                  </w:r>
                </w:p>
              </w:tc>
              <w:tc>
                <w:tcPr>
                  <w:tcW w:w="746" w:type="pct"/>
                  <w:tcBorders>
                    <w:top w:val="single" w:color="auto" w:sz="4" w:space="0"/>
                    <w:left w:val="single" w:color="auto" w:sz="4" w:space="0"/>
                    <w:bottom w:val="single" w:color="auto" w:sz="4" w:space="0"/>
                    <w:right w:val="single" w:color="auto" w:sz="4" w:space="0"/>
                  </w:tcBorders>
                  <w:vAlign w:val="center"/>
                </w:tcPr>
                <w:p>
                  <w:pPr>
                    <w:widowControl/>
                    <w:jc w:val="center"/>
                    <w:rPr>
                      <w:rFonts w:eastAsia="等线"/>
                      <w:color w:val="000000" w:themeColor="text1"/>
                      <w:kern w:val="0"/>
                      <w:sz w:val="20"/>
                    </w:rPr>
                  </w:pPr>
                  <w:r>
                    <w:rPr>
                      <w:rFonts w:eastAsia="等线"/>
                      <w:color w:val="000000" w:themeColor="text1"/>
                      <w:kern w:val="0"/>
                      <w:sz w:val="20"/>
                    </w:rPr>
                    <w:t>17.0</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等线"/>
                      <w:color w:val="000000" w:themeColor="text1"/>
                      <w:kern w:val="0"/>
                      <w:sz w:val="20"/>
                    </w:rPr>
                  </w:pPr>
                  <w:r>
                    <w:rPr>
                      <w:rFonts w:eastAsia="等线"/>
                      <w:color w:val="000000" w:themeColor="text1"/>
                      <w:kern w:val="0"/>
                      <w:sz w:val="20"/>
                    </w:rPr>
                    <w:t>1.1×10</w:t>
                  </w:r>
                  <w:r>
                    <w:rPr>
                      <w:rFonts w:eastAsia="等线"/>
                      <w:color w:val="000000" w:themeColor="text1"/>
                      <w:kern w:val="0"/>
                      <w:sz w:val="20"/>
                      <w:vertAlign w:val="superscript"/>
                    </w:rPr>
                    <w:t>-3</w:t>
                  </w:r>
                </w:p>
              </w:tc>
              <w:tc>
                <w:tcPr>
                  <w:tcW w:w="67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p>
              </w:tc>
            </w:tr>
            <w:tr>
              <w:trPr>
                <w:trHeight w:val="454" w:hRule="atLeast"/>
                <w:jc w:val="center"/>
              </w:trPr>
              <w:tc>
                <w:tcPr>
                  <w:tcW w:w="822"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themeColor="text1"/>
                      <w:kern w:val="0"/>
                      <w:sz w:val="20"/>
                      <w:szCs w:val="21"/>
                    </w:rPr>
                  </w:pPr>
                </w:p>
              </w:tc>
              <w:tc>
                <w:tcPr>
                  <w:tcW w:w="66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r>
                    <w:rPr>
                      <w:rFonts w:hint="eastAsia"/>
                      <w:color w:val="000000" w:themeColor="text1"/>
                      <w:kern w:val="0"/>
                      <w:sz w:val="20"/>
                    </w:rPr>
                    <w:t>二氧化硫</w:t>
                  </w:r>
                </w:p>
              </w:tc>
              <w:tc>
                <w:tcPr>
                  <w:tcW w:w="67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sz w:val="20"/>
                    </w:rPr>
                  </w:pPr>
                </w:p>
              </w:tc>
              <w:tc>
                <w:tcPr>
                  <w:tcW w:w="67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r>
                    <w:rPr>
                      <w:color w:val="000000" w:themeColor="text1"/>
                      <w:kern w:val="0"/>
                      <w:sz w:val="20"/>
                    </w:rPr>
                    <w:t>38</w:t>
                  </w:r>
                </w:p>
              </w:tc>
              <w:tc>
                <w:tcPr>
                  <w:tcW w:w="746" w:type="pct"/>
                  <w:tcBorders>
                    <w:top w:val="single" w:color="auto" w:sz="4" w:space="0"/>
                    <w:left w:val="single" w:color="auto" w:sz="4" w:space="0"/>
                    <w:bottom w:val="single" w:color="auto" w:sz="4" w:space="0"/>
                    <w:right w:val="single" w:color="auto" w:sz="4" w:space="0"/>
                  </w:tcBorders>
                  <w:vAlign w:val="center"/>
                </w:tcPr>
                <w:p>
                  <w:pPr>
                    <w:widowControl/>
                    <w:jc w:val="center"/>
                    <w:rPr>
                      <w:rFonts w:eastAsia="等线"/>
                      <w:color w:val="000000" w:themeColor="text1"/>
                      <w:kern w:val="0"/>
                      <w:sz w:val="20"/>
                    </w:rPr>
                  </w:pPr>
                  <w:r>
                    <w:rPr>
                      <w:rFonts w:eastAsia="等线"/>
                      <w:color w:val="000000" w:themeColor="text1"/>
                      <w:kern w:val="0"/>
                      <w:sz w:val="20"/>
                    </w:rPr>
                    <w:t>93</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等线"/>
                      <w:color w:val="000000" w:themeColor="text1"/>
                      <w:kern w:val="0"/>
                      <w:sz w:val="20"/>
                    </w:rPr>
                  </w:pPr>
                  <w:r>
                    <w:rPr>
                      <w:rFonts w:eastAsia="等线"/>
                      <w:color w:val="000000" w:themeColor="text1"/>
                      <w:kern w:val="0"/>
                      <w:sz w:val="20"/>
                    </w:rPr>
                    <w:t>6.5×10</w:t>
                  </w:r>
                  <w:r>
                    <w:rPr>
                      <w:rFonts w:eastAsia="等线"/>
                      <w:color w:val="000000" w:themeColor="text1"/>
                      <w:kern w:val="0"/>
                      <w:sz w:val="20"/>
                      <w:vertAlign w:val="superscript"/>
                    </w:rPr>
                    <w:t>-3</w:t>
                  </w:r>
                </w:p>
              </w:tc>
              <w:tc>
                <w:tcPr>
                  <w:tcW w:w="67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p>
              </w:tc>
            </w:tr>
            <w:tr>
              <w:trPr>
                <w:trHeight w:val="454" w:hRule="atLeast"/>
                <w:jc w:val="center"/>
              </w:trPr>
              <w:tc>
                <w:tcPr>
                  <w:tcW w:w="822"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themeColor="text1"/>
                      <w:kern w:val="0"/>
                      <w:sz w:val="20"/>
                      <w:szCs w:val="21"/>
                    </w:rPr>
                  </w:pPr>
                </w:p>
              </w:tc>
              <w:tc>
                <w:tcPr>
                  <w:tcW w:w="66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p>
              </w:tc>
              <w:tc>
                <w:tcPr>
                  <w:tcW w:w="67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sz w:val="20"/>
                    </w:rPr>
                  </w:pPr>
                </w:p>
              </w:tc>
              <w:tc>
                <w:tcPr>
                  <w:tcW w:w="67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r>
                    <w:rPr>
                      <w:color w:val="000000" w:themeColor="text1"/>
                      <w:kern w:val="0"/>
                      <w:sz w:val="20"/>
                    </w:rPr>
                    <w:t>38</w:t>
                  </w:r>
                </w:p>
              </w:tc>
              <w:tc>
                <w:tcPr>
                  <w:tcW w:w="746" w:type="pct"/>
                  <w:tcBorders>
                    <w:top w:val="single" w:color="auto" w:sz="4" w:space="0"/>
                    <w:left w:val="single" w:color="auto" w:sz="4" w:space="0"/>
                    <w:bottom w:val="single" w:color="auto" w:sz="4" w:space="0"/>
                    <w:right w:val="single" w:color="auto" w:sz="4" w:space="0"/>
                  </w:tcBorders>
                  <w:vAlign w:val="center"/>
                </w:tcPr>
                <w:p>
                  <w:pPr>
                    <w:widowControl/>
                    <w:jc w:val="center"/>
                    <w:rPr>
                      <w:rFonts w:eastAsia="等线"/>
                      <w:color w:val="000000" w:themeColor="text1"/>
                      <w:kern w:val="0"/>
                      <w:sz w:val="20"/>
                    </w:rPr>
                  </w:pPr>
                  <w:r>
                    <w:rPr>
                      <w:rFonts w:eastAsia="等线"/>
                      <w:color w:val="000000" w:themeColor="text1"/>
                      <w:kern w:val="0"/>
                      <w:sz w:val="20"/>
                    </w:rPr>
                    <w:t>97</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等线"/>
                      <w:color w:val="000000" w:themeColor="text1"/>
                      <w:kern w:val="0"/>
                      <w:sz w:val="20"/>
                    </w:rPr>
                  </w:pPr>
                  <w:r>
                    <w:rPr>
                      <w:rFonts w:eastAsia="等线"/>
                      <w:color w:val="000000" w:themeColor="text1"/>
                      <w:kern w:val="0"/>
                      <w:sz w:val="20"/>
                    </w:rPr>
                    <w:t>6.7×10</w:t>
                  </w:r>
                  <w:r>
                    <w:rPr>
                      <w:rFonts w:eastAsia="等线"/>
                      <w:color w:val="000000" w:themeColor="text1"/>
                      <w:kern w:val="0"/>
                      <w:sz w:val="20"/>
                      <w:vertAlign w:val="superscript"/>
                    </w:rPr>
                    <w:t>-3</w:t>
                  </w:r>
                </w:p>
              </w:tc>
              <w:tc>
                <w:tcPr>
                  <w:tcW w:w="67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p>
              </w:tc>
            </w:tr>
            <w:tr>
              <w:trPr>
                <w:trHeight w:val="454" w:hRule="atLeast"/>
                <w:jc w:val="center"/>
              </w:trPr>
              <w:tc>
                <w:tcPr>
                  <w:tcW w:w="822"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themeColor="text1"/>
                      <w:kern w:val="0"/>
                      <w:sz w:val="20"/>
                      <w:szCs w:val="21"/>
                    </w:rPr>
                  </w:pPr>
                </w:p>
              </w:tc>
              <w:tc>
                <w:tcPr>
                  <w:tcW w:w="66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p>
              </w:tc>
              <w:tc>
                <w:tcPr>
                  <w:tcW w:w="67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sz w:val="20"/>
                    </w:rPr>
                  </w:pPr>
                </w:p>
              </w:tc>
              <w:tc>
                <w:tcPr>
                  <w:tcW w:w="67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r>
                    <w:rPr>
                      <w:color w:val="000000" w:themeColor="text1"/>
                      <w:kern w:val="0"/>
                      <w:sz w:val="20"/>
                    </w:rPr>
                    <w:t>37</w:t>
                  </w:r>
                </w:p>
              </w:tc>
              <w:tc>
                <w:tcPr>
                  <w:tcW w:w="746" w:type="pct"/>
                  <w:tcBorders>
                    <w:top w:val="single" w:color="auto" w:sz="4" w:space="0"/>
                    <w:left w:val="single" w:color="auto" w:sz="4" w:space="0"/>
                    <w:bottom w:val="single" w:color="auto" w:sz="4" w:space="0"/>
                    <w:right w:val="single" w:color="auto" w:sz="4" w:space="0"/>
                  </w:tcBorders>
                  <w:vAlign w:val="center"/>
                </w:tcPr>
                <w:p>
                  <w:pPr>
                    <w:widowControl/>
                    <w:jc w:val="center"/>
                    <w:rPr>
                      <w:rFonts w:eastAsia="等线"/>
                      <w:color w:val="000000" w:themeColor="text1"/>
                      <w:kern w:val="0"/>
                      <w:sz w:val="20"/>
                    </w:rPr>
                  </w:pPr>
                  <w:r>
                    <w:rPr>
                      <w:rFonts w:eastAsia="等线"/>
                      <w:color w:val="000000" w:themeColor="text1"/>
                      <w:kern w:val="0"/>
                      <w:sz w:val="20"/>
                    </w:rPr>
                    <w:t>92</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eastAsia="等线"/>
                      <w:color w:val="000000" w:themeColor="text1"/>
                      <w:kern w:val="0"/>
                      <w:sz w:val="20"/>
                    </w:rPr>
                  </w:pPr>
                  <w:r>
                    <w:rPr>
                      <w:rFonts w:eastAsia="等线"/>
                      <w:color w:val="000000" w:themeColor="text1"/>
                      <w:kern w:val="0"/>
                      <w:sz w:val="20"/>
                    </w:rPr>
                    <w:t>6.2×10</w:t>
                  </w:r>
                  <w:r>
                    <w:rPr>
                      <w:rFonts w:eastAsia="等线"/>
                      <w:color w:val="000000" w:themeColor="text1"/>
                      <w:kern w:val="0"/>
                      <w:sz w:val="20"/>
                      <w:vertAlign w:val="superscript"/>
                    </w:rPr>
                    <w:t>-3</w:t>
                  </w:r>
                </w:p>
              </w:tc>
              <w:tc>
                <w:tcPr>
                  <w:tcW w:w="67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p>
              </w:tc>
            </w:tr>
            <w:tr>
              <w:trPr>
                <w:trHeight w:val="454" w:hRule="atLeast"/>
                <w:jc w:val="center"/>
              </w:trPr>
              <w:tc>
                <w:tcPr>
                  <w:tcW w:w="822"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0"/>
                    </w:rPr>
                  </w:pPr>
                </w:p>
              </w:tc>
              <w:tc>
                <w:tcPr>
                  <w:tcW w:w="66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r>
                    <w:rPr>
                      <w:rFonts w:hint="eastAsia"/>
                      <w:color w:val="000000" w:themeColor="text1"/>
                      <w:kern w:val="0"/>
                      <w:sz w:val="20"/>
                    </w:rPr>
                    <w:t>氮氧化物</w:t>
                  </w:r>
                </w:p>
              </w:tc>
              <w:tc>
                <w:tcPr>
                  <w:tcW w:w="67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themeColor="text1"/>
                      <w:sz w:val="20"/>
                    </w:rPr>
                  </w:pPr>
                </w:p>
              </w:tc>
              <w:tc>
                <w:tcPr>
                  <w:tcW w:w="67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r>
                    <w:rPr>
                      <w:color w:val="000000" w:themeColor="text1"/>
                      <w:kern w:val="0"/>
                      <w:sz w:val="20"/>
                    </w:rPr>
                    <w:t>110</w:t>
                  </w:r>
                </w:p>
              </w:tc>
              <w:tc>
                <w:tcPr>
                  <w:tcW w:w="746" w:type="pct"/>
                  <w:tcBorders>
                    <w:top w:val="single" w:color="auto" w:sz="4" w:space="0"/>
                    <w:left w:val="single" w:color="auto" w:sz="4" w:space="0"/>
                    <w:bottom w:val="single" w:color="auto" w:sz="4" w:space="0"/>
                    <w:right w:val="single" w:color="auto" w:sz="4" w:space="0"/>
                  </w:tcBorders>
                  <w:vAlign w:val="center"/>
                </w:tcPr>
                <w:p>
                  <w:pPr>
                    <w:jc w:val="center"/>
                    <w:rPr>
                      <w:rFonts w:eastAsia="等线"/>
                      <w:color w:val="000000" w:themeColor="text1"/>
                      <w:sz w:val="20"/>
                    </w:rPr>
                  </w:pPr>
                  <w:r>
                    <w:rPr>
                      <w:rFonts w:eastAsia="等线"/>
                      <w:color w:val="000000" w:themeColor="text1"/>
                      <w:sz w:val="20"/>
                    </w:rPr>
                    <w:t>269</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eastAsia="等线"/>
                      <w:color w:val="000000" w:themeColor="text1"/>
                      <w:sz w:val="20"/>
                    </w:rPr>
                  </w:pPr>
                  <w:r>
                    <w:rPr>
                      <w:rFonts w:eastAsia="等线"/>
                      <w:color w:val="000000" w:themeColor="text1"/>
                      <w:sz w:val="20"/>
                    </w:rPr>
                    <w:t>0.019</w:t>
                  </w:r>
                </w:p>
              </w:tc>
              <w:tc>
                <w:tcPr>
                  <w:tcW w:w="67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p>
              </w:tc>
            </w:tr>
            <w:tr>
              <w:trPr>
                <w:trHeight w:val="454" w:hRule="atLeast"/>
                <w:jc w:val="center"/>
              </w:trPr>
              <w:tc>
                <w:tcPr>
                  <w:tcW w:w="822"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0"/>
                    </w:rPr>
                  </w:pPr>
                </w:p>
              </w:tc>
              <w:tc>
                <w:tcPr>
                  <w:tcW w:w="66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p>
              </w:tc>
              <w:tc>
                <w:tcPr>
                  <w:tcW w:w="67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themeColor="text1"/>
                      <w:sz w:val="20"/>
                    </w:rPr>
                  </w:pPr>
                </w:p>
              </w:tc>
              <w:tc>
                <w:tcPr>
                  <w:tcW w:w="67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r>
                    <w:rPr>
                      <w:color w:val="000000" w:themeColor="text1"/>
                      <w:kern w:val="0"/>
                      <w:sz w:val="20"/>
                    </w:rPr>
                    <w:t>111</w:t>
                  </w:r>
                </w:p>
              </w:tc>
              <w:tc>
                <w:tcPr>
                  <w:tcW w:w="746" w:type="pct"/>
                  <w:tcBorders>
                    <w:top w:val="single" w:color="auto" w:sz="4" w:space="0"/>
                    <w:left w:val="single" w:color="auto" w:sz="4" w:space="0"/>
                    <w:bottom w:val="single" w:color="auto" w:sz="4" w:space="0"/>
                    <w:right w:val="single" w:color="auto" w:sz="4" w:space="0"/>
                  </w:tcBorders>
                  <w:vAlign w:val="center"/>
                </w:tcPr>
                <w:p>
                  <w:pPr>
                    <w:jc w:val="center"/>
                    <w:rPr>
                      <w:rFonts w:eastAsia="等线"/>
                      <w:color w:val="000000" w:themeColor="text1"/>
                      <w:sz w:val="20"/>
                    </w:rPr>
                  </w:pPr>
                  <w:r>
                    <w:rPr>
                      <w:rFonts w:eastAsia="等线"/>
                      <w:color w:val="000000" w:themeColor="text1"/>
                      <w:sz w:val="20"/>
                    </w:rPr>
                    <w:t>283</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eastAsia="等线"/>
                      <w:color w:val="000000" w:themeColor="text1"/>
                      <w:sz w:val="20"/>
                    </w:rPr>
                  </w:pPr>
                  <w:r>
                    <w:rPr>
                      <w:rFonts w:eastAsia="等线"/>
                      <w:color w:val="000000" w:themeColor="text1"/>
                      <w:sz w:val="20"/>
                    </w:rPr>
                    <w:t>0.020</w:t>
                  </w:r>
                </w:p>
              </w:tc>
              <w:tc>
                <w:tcPr>
                  <w:tcW w:w="67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p>
              </w:tc>
            </w:tr>
            <w:tr>
              <w:trPr>
                <w:trHeight w:val="454" w:hRule="atLeast"/>
                <w:jc w:val="center"/>
              </w:trPr>
              <w:tc>
                <w:tcPr>
                  <w:tcW w:w="822" w:type="pct"/>
                  <w:vMerge w:val="continue"/>
                  <w:tcBorders>
                    <w:top w:val="single" w:color="auto" w:sz="4" w:space="0"/>
                    <w:left w:val="single" w:color="auto" w:sz="4" w:space="0"/>
                    <w:bottom w:val="single" w:color="auto" w:sz="4" w:space="0"/>
                    <w:right w:val="single" w:color="auto" w:sz="4" w:space="0"/>
                  </w:tcBorders>
                  <w:vAlign w:val="center"/>
                </w:tcPr>
                <w:p>
                  <w:pPr>
                    <w:widowControl/>
                    <w:jc w:val="center"/>
                    <w:rPr>
                      <w:color w:val="000000" w:themeColor="text1"/>
                      <w:kern w:val="0"/>
                      <w:sz w:val="20"/>
                    </w:rPr>
                  </w:pPr>
                </w:p>
              </w:tc>
              <w:tc>
                <w:tcPr>
                  <w:tcW w:w="665"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p>
              </w:tc>
              <w:tc>
                <w:tcPr>
                  <w:tcW w:w="676"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jc w:val="center"/>
                    <w:rPr>
                      <w:color w:val="000000" w:themeColor="text1"/>
                      <w:sz w:val="20"/>
                    </w:rPr>
                  </w:pPr>
                </w:p>
              </w:tc>
              <w:tc>
                <w:tcPr>
                  <w:tcW w:w="671" w:type="pc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r>
                    <w:rPr>
                      <w:color w:val="000000" w:themeColor="text1"/>
                      <w:kern w:val="0"/>
                      <w:sz w:val="20"/>
                    </w:rPr>
                    <w:t>111</w:t>
                  </w:r>
                </w:p>
              </w:tc>
              <w:tc>
                <w:tcPr>
                  <w:tcW w:w="746" w:type="pct"/>
                  <w:tcBorders>
                    <w:top w:val="single" w:color="auto" w:sz="4" w:space="0"/>
                    <w:left w:val="single" w:color="auto" w:sz="4" w:space="0"/>
                    <w:bottom w:val="single" w:color="auto" w:sz="4" w:space="0"/>
                    <w:right w:val="single" w:color="auto" w:sz="4" w:space="0"/>
                  </w:tcBorders>
                  <w:vAlign w:val="center"/>
                </w:tcPr>
                <w:p>
                  <w:pPr>
                    <w:jc w:val="center"/>
                    <w:rPr>
                      <w:rFonts w:eastAsia="等线"/>
                      <w:color w:val="000000" w:themeColor="text1"/>
                      <w:sz w:val="20"/>
                    </w:rPr>
                  </w:pPr>
                  <w:r>
                    <w:rPr>
                      <w:rFonts w:eastAsia="等线"/>
                      <w:color w:val="000000" w:themeColor="text1"/>
                      <w:sz w:val="20"/>
                    </w:rPr>
                    <w:t>278</w:t>
                  </w:r>
                </w:p>
              </w:tc>
              <w:tc>
                <w:tcPr>
                  <w:tcW w:w="746" w:type="pct"/>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eastAsia="等线"/>
                      <w:color w:val="000000" w:themeColor="text1"/>
                      <w:sz w:val="20"/>
                    </w:rPr>
                  </w:pPr>
                  <w:r>
                    <w:rPr>
                      <w:rFonts w:eastAsia="等线"/>
                      <w:color w:val="000000" w:themeColor="text1"/>
                      <w:sz w:val="20"/>
                    </w:rPr>
                    <w:t>0.018</w:t>
                  </w:r>
                </w:p>
              </w:tc>
              <w:tc>
                <w:tcPr>
                  <w:tcW w:w="670" w:type="pct"/>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color w:val="000000" w:themeColor="text1"/>
                      <w:kern w:val="0"/>
                      <w:sz w:val="20"/>
                    </w:rPr>
                  </w:pPr>
                </w:p>
              </w:tc>
            </w:tr>
          </w:tbl>
          <w:p>
            <w:pPr>
              <w:spacing w:line="360" w:lineRule="auto"/>
              <w:ind w:left="560"/>
              <w:jc w:val="left"/>
              <w:rPr>
                <w:rFonts w:hint="default" w:ascii="Times New Roman" w:hAnsi="Times New Roman" w:cs="Times New Roman"/>
                <w:b/>
                <w:color w:val="000000" w:themeColor="text1"/>
                <w:sz w:val="28"/>
                <w:szCs w:val="28"/>
              </w:rPr>
            </w:pPr>
            <w:r>
              <w:rPr>
                <w:rFonts w:hint="default" w:ascii="Times New Roman" w:hAnsi="Times New Roman" w:cs="Times New Roman"/>
                <w:b/>
                <w:color w:val="000000" w:themeColor="text1"/>
                <w:sz w:val="24"/>
              </w:rPr>
              <w:t xml:space="preserve">（2）无组织废气监测结果 </w:t>
            </w:r>
            <w:r>
              <w:rPr>
                <w:rFonts w:hint="default" w:ascii="Times New Roman" w:hAnsi="Times New Roman" w:cs="Times New Roman"/>
                <w:b/>
                <w:color w:val="000000" w:themeColor="text1"/>
                <w:sz w:val="28"/>
                <w:szCs w:val="28"/>
              </w:rPr>
              <w:t xml:space="preserve"> </w:t>
            </w:r>
          </w:p>
          <w:p>
            <w:pPr>
              <w:spacing w:line="360" w:lineRule="auto"/>
              <w:jc w:val="center"/>
              <w:rPr>
                <w:rFonts w:hint="default" w:ascii="Times New Roman" w:hAnsi="Times New Roman" w:cs="Times New Roman"/>
                <w:bCs/>
                <w:color w:val="000000" w:themeColor="text1"/>
                <w:sz w:val="24"/>
              </w:rPr>
            </w:pPr>
            <w:r>
              <w:rPr>
                <w:rFonts w:hint="default" w:ascii="Times New Roman" w:hAnsi="Times New Roman" w:cs="Times New Roman"/>
                <w:b/>
                <w:color w:val="000000" w:themeColor="text1"/>
                <w:sz w:val="24"/>
              </w:rPr>
              <w:t>表7.3  项目无组织颗粒物监测结果统计表</w:t>
            </w:r>
          </w:p>
          <w:tbl>
            <w:tblPr>
              <w:tblStyle w:val="17"/>
              <w:tblW w:w="94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6"/>
              <w:gridCol w:w="1206"/>
              <w:gridCol w:w="1218"/>
              <w:gridCol w:w="1353"/>
              <w:gridCol w:w="1353"/>
              <w:gridCol w:w="1353"/>
              <w:gridCol w:w="13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284" w:type="dxa"/>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kern w:val="0"/>
                      <w:sz w:val="20"/>
                    </w:rPr>
                  </w:pPr>
                  <w:r>
                    <w:rPr>
                      <w:color w:val="000000"/>
                      <w:kern w:val="0"/>
                      <w:sz w:val="20"/>
                    </w:rPr>
                    <w:t>检测项目</w:t>
                  </w:r>
                </w:p>
              </w:tc>
              <w:tc>
                <w:tcPr>
                  <w:tcW w:w="2539" w:type="dxa"/>
                  <w:gridSpan w:val="2"/>
                  <w:vMerge w:val="restart"/>
                  <w:tcBorders>
                    <w:top w:val="single" w:color="auto" w:sz="4" w:space="0"/>
                    <w:left w:val="single" w:color="auto" w:sz="4" w:space="0"/>
                    <w:bottom w:val="single" w:color="auto" w:sz="4" w:space="0"/>
                    <w:right w:val="single" w:color="auto" w:sz="4" w:space="0"/>
                  </w:tcBorders>
                  <w:noWrap/>
                  <w:vAlign w:val="center"/>
                </w:tcPr>
                <w:p>
                  <w:pPr>
                    <w:widowControl/>
                    <w:jc w:val="center"/>
                    <w:rPr>
                      <w:sz w:val="20"/>
                    </w:rPr>
                  </w:pPr>
                  <w:r>
                    <w:rPr>
                      <w:color w:val="000000"/>
                      <w:kern w:val="0"/>
                      <w:sz w:val="20"/>
                    </w:rPr>
                    <w:t>采样</w:t>
                  </w:r>
                  <w:r>
                    <w:rPr>
                      <w:rFonts w:hint="eastAsia"/>
                      <w:color w:val="000000"/>
                      <w:kern w:val="0"/>
                      <w:sz w:val="20"/>
                    </w:rPr>
                    <w:t>日期</w:t>
                  </w:r>
                </w:p>
              </w:tc>
              <w:tc>
                <w:tcPr>
                  <w:tcW w:w="5674" w:type="dxa"/>
                  <w:gridSpan w:val="4"/>
                  <w:tcBorders>
                    <w:top w:val="single" w:color="auto" w:sz="4" w:space="0"/>
                    <w:left w:val="single" w:color="auto" w:sz="4" w:space="0"/>
                    <w:bottom w:val="single" w:color="auto" w:sz="4" w:space="0"/>
                    <w:right w:val="single" w:color="auto" w:sz="4" w:space="0"/>
                  </w:tcBorders>
                  <w:noWrap/>
                  <w:vAlign w:val="center"/>
                </w:tcPr>
                <w:p>
                  <w:pPr>
                    <w:jc w:val="center"/>
                    <w:rPr>
                      <w:sz w:val="20"/>
                    </w:rPr>
                  </w:pPr>
                  <w:r>
                    <w:rPr>
                      <w:sz w:val="20"/>
                    </w:rPr>
                    <w:t>排放浓度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84" w:type="dxa"/>
                  <w:vMerge w:val="continue"/>
                  <w:tcBorders>
                    <w:top w:val="single" w:color="auto" w:sz="4" w:space="0"/>
                    <w:left w:val="single" w:color="auto" w:sz="4" w:space="0"/>
                    <w:bottom w:val="single" w:color="auto" w:sz="4" w:space="0"/>
                    <w:right w:val="single" w:color="auto" w:sz="4" w:space="0"/>
                  </w:tcBorders>
                  <w:noWrap/>
                  <w:vAlign w:val="center"/>
                </w:tcPr>
                <w:p/>
              </w:tc>
              <w:tc>
                <w:tcPr>
                  <w:tcW w:w="2539" w:type="dxa"/>
                  <w:gridSpan w:val="2"/>
                  <w:vMerge w:val="continue"/>
                  <w:tcBorders>
                    <w:top w:val="single" w:color="auto" w:sz="4" w:space="0"/>
                    <w:left w:val="single" w:color="auto" w:sz="4" w:space="0"/>
                    <w:bottom w:val="single" w:color="auto" w:sz="4" w:space="0"/>
                    <w:right w:val="single" w:color="auto" w:sz="4" w:space="0"/>
                  </w:tcBorders>
                  <w:noWrap/>
                  <w:vAlign w:val="center"/>
                </w:tcPr>
                <w:p/>
              </w:tc>
              <w:tc>
                <w:tcPr>
                  <w:tcW w:w="1418" w:type="dxa"/>
                  <w:tcBorders>
                    <w:top w:val="single" w:color="auto" w:sz="4" w:space="0"/>
                    <w:left w:val="single" w:color="auto" w:sz="4" w:space="0"/>
                    <w:bottom w:val="single" w:color="auto" w:sz="4" w:space="0"/>
                    <w:right w:val="single" w:color="auto" w:sz="4" w:space="0"/>
                  </w:tcBorders>
                  <w:noWrap/>
                  <w:vAlign w:val="center"/>
                </w:tcPr>
                <w:p>
                  <w:pPr>
                    <w:jc w:val="center"/>
                    <w:rPr>
                      <w:sz w:val="20"/>
                    </w:rPr>
                  </w:pPr>
                  <w:r>
                    <w:rPr>
                      <w:sz w:val="20"/>
                    </w:rPr>
                    <w:t>上风向G1</w:t>
                  </w:r>
                </w:p>
              </w:tc>
              <w:tc>
                <w:tcPr>
                  <w:tcW w:w="1419" w:type="dxa"/>
                  <w:tcBorders>
                    <w:top w:val="single" w:color="auto" w:sz="4" w:space="0"/>
                    <w:left w:val="single" w:color="auto" w:sz="4" w:space="0"/>
                    <w:bottom w:val="single" w:color="auto" w:sz="4" w:space="0"/>
                    <w:right w:val="single" w:color="auto" w:sz="4" w:space="0"/>
                  </w:tcBorders>
                  <w:noWrap/>
                  <w:vAlign w:val="center"/>
                </w:tcPr>
                <w:p>
                  <w:pPr>
                    <w:jc w:val="center"/>
                    <w:rPr>
                      <w:sz w:val="20"/>
                    </w:rPr>
                  </w:pPr>
                  <w:r>
                    <w:rPr>
                      <w:sz w:val="20"/>
                    </w:rPr>
                    <w:t>下风向G2</w:t>
                  </w:r>
                </w:p>
              </w:tc>
              <w:tc>
                <w:tcPr>
                  <w:tcW w:w="1418" w:type="dxa"/>
                  <w:tcBorders>
                    <w:top w:val="single" w:color="auto" w:sz="4" w:space="0"/>
                    <w:left w:val="single" w:color="auto" w:sz="4" w:space="0"/>
                    <w:bottom w:val="single" w:color="auto" w:sz="4" w:space="0"/>
                    <w:right w:val="single" w:color="auto" w:sz="4" w:space="0"/>
                  </w:tcBorders>
                  <w:noWrap/>
                  <w:vAlign w:val="center"/>
                </w:tcPr>
                <w:p>
                  <w:pPr>
                    <w:jc w:val="center"/>
                    <w:rPr>
                      <w:sz w:val="20"/>
                    </w:rPr>
                  </w:pPr>
                  <w:r>
                    <w:rPr>
                      <w:sz w:val="20"/>
                    </w:rPr>
                    <w:t>下风向G3</w:t>
                  </w:r>
                </w:p>
              </w:tc>
              <w:tc>
                <w:tcPr>
                  <w:tcW w:w="1419" w:type="dxa"/>
                  <w:tcBorders>
                    <w:top w:val="single" w:color="auto" w:sz="4" w:space="0"/>
                    <w:left w:val="single" w:color="auto" w:sz="4" w:space="0"/>
                    <w:bottom w:val="single" w:color="auto" w:sz="4" w:space="0"/>
                    <w:right w:val="single" w:color="auto" w:sz="4" w:space="0"/>
                  </w:tcBorders>
                  <w:noWrap/>
                  <w:vAlign w:val="center"/>
                </w:tcPr>
                <w:p>
                  <w:pPr>
                    <w:jc w:val="center"/>
                    <w:rPr>
                      <w:sz w:val="20"/>
                    </w:rPr>
                  </w:pPr>
                  <w:r>
                    <w:rPr>
                      <w:sz w:val="20"/>
                    </w:rPr>
                    <w:t>下风向G4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28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color w:val="000000"/>
                      <w:kern w:val="0"/>
                      <w:sz w:val="20"/>
                    </w:rPr>
                  </w:pPr>
                  <w:r>
                    <w:rPr>
                      <w:color w:val="000000"/>
                      <w:kern w:val="0"/>
                      <w:sz w:val="20"/>
                    </w:rPr>
                    <w:t>颗粒物</w:t>
                  </w:r>
                  <w:r>
                    <w:rPr>
                      <w:sz w:val="20"/>
                    </w:rPr>
                    <w:t>（</w:t>
                  </w:r>
                  <w:r>
                    <w:rPr>
                      <w:color w:val="000000"/>
                      <w:kern w:val="0"/>
                      <w:sz w:val="20"/>
                    </w:rPr>
                    <w:t>mg/m³</w:t>
                  </w:r>
                  <w:r>
                    <w:rPr>
                      <w:sz w:val="20"/>
                    </w:rPr>
                    <w:t>）</w:t>
                  </w:r>
                </w:p>
              </w:tc>
              <w:tc>
                <w:tcPr>
                  <w:tcW w:w="1263" w:type="dxa"/>
                  <w:vMerge w:val="restart"/>
                  <w:tcBorders>
                    <w:top w:val="single" w:color="auto" w:sz="4" w:space="0"/>
                    <w:left w:val="single" w:color="auto" w:sz="4" w:space="0"/>
                    <w:right w:val="single" w:color="auto" w:sz="4" w:space="0"/>
                  </w:tcBorders>
                  <w:noWrap/>
                  <w:vAlign w:val="center"/>
                </w:tcPr>
                <w:p>
                  <w:pPr>
                    <w:widowControl/>
                    <w:jc w:val="center"/>
                    <w:rPr>
                      <w:color w:val="000000"/>
                      <w:sz w:val="20"/>
                    </w:rPr>
                  </w:pPr>
                  <w:r>
                    <w:rPr>
                      <w:color w:val="000000"/>
                      <w:sz w:val="20"/>
                    </w:rPr>
                    <w:t>2022/11/15</w:t>
                  </w:r>
                </w:p>
              </w:tc>
              <w:tc>
                <w:tcPr>
                  <w:tcW w:w="1276"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sz w:val="20"/>
                    </w:rPr>
                  </w:pPr>
                  <w:r>
                    <w:rPr>
                      <w:rFonts w:hint="eastAsia"/>
                      <w:color w:val="000000"/>
                      <w:sz w:val="20"/>
                    </w:rPr>
                    <w:t>第一次</w:t>
                  </w:r>
                </w:p>
              </w:tc>
              <w:tc>
                <w:tcPr>
                  <w:tcW w:w="1418"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kern w:val="0"/>
                      <w:sz w:val="20"/>
                    </w:rPr>
                  </w:pPr>
                  <w:r>
                    <w:rPr>
                      <w:color w:val="000000"/>
                      <w:sz w:val="20"/>
                    </w:rPr>
                    <w:t xml:space="preserve">0.184 </w:t>
                  </w:r>
                </w:p>
              </w:tc>
              <w:tc>
                <w:tcPr>
                  <w:tcW w:w="1419"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kern w:val="0"/>
                      <w:sz w:val="20"/>
                    </w:rPr>
                  </w:pPr>
                  <w:r>
                    <w:rPr>
                      <w:color w:val="000000"/>
                      <w:sz w:val="20"/>
                    </w:rPr>
                    <w:t xml:space="preserve">0.267 </w:t>
                  </w:r>
                </w:p>
              </w:tc>
              <w:tc>
                <w:tcPr>
                  <w:tcW w:w="1418"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kern w:val="0"/>
                      <w:sz w:val="20"/>
                    </w:rPr>
                  </w:pPr>
                  <w:r>
                    <w:rPr>
                      <w:color w:val="000000"/>
                      <w:sz w:val="20"/>
                    </w:rPr>
                    <w:t xml:space="preserve">0.418 </w:t>
                  </w:r>
                </w:p>
              </w:tc>
              <w:tc>
                <w:tcPr>
                  <w:tcW w:w="1419"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kern w:val="0"/>
                      <w:sz w:val="20"/>
                    </w:rPr>
                  </w:pPr>
                  <w:r>
                    <w:rPr>
                      <w:color w:val="000000"/>
                      <w:sz w:val="20"/>
                    </w:rPr>
                    <w:t xml:space="preserve">0.317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8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sz w:val="20"/>
                    </w:rPr>
                  </w:pPr>
                </w:p>
              </w:tc>
              <w:tc>
                <w:tcPr>
                  <w:tcW w:w="1263" w:type="dxa"/>
                  <w:vMerge w:val="continue"/>
                  <w:tcBorders>
                    <w:left w:val="single" w:color="auto" w:sz="4" w:space="0"/>
                    <w:right w:val="single" w:color="auto" w:sz="4" w:space="0"/>
                  </w:tcBorders>
                  <w:noWrap/>
                  <w:vAlign w:val="center"/>
                </w:tcPr>
                <w:p>
                  <w:pPr>
                    <w:jc w:val="center"/>
                  </w:pPr>
                </w:p>
              </w:tc>
              <w:tc>
                <w:tcPr>
                  <w:tcW w:w="1276" w:type="dxa"/>
                  <w:tcBorders>
                    <w:top w:val="single" w:color="auto" w:sz="4" w:space="0"/>
                    <w:left w:val="single" w:color="auto" w:sz="4" w:space="0"/>
                    <w:bottom w:val="single" w:color="auto" w:sz="4" w:space="0"/>
                    <w:right w:val="single" w:color="auto" w:sz="4" w:space="0"/>
                  </w:tcBorders>
                  <w:noWrap/>
                  <w:vAlign w:val="center"/>
                </w:tcPr>
                <w:p>
                  <w:pPr>
                    <w:jc w:val="center"/>
                    <w:rPr>
                      <w:color w:val="000000"/>
                      <w:sz w:val="20"/>
                    </w:rPr>
                  </w:pPr>
                  <w:r>
                    <w:rPr>
                      <w:rFonts w:hint="eastAsia"/>
                      <w:color w:val="000000"/>
                      <w:sz w:val="20"/>
                    </w:rPr>
                    <w:t>第二次</w:t>
                  </w:r>
                </w:p>
              </w:tc>
              <w:tc>
                <w:tcPr>
                  <w:tcW w:w="1418" w:type="dxa"/>
                  <w:tcBorders>
                    <w:top w:val="single" w:color="auto" w:sz="4" w:space="0"/>
                    <w:left w:val="single" w:color="auto" w:sz="4" w:space="0"/>
                    <w:bottom w:val="single" w:color="auto" w:sz="4" w:space="0"/>
                    <w:right w:val="single" w:color="auto" w:sz="4" w:space="0"/>
                  </w:tcBorders>
                  <w:noWrap/>
                  <w:vAlign w:val="center"/>
                </w:tcPr>
                <w:p>
                  <w:pPr>
                    <w:jc w:val="center"/>
                    <w:rPr>
                      <w:color w:val="000000"/>
                      <w:sz w:val="20"/>
                    </w:rPr>
                  </w:pPr>
                  <w:r>
                    <w:rPr>
                      <w:color w:val="000000"/>
                      <w:sz w:val="20"/>
                    </w:rPr>
                    <w:t xml:space="preserve">0.167 </w:t>
                  </w:r>
                </w:p>
              </w:tc>
              <w:tc>
                <w:tcPr>
                  <w:tcW w:w="1419" w:type="dxa"/>
                  <w:tcBorders>
                    <w:top w:val="single" w:color="auto" w:sz="4" w:space="0"/>
                    <w:left w:val="single" w:color="auto" w:sz="4" w:space="0"/>
                    <w:bottom w:val="single" w:color="auto" w:sz="4" w:space="0"/>
                    <w:right w:val="single" w:color="auto" w:sz="4" w:space="0"/>
                  </w:tcBorders>
                  <w:noWrap/>
                  <w:vAlign w:val="center"/>
                </w:tcPr>
                <w:p>
                  <w:pPr>
                    <w:jc w:val="center"/>
                    <w:rPr>
                      <w:color w:val="000000"/>
                      <w:sz w:val="20"/>
                    </w:rPr>
                  </w:pPr>
                  <w:r>
                    <w:rPr>
                      <w:color w:val="000000"/>
                      <w:sz w:val="20"/>
                    </w:rPr>
                    <w:t xml:space="preserve">0.334 </w:t>
                  </w:r>
                </w:p>
              </w:tc>
              <w:tc>
                <w:tcPr>
                  <w:tcW w:w="1418" w:type="dxa"/>
                  <w:tcBorders>
                    <w:top w:val="single" w:color="auto" w:sz="4" w:space="0"/>
                    <w:left w:val="single" w:color="auto" w:sz="4" w:space="0"/>
                    <w:bottom w:val="single" w:color="auto" w:sz="4" w:space="0"/>
                    <w:right w:val="single" w:color="auto" w:sz="4" w:space="0"/>
                  </w:tcBorders>
                  <w:noWrap/>
                  <w:vAlign w:val="center"/>
                </w:tcPr>
                <w:p>
                  <w:pPr>
                    <w:jc w:val="center"/>
                    <w:rPr>
                      <w:color w:val="000000"/>
                      <w:sz w:val="20"/>
                    </w:rPr>
                  </w:pPr>
                  <w:r>
                    <w:rPr>
                      <w:color w:val="000000"/>
                      <w:sz w:val="20"/>
                    </w:rPr>
                    <w:t xml:space="preserve">0.351 </w:t>
                  </w:r>
                </w:p>
              </w:tc>
              <w:tc>
                <w:tcPr>
                  <w:tcW w:w="1419" w:type="dxa"/>
                  <w:tcBorders>
                    <w:top w:val="single" w:color="auto" w:sz="4" w:space="0"/>
                    <w:left w:val="single" w:color="auto" w:sz="4" w:space="0"/>
                    <w:bottom w:val="single" w:color="auto" w:sz="4" w:space="0"/>
                    <w:right w:val="single" w:color="auto" w:sz="4" w:space="0"/>
                  </w:tcBorders>
                  <w:noWrap/>
                  <w:vAlign w:val="center"/>
                </w:tcPr>
                <w:p>
                  <w:pPr>
                    <w:jc w:val="center"/>
                    <w:rPr>
                      <w:color w:val="000000"/>
                      <w:sz w:val="20"/>
                    </w:rPr>
                  </w:pPr>
                  <w:r>
                    <w:rPr>
                      <w:color w:val="000000"/>
                      <w:sz w:val="20"/>
                    </w:rPr>
                    <w:t xml:space="preserve">0.317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8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sz w:val="20"/>
                    </w:rPr>
                  </w:pPr>
                </w:p>
              </w:tc>
              <w:tc>
                <w:tcPr>
                  <w:tcW w:w="1263" w:type="dxa"/>
                  <w:vMerge w:val="continue"/>
                  <w:tcBorders>
                    <w:left w:val="single" w:color="auto" w:sz="4" w:space="0"/>
                    <w:right w:val="single" w:color="auto" w:sz="4" w:space="0"/>
                  </w:tcBorders>
                  <w:noWrap/>
                  <w:vAlign w:val="center"/>
                </w:tcPr>
                <w:p>
                  <w:pPr>
                    <w:jc w:val="center"/>
                  </w:pPr>
                </w:p>
              </w:tc>
              <w:tc>
                <w:tcPr>
                  <w:tcW w:w="1276" w:type="dxa"/>
                  <w:tcBorders>
                    <w:top w:val="single" w:color="auto" w:sz="4" w:space="0"/>
                    <w:left w:val="single" w:color="auto" w:sz="4" w:space="0"/>
                    <w:bottom w:val="single" w:color="auto" w:sz="4" w:space="0"/>
                    <w:right w:val="single" w:color="auto" w:sz="4" w:space="0"/>
                  </w:tcBorders>
                  <w:noWrap/>
                  <w:vAlign w:val="center"/>
                </w:tcPr>
                <w:p>
                  <w:pPr>
                    <w:jc w:val="center"/>
                    <w:rPr>
                      <w:color w:val="000000"/>
                      <w:sz w:val="20"/>
                    </w:rPr>
                  </w:pPr>
                  <w:r>
                    <w:rPr>
                      <w:rFonts w:hint="eastAsia"/>
                      <w:color w:val="000000"/>
                      <w:sz w:val="20"/>
                    </w:rPr>
                    <w:t>第三次</w:t>
                  </w:r>
                </w:p>
              </w:tc>
              <w:tc>
                <w:tcPr>
                  <w:tcW w:w="1418" w:type="dxa"/>
                  <w:tcBorders>
                    <w:top w:val="single" w:color="auto" w:sz="4" w:space="0"/>
                    <w:left w:val="single" w:color="auto" w:sz="4" w:space="0"/>
                    <w:bottom w:val="single" w:color="auto" w:sz="4" w:space="0"/>
                    <w:right w:val="single" w:color="auto" w:sz="4" w:space="0"/>
                  </w:tcBorders>
                  <w:noWrap/>
                  <w:vAlign w:val="center"/>
                </w:tcPr>
                <w:p>
                  <w:pPr>
                    <w:jc w:val="center"/>
                    <w:rPr>
                      <w:color w:val="000000"/>
                      <w:sz w:val="20"/>
                    </w:rPr>
                  </w:pPr>
                  <w:r>
                    <w:rPr>
                      <w:color w:val="000000"/>
                      <w:sz w:val="20"/>
                    </w:rPr>
                    <w:t xml:space="preserve">0.167 </w:t>
                  </w:r>
                </w:p>
              </w:tc>
              <w:tc>
                <w:tcPr>
                  <w:tcW w:w="1419" w:type="dxa"/>
                  <w:tcBorders>
                    <w:top w:val="single" w:color="auto" w:sz="4" w:space="0"/>
                    <w:left w:val="single" w:color="auto" w:sz="4" w:space="0"/>
                    <w:bottom w:val="single" w:color="auto" w:sz="4" w:space="0"/>
                    <w:right w:val="single" w:color="auto" w:sz="4" w:space="0"/>
                  </w:tcBorders>
                  <w:noWrap/>
                  <w:vAlign w:val="center"/>
                </w:tcPr>
                <w:p>
                  <w:pPr>
                    <w:jc w:val="center"/>
                    <w:rPr>
                      <w:color w:val="000000"/>
                      <w:sz w:val="20"/>
                    </w:rPr>
                  </w:pPr>
                  <w:r>
                    <w:rPr>
                      <w:color w:val="000000"/>
                      <w:sz w:val="20"/>
                    </w:rPr>
                    <w:t xml:space="preserve">0.267 </w:t>
                  </w:r>
                </w:p>
              </w:tc>
              <w:tc>
                <w:tcPr>
                  <w:tcW w:w="1418" w:type="dxa"/>
                  <w:tcBorders>
                    <w:top w:val="single" w:color="auto" w:sz="4" w:space="0"/>
                    <w:left w:val="single" w:color="auto" w:sz="4" w:space="0"/>
                    <w:bottom w:val="single" w:color="auto" w:sz="4" w:space="0"/>
                    <w:right w:val="single" w:color="auto" w:sz="4" w:space="0"/>
                  </w:tcBorders>
                  <w:noWrap/>
                  <w:vAlign w:val="center"/>
                </w:tcPr>
                <w:p>
                  <w:pPr>
                    <w:jc w:val="center"/>
                    <w:rPr>
                      <w:color w:val="000000"/>
                      <w:sz w:val="20"/>
                    </w:rPr>
                  </w:pPr>
                  <w:r>
                    <w:rPr>
                      <w:color w:val="000000"/>
                      <w:sz w:val="20"/>
                    </w:rPr>
                    <w:t xml:space="preserve">0.384 </w:t>
                  </w:r>
                </w:p>
              </w:tc>
              <w:tc>
                <w:tcPr>
                  <w:tcW w:w="1419" w:type="dxa"/>
                  <w:tcBorders>
                    <w:top w:val="single" w:color="auto" w:sz="4" w:space="0"/>
                    <w:left w:val="single" w:color="auto" w:sz="4" w:space="0"/>
                    <w:bottom w:val="single" w:color="auto" w:sz="4" w:space="0"/>
                    <w:right w:val="single" w:color="auto" w:sz="4" w:space="0"/>
                  </w:tcBorders>
                  <w:noWrap/>
                  <w:vAlign w:val="center"/>
                </w:tcPr>
                <w:p>
                  <w:pPr>
                    <w:jc w:val="center"/>
                    <w:rPr>
                      <w:color w:val="000000"/>
                      <w:sz w:val="20"/>
                    </w:rPr>
                  </w:pPr>
                  <w:r>
                    <w:rPr>
                      <w:color w:val="000000"/>
                      <w:sz w:val="20"/>
                    </w:rPr>
                    <w:t xml:space="preserve">0.267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84" w:type="dxa"/>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sz w:val="20"/>
                    </w:rPr>
                  </w:pPr>
                  <w:r>
                    <w:rPr>
                      <w:rFonts w:hint="eastAsia"/>
                      <w:sz w:val="20"/>
                    </w:rPr>
                    <w:t>挥发性</w:t>
                  </w:r>
                  <w:r>
                    <w:rPr>
                      <w:sz w:val="20"/>
                    </w:rPr>
                    <w:t>有机物（</w:t>
                  </w:r>
                  <w:r>
                    <w:rPr>
                      <w:color w:val="000000"/>
                      <w:kern w:val="0"/>
                      <w:sz w:val="20"/>
                    </w:rPr>
                    <w:t>ug/m³</w:t>
                  </w:r>
                  <w:r>
                    <w:rPr>
                      <w:sz w:val="20"/>
                    </w:rPr>
                    <w:t>）</w:t>
                  </w:r>
                </w:p>
              </w:tc>
              <w:tc>
                <w:tcPr>
                  <w:tcW w:w="1263" w:type="dxa"/>
                  <w:vMerge w:val="continue"/>
                  <w:tcBorders>
                    <w:left w:val="single" w:color="auto" w:sz="4" w:space="0"/>
                    <w:right w:val="single" w:color="auto" w:sz="4" w:space="0"/>
                  </w:tcBorders>
                  <w:noWrap/>
                  <w:vAlign w:val="center"/>
                </w:tcPr>
                <w:p>
                  <w:pPr>
                    <w:widowControl/>
                    <w:jc w:val="center"/>
                    <w:rPr>
                      <w:color w:val="000000"/>
                      <w:sz w:val="20"/>
                    </w:rPr>
                  </w:pPr>
                </w:p>
              </w:tc>
              <w:tc>
                <w:tcPr>
                  <w:tcW w:w="1276"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sz w:val="20"/>
                    </w:rPr>
                  </w:pPr>
                  <w:r>
                    <w:rPr>
                      <w:rFonts w:hint="eastAsia"/>
                      <w:color w:val="000000"/>
                      <w:sz w:val="20"/>
                    </w:rPr>
                    <w:t>第一次</w:t>
                  </w:r>
                </w:p>
              </w:tc>
              <w:tc>
                <w:tcPr>
                  <w:tcW w:w="1418" w:type="dxa"/>
                  <w:tcBorders>
                    <w:top w:val="single" w:color="auto" w:sz="4" w:space="0"/>
                    <w:left w:val="single" w:color="auto" w:sz="4" w:space="0"/>
                    <w:bottom w:val="single" w:color="auto" w:sz="4" w:space="0"/>
                    <w:right w:val="single" w:color="auto" w:sz="4" w:space="0"/>
                  </w:tcBorders>
                  <w:noWrap/>
                  <w:vAlign w:val="center"/>
                </w:tcPr>
                <w:p>
                  <w:pPr>
                    <w:jc w:val="center"/>
                    <w:rPr>
                      <w:sz w:val="20"/>
                    </w:rPr>
                  </w:pPr>
                  <w:r>
                    <w:rPr>
                      <w:rFonts w:hint="eastAsia"/>
                      <w:sz w:val="20"/>
                    </w:rPr>
                    <w:t>4</w:t>
                  </w:r>
                  <w:r>
                    <w:rPr>
                      <w:sz w:val="20"/>
                    </w:rPr>
                    <w:t>24</w:t>
                  </w:r>
                </w:p>
              </w:tc>
              <w:tc>
                <w:tcPr>
                  <w:tcW w:w="1419" w:type="dxa"/>
                  <w:tcBorders>
                    <w:top w:val="single" w:color="auto" w:sz="4" w:space="0"/>
                    <w:left w:val="single" w:color="auto" w:sz="4" w:space="0"/>
                    <w:bottom w:val="single" w:color="auto" w:sz="4" w:space="0"/>
                    <w:right w:val="single" w:color="auto" w:sz="4" w:space="0"/>
                  </w:tcBorders>
                  <w:noWrap/>
                  <w:vAlign w:val="center"/>
                </w:tcPr>
                <w:p>
                  <w:pPr>
                    <w:jc w:val="center"/>
                    <w:rPr>
                      <w:sz w:val="20"/>
                    </w:rPr>
                  </w:pPr>
                  <w:r>
                    <w:rPr>
                      <w:rFonts w:hint="eastAsia"/>
                      <w:sz w:val="20"/>
                    </w:rPr>
                    <w:t>474</w:t>
                  </w:r>
                </w:p>
              </w:tc>
              <w:tc>
                <w:tcPr>
                  <w:tcW w:w="1418" w:type="dxa"/>
                  <w:tcBorders>
                    <w:top w:val="single" w:color="auto" w:sz="4" w:space="0"/>
                    <w:left w:val="single" w:color="auto" w:sz="4" w:space="0"/>
                    <w:bottom w:val="single" w:color="auto" w:sz="4" w:space="0"/>
                    <w:right w:val="single" w:color="auto" w:sz="4" w:space="0"/>
                  </w:tcBorders>
                  <w:noWrap/>
                  <w:vAlign w:val="center"/>
                </w:tcPr>
                <w:p>
                  <w:pPr>
                    <w:jc w:val="center"/>
                    <w:rPr>
                      <w:sz w:val="20"/>
                    </w:rPr>
                  </w:pPr>
                  <w:r>
                    <w:rPr>
                      <w:rFonts w:hint="eastAsia"/>
                      <w:sz w:val="20"/>
                    </w:rPr>
                    <w:t>828</w:t>
                  </w:r>
                </w:p>
              </w:tc>
              <w:tc>
                <w:tcPr>
                  <w:tcW w:w="1419"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kern w:val="0"/>
                      <w:sz w:val="20"/>
                    </w:rPr>
                  </w:pPr>
                  <w:r>
                    <w:rPr>
                      <w:rFonts w:hint="eastAsia"/>
                      <w:color w:val="000000"/>
                      <w:kern w:val="0"/>
                      <w:sz w:val="20"/>
                    </w:rPr>
                    <w:t>792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8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sz w:val="20"/>
                    </w:rPr>
                  </w:pPr>
                </w:p>
              </w:tc>
              <w:tc>
                <w:tcPr>
                  <w:tcW w:w="1263" w:type="dxa"/>
                  <w:vMerge w:val="continue"/>
                  <w:tcBorders>
                    <w:left w:val="single" w:color="auto" w:sz="4" w:space="0"/>
                    <w:right w:val="single" w:color="auto" w:sz="4" w:space="0"/>
                  </w:tcBorders>
                  <w:noWrap/>
                  <w:vAlign w:val="center"/>
                </w:tcPr>
                <w:p/>
              </w:tc>
              <w:tc>
                <w:tcPr>
                  <w:tcW w:w="1276" w:type="dxa"/>
                  <w:tcBorders>
                    <w:top w:val="single" w:color="auto" w:sz="4" w:space="0"/>
                    <w:left w:val="single" w:color="auto" w:sz="4" w:space="0"/>
                    <w:bottom w:val="single" w:color="auto" w:sz="4" w:space="0"/>
                    <w:right w:val="single" w:color="auto" w:sz="4" w:space="0"/>
                  </w:tcBorders>
                  <w:noWrap/>
                  <w:vAlign w:val="center"/>
                </w:tcPr>
                <w:p>
                  <w:pPr>
                    <w:jc w:val="center"/>
                    <w:rPr>
                      <w:color w:val="000000"/>
                      <w:sz w:val="20"/>
                    </w:rPr>
                  </w:pPr>
                  <w:r>
                    <w:rPr>
                      <w:rFonts w:hint="eastAsia"/>
                      <w:color w:val="000000"/>
                      <w:sz w:val="20"/>
                    </w:rPr>
                    <w:t>第二次</w:t>
                  </w:r>
                </w:p>
              </w:tc>
              <w:tc>
                <w:tcPr>
                  <w:tcW w:w="1418" w:type="dxa"/>
                  <w:tcBorders>
                    <w:top w:val="single" w:color="auto" w:sz="4" w:space="0"/>
                    <w:left w:val="single" w:color="auto" w:sz="4" w:space="0"/>
                    <w:bottom w:val="single" w:color="auto" w:sz="4" w:space="0"/>
                    <w:right w:val="single" w:color="auto" w:sz="4" w:space="0"/>
                  </w:tcBorders>
                  <w:noWrap/>
                  <w:vAlign w:val="center"/>
                </w:tcPr>
                <w:p>
                  <w:pPr>
                    <w:jc w:val="center"/>
                    <w:rPr>
                      <w:sz w:val="20"/>
                    </w:rPr>
                  </w:pPr>
                  <w:r>
                    <w:rPr>
                      <w:rFonts w:hint="eastAsia"/>
                      <w:sz w:val="20"/>
                    </w:rPr>
                    <w:t>391</w:t>
                  </w:r>
                </w:p>
              </w:tc>
              <w:tc>
                <w:tcPr>
                  <w:tcW w:w="1419" w:type="dxa"/>
                  <w:tcBorders>
                    <w:top w:val="single" w:color="auto" w:sz="4" w:space="0"/>
                    <w:left w:val="single" w:color="auto" w:sz="4" w:space="0"/>
                    <w:bottom w:val="single" w:color="auto" w:sz="4" w:space="0"/>
                    <w:right w:val="single" w:color="auto" w:sz="4" w:space="0"/>
                  </w:tcBorders>
                  <w:noWrap/>
                  <w:vAlign w:val="center"/>
                </w:tcPr>
                <w:p>
                  <w:pPr>
                    <w:jc w:val="center"/>
                    <w:rPr>
                      <w:sz w:val="20"/>
                    </w:rPr>
                  </w:pPr>
                  <w:r>
                    <w:rPr>
                      <w:rFonts w:hint="eastAsia"/>
                      <w:sz w:val="20"/>
                    </w:rPr>
                    <w:t>710</w:t>
                  </w:r>
                </w:p>
              </w:tc>
              <w:tc>
                <w:tcPr>
                  <w:tcW w:w="1418" w:type="dxa"/>
                  <w:tcBorders>
                    <w:top w:val="single" w:color="auto" w:sz="4" w:space="0"/>
                    <w:left w:val="single" w:color="auto" w:sz="4" w:space="0"/>
                    <w:bottom w:val="single" w:color="auto" w:sz="4" w:space="0"/>
                    <w:right w:val="single" w:color="auto" w:sz="4" w:space="0"/>
                  </w:tcBorders>
                  <w:noWrap/>
                  <w:vAlign w:val="center"/>
                </w:tcPr>
                <w:p>
                  <w:pPr>
                    <w:jc w:val="center"/>
                    <w:rPr>
                      <w:sz w:val="20"/>
                    </w:rPr>
                  </w:pPr>
                  <w:r>
                    <w:rPr>
                      <w:rFonts w:hint="eastAsia"/>
                      <w:sz w:val="20"/>
                    </w:rPr>
                    <w:t>668</w:t>
                  </w:r>
                </w:p>
              </w:tc>
              <w:tc>
                <w:tcPr>
                  <w:tcW w:w="1419"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kern w:val="0"/>
                      <w:sz w:val="20"/>
                    </w:rPr>
                  </w:pPr>
                  <w:r>
                    <w:rPr>
                      <w:rFonts w:hint="eastAsia"/>
                      <w:color w:val="000000"/>
                      <w:kern w:val="0"/>
                      <w:sz w:val="20"/>
                    </w:rPr>
                    <w:t>704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284" w:type="dxa"/>
                  <w:vMerge w:val="continue"/>
                  <w:tcBorders>
                    <w:top w:val="single" w:color="auto" w:sz="4" w:space="0"/>
                    <w:left w:val="single" w:color="auto" w:sz="4" w:space="0"/>
                    <w:bottom w:val="single" w:color="auto" w:sz="4" w:space="0"/>
                    <w:right w:val="single" w:color="auto" w:sz="4" w:space="0"/>
                  </w:tcBorders>
                  <w:shd w:val="clear" w:color="auto" w:fill="auto"/>
                  <w:noWrap/>
                  <w:vAlign w:val="center"/>
                </w:tcPr>
                <w:p>
                  <w:pPr>
                    <w:jc w:val="center"/>
                    <w:rPr>
                      <w:sz w:val="20"/>
                    </w:rPr>
                  </w:pPr>
                </w:p>
              </w:tc>
              <w:tc>
                <w:tcPr>
                  <w:tcW w:w="1263" w:type="dxa"/>
                  <w:vMerge w:val="continue"/>
                  <w:tcBorders>
                    <w:left w:val="single" w:color="auto" w:sz="4" w:space="0"/>
                    <w:bottom w:val="single" w:color="auto" w:sz="4" w:space="0"/>
                    <w:right w:val="single" w:color="auto" w:sz="4" w:space="0"/>
                  </w:tcBorders>
                  <w:noWrap/>
                  <w:vAlign w:val="center"/>
                </w:tcPr>
                <w:p/>
              </w:tc>
              <w:tc>
                <w:tcPr>
                  <w:tcW w:w="1276" w:type="dxa"/>
                  <w:tcBorders>
                    <w:top w:val="single" w:color="auto" w:sz="4" w:space="0"/>
                    <w:left w:val="single" w:color="auto" w:sz="4" w:space="0"/>
                    <w:bottom w:val="single" w:color="auto" w:sz="4" w:space="0"/>
                    <w:right w:val="single" w:color="auto" w:sz="4" w:space="0"/>
                  </w:tcBorders>
                  <w:noWrap/>
                  <w:vAlign w:val="center"/>
                </w:tcPr>
                <w:p>
                  <w:pPr>
                    <w:jc w:val="center"/>
                    <w:rPr>
                      <w:color w:val="000000"/>
                      <w:sz w:val="20"/>
                    </w:rPr>
                  </w:pPr>
                  <w:r>
                    <w:rPr>
                      <w:rFonts w:hint="eastAsia"/>
                      <w:color w:val="000000"/>
                      <w:sz w:val="20"/>
                    </w:rPr>
                    <w:t>第三次</w:t>
                  </w:r>
                </w:p>
              </w:tc>
              <w:tc>
                <w:tcPr>
                  <w:tcW w:w="1418" w:type="dxa"/>
                  <w:tcBorders>
                    <w:top w:val="single" w:color="auto" w:sz="4" w:space="0"/>
                    <w:left w:val="single" w:color="auto" w:sz="4" w:space="0"/>
                    <w:bottom w:val="single" w:color="auto" w:sz="4" w:space="0"/>
                    <w:right w:val="single" w:color="auto" w:sz="4" w:space="0"/>
                  </w:tcBorders>
                  <w:noWrap/>
                  <w:vAlign w:val="center"/>
                </w:tcPr>
                <w:p>
                  <w:pPr>
                    <w:jc w:val="center"/>
                    <w:rPr>
                      <w:sz w:val="20"/>
                    </w:rPr>
                  </w:pPr>
                  <w:r>
                    <w:rPr>
                      <w:rFonts w:hint="eastAsia"/>
                      <w:sz w:val="20"/>
                    </w:rPr>
                    <w:t>402</w:t>
                  </w:r>
                </w:p>
              </w:tc>
              <w:tc>
                <w:tcPr>
                  <w:tcW w:w="1419" w:type="dxa"/>
                  <w:tcBorders>
                    <w:top w:val="single" w:color="auto" w:sz="4" w:space="0"/>
                    <w:left w:val="single" w:color="auto" w:sz="4" w:space="0"/>
                    <w:bottom w:val="single" w:color="auto" w:sz="4" w:space="0"/>
                    <w:right w:val="single" w:color="auto" w:sz="4" w:space="0"/>
                  </w:tcBorders>
                  <w:noWrap/>
                  <w:vAlign w:val="center"/>
                </w:tcPr>
                <w:p>
                  <w:pPr>
                    <w:jc w:val="center"/>
                    <w:rPr>
                      <w:sz w:val="20"/>
                    </w:rPr>
                  </w:pPr>
                  <w:r>
                    <w:rPr>
                      <w:rFonts w:hint="eastAsia"/>
                      <w:sz w:val="20"/>
                    </w:rPr>
                    <w:t>642</w:t>
                  </w:r>
                </w:p>
              </w:tc>
              <w:tc>
                <w:tcPr>
                  <w:tcW w:w="1418" w:type="dxa"/>
                  <w:tcBorders>
                    <w:top w:val="single" w:color="auto" w:sz="4" w:space="0"/>
                    <w:left w:val="single" w:color="auto" w:sz="4" w:space="0"/>
                    <w:bottom w:val="single" w:color="auto" w:sz="4" w:space="0"/>
                    <w:right w:val="single" w:color="auto" w:sz="4" w:space="0"/>
                  </w:tcBorders>
                  <w:noWrap/>
                  <w:vAlign w:val="center"/>
                </w:tcPr>
                <w:p>
                  <w:pPr>
                    <w:jc w:val="center"/>
                    <w:rPr>
                      <w:sz w:val="20"/>
                    </w:rPr>
                  </w:pPr>
                  <w:r>
                    <w:rPr>
                      <w:rFonts w:hint="eastAsia"/>
                      <w:sz w:val="20"/>
                    </w:rPr>
                    <w:t>712</w:t>
                  </w:r>
                </w:p>
              </w:tc>
              <w:tc>
                <w:tcPr>
                  <w:tcW w:w="1419"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kern w:val="0"/>
                      <w:sz w:val="20"/>
                    </w:rPr>
                  </w:pPr>
                  <w:r>
                    <w:rPr>
                      <w:rFonts w:hint="eastAsia"/>
                      <w:color w:val="000000"/>
                      <w:kern w:val="0"/>
                      <w:sz w:val="20"/>
                    </w:rPr>
                    <w:t>889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284" w:type="dxa"/>
                  <w:vMerge w:val="restart"/>
                  <w:tcBorders>
                    <w:top w:val="single" w:color="auto" w:sz="4" w:space="0"/>
                    <w:left w:val="single" w:color="auto" w:sz="4" w:space="0"/>
                    <w:right w:val="single" w:color="auto" w:sz="4" w:space="0"/>
                  </w:tcBorders>
                  <w:shd w:val="clear" w:color="auto" w:fill="auto"/>
                  <w:noWrap/>
                  <w:vAlign w:val="center"/>
                </w:tcPr>
                <w:p>
                  <w:pPr>
                    <w:widowControl/>
                    <w:jc w:val="center"/>
                    <w:rPr>
                      <w:color w:val="000000"/>
                      <w:kern w:val="0"/>
                      <w:sz w:val="20"/>
                    </w:rPr>
                  </w:pPr>
                  <w:r>
                    <w:rPr>
                      <w:color w:val="000000"/>
                      <w:kern w:val="0"/>
                      <w:sz w:val="20"/>
                    </w:rPr>
                    <w:t>颗粒物</w:t>
                  </w:r>
                  <w:r>
                    <w:rPr>
                      <w:sz w:val="20"/>
                    </w:rPr>
                    <w:t>（</w:t>
                  </w:r>
                  <w:r>
                    <w:rPr>
                      <w:color w:val="000000"/>
                      <w:kern w:val="0"/>
                      <w:sz w:val="20"/>
                    </w:rPr>
                    <w:t>mg/m³</w:t>
                  </w:r>
                  <w:r>
                    <w:rPr>
                      <w:sz w:val="20"/>
                    </w:rPr>
                    <w:t>）</w:t>
                  </w:r>
                </w:p>
              </w:tc>
              <w:tc>
                <w:tcPr>
                  <w:tcW w:w="1263" w:type="dxa"/>
                  <w:vMerge w:val="restart"/>
                  <w:tcBorders>
                    <w:top w:val="single" w:color="auto" w:sz="4" w:space="0"/>
                    <w:left w:val="single" w:color="auto" w:sz="4" w:space="0"/>
                    <w:right w:val="single" w:color="auto" w:sz="4" w:space="0"/>
                  </w:tcBorders>
                  <w:noWrap/>
                  <w:vAlign w:val="center"/>
                </w:tcPr>
                <w:p>
                  <w:pPr>
                    <w:jc w:val="center"/>
                    <w:rPr>
                      <w:sz w:val="20"/>
                    </w:rPr>
                  </w:pPr>
                  <w:r>
                    <w:rPr>
                      <w:rFonts w:hint="eastAsia"/>
                      <w:sz w:val="20"/>
                    </w:rPr>
                    <w:t>2022/11/16</w:t>
                  </w:r>
                </w:p>
              </w:tc>
              <w:tc>
                <w:tcPr>
                  <w:tcW w:w="1276"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sz w:val="20"/>
                    </w:rPr>
                  </w:pPr>
                  <w:r>
                    <w:rPr>
                      <w:rFonts w:hint="eastAsia"/>
                      <w:color w:val="000000"/>
                      <w:sz w:val="20"/>
                    </w:rPr>
                    <w:t>第一次</w:t>
                  </w:r>
                </w:p>
              </w:tc>
              <w:tc>
                <w:tcPr>
                  <w:tcW w:w="1418"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kern w:val="0"/>
                      <w:sz w:val="20"/>
                    </w:rPr>
                  </w:pPr>
                  <w:r>
                    <w:rPr>
                      <w:color w:val="000000"/>
                      <w:sz w:val="20"/>
                    </w:rPr>
                    <w:t xml:space="preserve">0.250 </w:t>
                  </w:r>
                </w:p>
              </w:tc>
              <w:tc>
                <w:tcPr>
                  <w:tcW w:w="1419"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kern w:val="0"/>
                      <w:sz w:val="20"/>
                    </w:rPr>
                  </w:pPr>
                  <w:r>
                    <w:rPr>
                      <w:color w:val="000000"/>
                      <w:sz w:val="20"/>
                    </w:rPr>
                    <w:t xml:space="preserve">0.317 </w:t>
                  </w:r>
                </w:p>
              </w:tc>
              <w:tc>
                <w:tcPr>
                  <w:tcW w:w="1418"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kern w:val="0"/>
                      <w:sz w:val="20"/>
                    </w:rPr>
                  </w:pPr>
                  <w:r>
                    <w:rPr>
                      <w:color w:val="000000"/>
                      <w:sz w:val="20"/>
                    </w:rPr>
                    <w:t xml:space="preserve">0.384 </w:t>
                  </w:r>
                </w:p>
              </w:tc>
              <w:tc>
                <w:tcPr>
                  <w:tcW w:w="1419"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kern w:val="0"/>
                      <w:sz w:val="20"/>
                    </w:rPr>
                  </w:pPr>
                  <w:r>
                    <w:rPr>
                      <w:color w:val="000000"/>
                      <w:sz w:val="20"/>
                    </w:rPr>
                    <w:t xml:space="preserve">0.267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284" w:type="dxa"/>
                  <w:vMerge w:val="continue"/>
                  <w:tcBorders>
                    <w:left w:val="single" w:color="auto" w:sz="4" w:space="0"/>
                    <w:right w:val="single" w:color="auto" w:sz="4" w:space="0"/>
                  </w:tcBorders>
                  <w:shd w:val="clear" w:color="auto" w:fill="auto"/>
                  <w:noWrap/>
                  <w:vAlign w:val="center"/>
                </w:tcPr>
                <w:p>
                  <w:pPr>
                    <w:jc w:val="center"/>
                    <w:rPr>
                      <w:sz w:val="20"/>
                    </w:rPr>
                  </w:pPr>
                </w:p>
              </w:tc>
              <w:tc>
                <w:tcPr>
                  <w:tcW w:w="1263" w:type="dxa"/>
                  <w:vMerge w:val="continue"/>
                  <w:tcBorders>
                    <w:left w:val="single" w:color="auto" w:sz="4" w:space="0"/>
                    <w:right w:val="single" w:color="auto" w:sz="4" w:space="0"/>
                  </w:tcBorders>
                  <w:noWrap/>
                  <w:vAlign w:val="center"/>
                </w:tcPr>
                <w:p/>
              </w:tc>
              <w:tc>
                <w:tcPr>
                  <w:tcW w:w="1276" w:type="dxa"/>
                  <w:tcBorders>
                    <w:top w:val="single" w:color="auto" w:sz="4" w:space="0"/>
                    <w:left w:val="single" w:color="auto" w:sz="4" w:space="0"/>
                    <w:bottom w:val="single" w:color="auto" w:sz="4" w:space="0"/>
                    <w:right w:val="single" w:color="auto" w:sz="4" w:space="0"/>
                  </w:tcBorders>
                  <w:noWrap/>
                  <w:vAlign w:val="center"/>
                </w:tcPr>
                <w:p>
                  <w:pPr>
                    <w:jc w:val="center"/>
                    <w:rPr>
                      <w:color w:val="000000"/>
                      <w:sz w:val="20"/>
                    </w:rPr>
                  </w:pPr>
                  <w:r>
                    <w:rPr>
                      <w:rFonts w:hint="eastAsia"/>
                      <w:color w:val="000000"/>
                      <w:sz w:val="20"/>
                    </w:rPr>
                    <w:t>第二次</w:t>
                  </w:r>
                </w:p>
              </w:tc>
              <w:tc>
                <w:tcPr>
                  <w:tcW w:w="1418" w:type="dxa"/>
                  <w:tcBorders>
                    <w:top w:val="single" w:color="auto" w:sz="4" w:space="0"/>
                    <w:left w:val="single" w:color="auto" w:sz="4" w:space="0"/>
                    <w:bottom w:val="single" w:color="auto" w:sz="4" w:space="0"/>
                    <w:right w:val="single" w:color="auto" w:sz="4" w:space="0"/>
                  </w:tcBorders>
                  <w:noWrap/>
                  <w:vAlign w:val="center"/>
                </w:tcPr>
                <w:p>
                  <w:pPr>
                    <w:jc w:val="center"/>
                    <w:rPr>
                      <w:color w:val="000000"/>
                      <w:sz w:val="20"/>
                    </w:rPr>
                  </w:pPr>
                  <w:r>
                    <w:rPr>
                      <w:color w:val="000000"/>
                      <w:sz w:val="20"/>
                    </w:rPr>
                    <w:t xml:space="preserve">0.167 </w:t>
                  </w:r>
                </w:p>
              </w:tc>
              <w:tc>
                <w:tcPr>
                  <w:tcW w:w="1419" w:type="dxa"/>
                  <w:tcBorders>
                    <w:top w:val="single" w:color="auto" w:sz="4" w:space="0"/>
                    <w:left w:val="single" w:color="auto" w:sz="4" w:space="0"/>
                    <w:bottom w:val="single" w:color="auto" w:sz="4" w:space="0"/>
                    <w:right w:val="single" w:color="auto" w:sz="4" w:space="0"/>
                  </w:tcBorders>
                  <w:noWrap/>
                  <w:vAlign w:val="center"/>
                </w:tcPr>
                <w:p>
                  <w:pPr>
                    <w:jc w:val="center"/>
                    <w:rPr>
                      <w:color w:val="000000"/>
                      <w:sz w:val="20"/>
                    </w:rPr>
                  </w:pPr>
                  <w:r>
                    <w:rPr>
                      <w:color w:val="000000"/>
                      <w:sz w:val="20"/>
                    </w:rPr>
                    <w:t xml:space="preserve">0.267 </w:t>
                  </w:r>
                </w:p>
              </w:tc>
              <w:tc>
                <w:tcPr>
                  <w:tcW w:w="1418" w:type="dxa"/>
                  <w:tcBorders>
                    <w:top w:val="single" w:color="auto" w:sz="4" w:space="0"/>
                    <w:left w:val="single" w:color="auto" w:sz="4" w:space="0"/>
                    <w:bottom w:val="single" w:color="auto" w:sz="4" w:space="0"/>
                    <w:right w:val="single" w:color="auto" w:sz="4" w:space="0"/>
                  </w:tcBorders>
                  <w:noWrap/>
                  <w:vAlign w:val="center"/>
                </w:tcPr>
                <w:p>
                  <w:pPr>
                    <w:jc w:val="center"/>
                    <w:rPr>
                      <w:color w:val="000000"/>
                      <w:sz w:val="20"/>
                    </w:rPr>
                  </w:pPr>
                  <w:r>
                    <w:rPr>
                      <w:color w:val="000000"/>
                      <w:sz w:val="20"/>
                    </w:rPr>
                    <w:t xml:space="preserve">0.367 </w:t>
                  </w:r>
                </w:p>
              </w:tc>
              <w:tc>
                <w:tcPr>
                  <w:tcW w:w="1419" w:type="dxa"/>
                  <w:tcBorders>
                    <w:top w:val="single" w:color="auto" w:sz="4" w:space="0"/>
                    <w:left w:val="single" w:color="auto" w:sz="4" w:space="0"/>
                    <w:bottom w:val="single" w:color="auto" w:sz="4" w:space="0"/>
                    <w:right w:val="single" w:color="auto" w:sz="4" w:space="0"/>
                  </w:tcBorders>
                  <w:noWrap/>
                  <w:vAlign w:val="center"/>
                </w:tcPr>
                <w:p>
                  <w:pPr>
                    <w:jc w:val="center"/>
                    <w:rPr>
                      <w:color w:val="000000"/>
                      <w:sz w:val="20"/>
                    </w:rPr>
                  </w:pPr>
                  <w:r>
                    <w:rPr>
                      <w:color w:val="000000"/>
                      <w:sz w:val="20"/>
                    </w:rPr>
                    <w:t xml:space="preserve">0.284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84" w:type="dxa"/>
                  <w:vMerge w:val="continue"/>
                  <w:tcBorders>
                    <w:left w:val="single" w:color="auto" w:sz="4" w:space="0"/>
                    <w:bottom w:val="single" w:color="auto" w:sz="4" w:space="0"/>
                    <w:right w:val="single" w:color="auto" w:sz="4" w:space="0"/>
                  </w:tcBorders>
                  <w:shd w:val="clear" w:color="auto" w:fill="auto"/>
                  <w:noWrap/>
                  <w:vAlign w:val="center"/>
                </w:tcPr>
                <w:p>
                  <w:pPr>
                    <w:jc w:val="center"/>
                    <w:rPr>
                      <w:sz w:val="20"/>
                    </w:rPr>
                  </w:pPr>
                </w:p>
              </w:tc>
              <w:tc>
                <w:tcPr>
                  <w:tcW w:w="1263" w:type="dxa"/>
                  <w:vMerge w:val="continue"/>
                  <w:tcBorders>
                    <w:left w:val="single" w:color="auto" w:sz="4" w:space="0"/>
                    <w:right w:val="single" w:color="auto" w:sz="4" w:space="0"/>
                  </w:tcBorders>
                  <w:noWrap/>
                  <w:vAlign w:val="center"/>
                </w:tcPr>
                <w:p/>
              </w:tc>
              <w:tc>
                <w:tcPr>
                  <w:tcW w:w="1276" w:type="dxa"/>
                  <w:tcBorders>
                    <w:top w:val="single" w:color="auto" w:sz="4" w:space="0"/>
                    <w:left w:val="single" w:color="auto" w:sz="4" w:space="0"/>
                    <w:bottom w:val="single" w:color="auto" w:sz="4" w:space="0"/>
                    <w:right w:val="single" w:color="auto" w:sz="4" w:space="0"/>
                  </w:tcBorders>
                  <w:noWrap/>
                  <w:vAlign w:val="center"/>
                </w:tcPr>
                <w:p>
                  <w:pPr>
                    <w:jc w:val="center"/>
                    <w:rPr>
                      <w:color w:val="000000"/>
                      <w:sz w:val="20"/>
                    </w:rPr>
                  </w:pPr>
                  <w:r>
                    <w:rPr>
                      <w:rFonts w:hint="eastAsia"/>
                      <w:color w:val="000000"/>
                      <w:sz w:val="20"/>
                    </w:rPr>
                    <w:t>第三次</w:t>
                  </w:r>
                </w:p>
              </w:tc>
              <w:tc>
                <w:tcPr>
                  <w:tcW w:w="1418" w:type="dxa"/>
                  <w:tcBorders>
                    <w:top w:val="single" w:color="auto" w:sz="4" w:space="0"/>
                    <w:left w:val="single" w:color="auto" w:sz="4" w:space="0"/>
                    <w:bottom w:val="single" w:color="auto" w:sz="4" w:space="0"/>
                    <w:right w:val="single" w:color="auto" w:sz="4" w:space="0"/>
                  </w:tcBorders>
                  <w:noWrap/>
                  <w:vAlign w:val="center"/>
                </w:tcPr>
                <w:p>
                  <w:pPr>
                    <w:jc w:val="center"/>
                    <w:rPr>
                      <w:color w:val="000000"/>
                      <w:sz w:val="20"/>
                    </w:rPr>
                  </w:pPr>
                  <w:r>
                    <w:rPr>
                      <w:color w:val="000000"/>
                      <w:sz w:val="20"/>
                    </w:rPr>
                    <w:t xml:space="preserve">0.234 </w:t>
                  </w:r>
                </w:p>
              </w:tc>
              <w:tc>
                <w:tcPr>
                  <w:tcW w:w="1419" w:type="dxa"/>
                  <w:tcBorders>
                    <w:top w:val="single" w:color="auto" w:sz="4" w:space="0"/>
                    <w:left w:val="single" w:color="auto" w:sz="4" w:space="0"/>
                    <w:bottom w:val="single" w:color="auto" w:sz="4" w:space="0"/>
                    <w:right w:val="single" w:color="auto" w:sz="4" w:space="0"/>
                  </w:tcBorders>
                  <w:noWrap/>
                  <w:vAlign w:val="center"/>
                </w:tcPr>
                <w:p>
                  <w:pPr>
                    <w:jc w:val="center"/>
                    <w:rPr>
                      <w:color w:val="000000"/>
                      <w:sz w:val="20"/>
                    </w:rPr>
                  </w:pPr>
                  <w:r>
                    <w:rPr>
                      <w:color w:val="000000"/>
                      <w:sz w:val="20"/>
                    </w:rPr>
                    <w:t xml:space="preserve">0.334 </w:t>
                  </w:r>
                </w:p>
              </w:tc>
              <w:tc>
                <w:tcPr>
                  <w:tcW w:w="1418" w:type="dxa"/>
                  <w:tcBorders>
                    <w:top w:val="single" w:color="auto" w:sz="4" w:space="0"/>
                    <w:left w:val="single" w:color="auto" w:sz="4" w:space="0"/>
                    <w:bottom w:val="single" w:color="auto" w:sz="4" w:space="0"/>
                    <w:right w:val="single" w:color="auto" w:sz="4" w:space="0"/>
                  </w:tcBorders>
                  <w:noWrap/>
                  <w:vAlign w:val="center"/>
                </w:tcPr>
                <w:p>
                  <w:pPr>
                    <w:jc w:val="center"/>
                    <w:rPr>
                      <w:color w:val="000000"/>
                      <w:sz w:val="20"/>
                    </w:rPr>
                  </w:pPr>
                  <w:r>
                    <w:rPr>
                      <w:color w:val="000000"/>
                      <w:sz w:val="20"/>
                    </w:rPr>
                    <w:t xml:space="preserve">0.367 </w:t>
                  </w:r>
                </w:p>
              </w:tc>
              <w:tc>
                <w:tcPr>
                  <w:tcW w:w="1419" w:type="dxa"/>
                  <w:tcBorders>
                    <w:top w:val="single" w:color="auto" w:sz="4" w:space="0"/>
                    <w:left w:val="single" w:color="auto" w:sz="4" w:space="0"/>
                    <w:bottom w:val="single" w:color="auto" w:sz="4" w:space="0"/>
                    <w:right w:val="single" w:color="auto" w:sz="4" w:space="0"/>
                  </w:tcBorders>
                  <w:noWrap/>
                  <w:vAlign w:val="center"/>
                </w:tcPr>
                <w:p>
                  <w:pPr>
                    <w:jc w:val="center"/>
                    <w:rPr>
                      <w:color w:val="000000"/>
                      <w:sz w:val="20"/>
                    </w:rPr>
                  </w:pPr>
                  <w:r>
                    <w:rPr>
                      <w:color w:val="000000"/>
                      <w:sz w:val="20"/>
                    </w:rPr>
                    <w:t xml:space="preserve">0.267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84" w:type="dxa"/>
                  <w:vMerge w:val="restart"/>
                  <w:tcBorders>
                    <w:top w:val="single" w:color="auto" w:sz="4" w:space="0"/>
                    <w:left w:val="single" w:color="auto" w:sz="4" w:space="0"/>
                    <w:right w:val="single" w:color="auto" w:sz="4" w:space="0"/>
                  </w:tcBorders>
                  <w:shd w:val="clear" w:color="auto" w:fill="auto"/>
                  <w:noWrap/>
                  <w:vAlign w:val="center"/>
                </w:tcPr>
                <w:p>
                  <w:pPr>
                    <w:jc w:val="center"/>
                    <w:rPr>
                      <w:sz w:val="20"/>
                    </w:rPr>
                  </w:pPr>
                  <w:r>
                    <w:rPr>
                      <w:rFonts w:hint="eastAsia"/>
                      <w:sz w:val="20"/>
                    </w:rPr>
                    <w:t>挥发性</w:t>
                  </w:r>
                  <w:r>
                    <w:rPr>
                      <w:sz w:val="20"/>
                    </w:rPr>
                    <w:t>有机物（</w:t>
                  </w:r>
                  <w:r>
                    <w:rPr>
                      <w:rFonts w:hint="default" w:ascii="Times New Roman" w:hAnsi="Times New Roman" w:cs="Times New Roman"/>
                      <w:color w:val="000000"/>
                      <w:kern w:val="0"/>
                      <w:sz w:val="20"/>
                      <w:lang w:eastAsia="zh-CN"/>
                    </w:rPr>
                    <w:t>μ</w:t>
                  </w:r>
                  <w:r>
                    <w:rPr>
                      <w:rFonts w:hint="default" w:ascii="Times New Roman" w:hAnsi="Times New Roman" w:cs="Times New Roman"/>
                      <w:color w:val="000000"/>
                      <w:kern w:val="0"/>
                      <w:sz w:val="20"/>
                    </w:rPr>
                    <w:t>g</w:t>
                  </w:r>
                  <w:r>
                    <w:rPr>
                      <w:color w:val="000000"/>
                      <w:kern w:val="0"/>
                      <w:sz w:val="20"/>
                    </w:rPr>
                    <w:t>/m³</w:t>
                  </w:r>
                  <w:r>
                    <w:rPr>
                      <w:sz w:val="20"/>
                    </w:rPr>
                    <w:t>）</w:t>
                  </w:r>
                </w:p>
              </w:tc>
              <w:tc>
                <w:tcPr>
                  <w:tcW w:w="1263" w:type="dxa"/>
                  <w:vMerge w:val="continue"/>
                  <w:tcBorders>
                    <w:left w:val="single" w:color="auto" w:sz="4" w:space="0"/>
                    <w:right w:val="single" w:color="auto" w:sz="4" w:space="0"/>
                  </w:tcBorders>
                  <w:noWrap/>
                  <w:vAlign w:val="center"/>
                </w:tcPr>
                <w:p/>
              </w:tc>
              <w:tc>
                <w:tcPr>
                  <w:tcW w:w="1276"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sz w:val="20"/>
                    </w:rPr>
                  </w:pPr>
                  <w:r>
                    <w:rPr>
                      <w:rFonts w:hint="eastAsia"/>
                      <w:color w:val="000000"/>
                      <w:sz w:val="20"/>
                    </w:rPr>
                    <w:t>第一次</w:t>
                  </w:r>
                </w:p>
              </w:tc>
              <w:tc>
                <w:tcPr>
                  <w:tcW w:w="1418" w:type="dxa"/>
                  <w:tcBorders>
                    <w:top w:val="single" w:color="auto" w:sz="4" w:space="0"/>
                    <w:left w:val="single" w:color="auto" w:sz="4" w:space="0"/>
                    <w:bottom w:val="single" w:color="auto" w:sz="4" w:space="0"/>
                    <w:right w:val="single" w:color="auto" w:sz="4" w:space="0"/>
                  </w:tcBorders>
                  <w:noWrap/>
                  <w:vAlign w:val="center"/>
                </w:tcPr>
                <w:p>
                  <w:pPr>
                    <w:jc w:val="center"/>
                    <w:rPr>
                      <w:sz w:val="20"/>
                    </w:rPr>
                  </w:pPr>
                  <w:r>
                    <w:rPr>
                      <w:rFonts w:hint="eastAsia"/>
                      <w:sz w:val="20"/>
                    </w:rPr>
                    <w:t>366</w:t>
                  </w:r>
                </w:p>
              </w:tc>
              <w:tc>
                <w:tcPr>
                  <w:tcW w:w="1419" w:type="dxa"/>
                  <w:tcBorders>
                    <w:top w:val="single" w:color="auto" w:sz="4" w:space="0"/>
                    <w:left w:val="single" w:color="auto" w:sz="4" w:space="0"/>
                    <w:bottom w:val="single" w:color="auto" w:sz="4" w:space="0"/>
                    <w:right w:val="single" w:color="auto" w:sz="4" w:space="0"/>
                  </w:tcBorders>
                  <w:noWrap/>
                  <w:vAlign w:val="center"/>
                </w:tcPr>
                <w:p>
                  <w:pPr>
                    <w:jc w:val="center"/>
                    <w:rPr>
                      <w:sz w:val="20"/>
                    </w:rPr>
                  </w:pPr>
                  <w:r>
                    <w:rPr>
                      <w:rFonts w:hint="eastAsia"/>
                      <w:sz w:val="20"/>
                    </w:rPr>
                    <w:t>525</w:t>
                  </w:r>
                </w:p>
              </w:tc>
              <w:tc>
                <w:tcPr>
                  <w:tcW w:w="1418" w:type="dxa"/>
                  <w:tcBorders>
                    <w:top w:val="single" w:color="auto" w:sz="4" w:space="0"/>
                    <w:left w:val="single" w:color="auto" w:sz="4" w:space="0"/>
                    <w:bottom w:val="single" w:color="auto" w:sz="4" w:space="0"/>
                    <w:right w:val="single" w:color="auto" w:sz="4" w:space="0"/>
                  </w:tcBorders>
                  <w:noWrap/>
                  <w:vAlign w:val="center"/>
                </w:tcPr>
                <w:p>
                  <w:pPr>
                    <w:jc w:val="center"/>
                    <w:rPr>
                      <w:sz w:val="20"/>
                    </w:rPr>
                  </w:pPr>
                  <w:r>
                    <w:rPr>
                      <w:rFonts w:hint="eastAsia"/>
                      <w:sz w:val="20"/>
                    </w:rPr>
                    <w:t>431</w:t>
                  </w:r>
                </w:p>
              </w:tc>
              <w:tc>
                <w:tcPr>
                  <w:tcW w:w="1419"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kern w:val="0"/>
                      <w:sz w:val="20"/>
                    </w:rPr>
                  </w:pPr>
                  <w:r>
                    <w:rPr>
                      <w:rFonts w:hint="eastAsia"/>
                      <w:color w:val="000000"/>
                      <w:kern w:val="0"/>
                      <w:sz w:val="20"/>
                    </w:rPr>
                    <w:t>662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84" w:type="dxa"/>
                  <w:vMerge w:val="continue"/>
                  <w:tcBorders>
                    <w:left w:val="single" w:color="auto" w:sz="4" w:space="0"/>
                    <w:right w:val="single" w:color="auto" w:sz="4" w:space="0"/>
                  </w:tcBorders>
                  <w:shd w:val="clear" w:color="auto" w:fill="auto"/>
                  <w:noWrap/>
                  <w:vAlign w:val="center"/>
                </w:tcPr>
                <w:p/>
              </w:tc>
              <w:tc>
                <w:tcPr>
                  <w:tcW w:w="1263" w:type="dxa"/>
                  <w:vMerge w:val="continue"/>
                  <w:tcBorders>
                    <w:left w:val="single" w:color="auto" w:sz="4" w:space="0"/>
                    <w:right w:val="single" w:color="auto" w:sz="4" w:space="0"/>
                  </w:tcBorders>
                  <w:noWrap/>
                  <w:vAlign w:val="center"/>
                </w:tcPr>
                <w:p/>
              </w:tc>
              <w:tc>
                <w:tcPr>
                  <w:tcW w:w="1276" w:type="dxa"/>
                  <w:tcBorders>
                    <w:top w:val="single" w:color="auto" w:sz="4" w:space="0"/>
                    <w:left w:val="single" w:color="auto" w:sz="4" w:space="0"/>
                    <w:bottom w:val="single" w:color="auto" w:sz="4" w:space="0"/>
                    <w:right w:val="single" w:color="auto" w:sz="4" w:space="0"/>
                  </w:tcBorders>
                  <w:noWrap/>
                  <w:vAlign w:val="center"/>
                </w:tcPr>
                <w:p>
                  <w:pPr>
                    <w:jc w:val="center"/>
                    <w:rPr>
                      <w:color w:val="000000"/>
                      <w:sz w:val="20"/>
                    </w:rPr>
                  </w:pPr>
                  <w:r>
                    <w:rPr>
                      <w:rFonts w:hint="eastAsia"/>
                      <w:color w:val="000000"/>
                      <w:sz w:val="20"/>
                    </w:rPr>
                    <w:t>第二次</w:t>
                  </w:r>
                </w:p>
              </w:tc>
              <w:tc>
                <w:tcPr>
                  <w:tcW w:w="1418" w:type="dxa"/>
                  <w:tcBorders>
                    <w:top w:val="single" w:color="auto" w:sz="4" w:space="0"/>
                    <w:left w:val="single" w:color="auto" w:sz="4" w:space="0"/>
                    <w:bottom w:val="single" w:color="auto" w:sz="4" w:space="0"/>
                    <w:right w:val="single" w:color="auto" w:sz="4" w:space="0"/>
                  </w:tcBorders>
                  <w:noWrap/>
                  <w:vAlign w:val="center"/>
                </w:tcPr>
                <w:p>
                  <w:pPr>
                    <w:jc w:val="center"/>
                    <w:rPr>
                      <w:sz w:val="20"/>
                    </w:rPr>
                  </w:pPr>
                  <w:r>
                    <w:rPr>
                      <w:rFonts w:hint="eastAsia"/>
                      <w:sz w:val="20"/>
                    </w:rPr>
                    <w:t>285</w:t>
                  </w:r>
                </w:p>
              </w:tc>
              <w:tc>
                <w:tcPr>
                  <w:tcW w:w="1419" w:type="dxa"/>
                  <w:tcBorders>
                    <w:top w:val="single" w:color="auto" w:sz="4" w:space="0"/>
                    <w:left w:val="single" w:color="auto" w:sz="4" w:space="0"/>
                    <w:bottom w:val="single" w:color="auto" w:sz="4" w:space="0"/>
                    <w:right w:val="single" w:color="auto" w:sz="4" w:space="0"/>
                  </w:tcBorders>
                  <w:noWrap/>
                  <w:vAlign w:val="center"/>
                </w:tcPr>
                <w:p>
                  <w:pPr>
                    <w:jc w:val="center"/>
                    <w:rPr>
                      <w:sz w:val="20"/>
                    </w:rPr>
                  </w:pPr>
                  <w:r>
                    <w:rPr>
                      <w:rFonts w:hint="eastAsia"/>
                      <w:sz w:val="20"/>
                    </w:rPr>
                    <w:t>704</w:t>
                  </w:r>
                </w:p>
              </w:tc>
              <w:tc>
                <w:tcPr>
                  <w:tcW w:w="1418" w:type="dxa"/>
                  <w:tcBorders>
                    <w:top w:val="single" w:color="auto" w:sz="4" w:space="0"/>
                    <w:left w:val="single" w:color="auto" w:sz="4" w:space="0"/>
                    <w:bottom w:val="single" w:color="auto" w:sz="4" w:space="0"/>
                    <w:right w:val="single" w:color="auto" w:sz="4" w:space="0"/>
                  </w:tcBorders>
                  <w:noWrap/>
                  <w:vAlign w:val="center"/>
                </w:tcPr>
                <w:p>
                  <w:pPr>
                    <w:jc w:val="center"/>
                    <w:rPr>
                      <w:sz w:val="20"/>
                    </w:rPr>
                  </w:pPr>
                  <w:r>
                    <w:rPr>
                      <w:rFonts w:hint="eastAsia"/>
                      <w:sz w:val="20"/>
                    </w:rPr>
                    <w:t>757</w:t>
                  </w:r>
                </w:p>
              </w:tc>
              <w:tc>
                <w:tcPr>
                  <w:tcW w:w="1419"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kern w:val="0"/>
                      <w:sz w:val="20"/>
                    </w:rPr>
                  </w:pPr>
                  <w:r>
                    <w:rPr>
                      <w:rFonts w:hint="eastAsia"/>
                      <w:color w:val="000000"/>
                      <w:kern w:val="0"/>
                      <w:sz w:val="20"/>
                    </w:rPr>
                    <w:t>785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284" w:type="dxa"/>
                  <w:vMerge w:val="continue"/>
                  <w:tcBorders>
                    <w:left w:val="single" w:color="auto" w:sz="4" w:space="0"/>
                    <w:bottom w:val="single" w:color="auto" w:sz="4" w:space="0"/>
                    <w:right w:val="single" w:color="auto" w:sz="4" w:space="0"/>
                  </w:tcBorders>
                  <w:shd w:val="clear" w:color="auto" w:fill="auto"/>
                  <w:noWrap/>
                  <w:vAlign w:val="center"/>
                </w:tcPr>
                <w:p/>
              </w:tc>
              <w:tc>
                <w:tcPr>
                  <w:tcW w:w="1263" w:type="dxa"/>
                  <w:vMerge w:val="continue"/>
                  <w:tcBorders>
                    <w:left w:val="single" w:color="auto" w:sz="4" w:space="0"/>
                    <w:bottom w:val="single" w:color="auto" w:sz="4" w:space="0"/>
                    <w:right w:val="single" w:color="auto" w:sz="4" w:space="0"/>
                  </w:tcBorders>
                  <w:noWrap/>
                  <w:vAlign w:val="center"/>
                </w:tcPr>
                <w:p/>
              </w:tc>
              <w:tc>
                <w:tcPr>
                  <w:tcW w:w="1276" w:type="dxa"/>
                  <w:tcBorders>
                    <w:top w:val="single" w:color="auto" w:sz="4" w:space="0"/>
                    <w:left w:val="single" w:color="auto" w:sz="4" w:space="0"/>
                    <w:bottom w:val="single" w:color="auto" w:sz="4" w:space="0"/>
                    <w:right w:val="single" w:color="auto" w:sz="4" w:space="0"/>
                  </w:tcBorders>
                  <w:noWrap/>
                  <w:vAlign w:val="center"/>
                </w:tcPr>
                <w:p>
                  <w:pPr>
                    <w:jc w:val="center"/>
                    <w:rPr>
                      <w:color w:val="000000"/>
                      <w:sz w:val="20"/>
                    </w:rPr>
                  </w:pPr>
                  <w:r>
                    <w:rPr>
                      <w:rFonts w:hint="eastAsia"/>
                      <w:color w:val="000000"/>
                      <w:sz w:val="20"/>
                    </w:rPr>
                    <w:t>第三次</w:t>
                  </w:r>
                </w:p>
              </w:tc>
              <w:tc>
                <w:tcPr>
                  <w:tcW w:w="1418" w:type="dxa"/>
                  <w:tcBorders>
                    <w:top w:val="single" w:color="auto" w:sz="4" w:space="0"/>
                    <w:left w:val="single" w:color="auto" w:sz="4" w:space="0"/>
                    <w:bottom w:val="single" w:color="auto" w:sz="4" w:space="0"/>
                    <w:right w:val="single" w:color="auto" w:sz="4" w:space="0"/>
                  </w:tcBorders>
                  <w:noWrap/>
                  <w:vAlign w:val="center"/>
                </w:tcPr>
                <w:p>
                  <w:pPr>
                    <w:jc w:val="center"/>
                    <w:rPr>
                      <w:sz w:val="20"/>
                    </w:rPr>
                  </w:pPr>
                  <w:r>
                    <w:rPr>
                      <w:rFonts w:hint="eastAsia"/>
                      <w:sz w:val="20"/>
                    </w:rPr>
                    <w:t>286</w:t>
                  </w:r>
                </w:p>
              </w:tc>
              <w:tc>
                <w:tcPr>
                  <w:tcW w:w="1419" w:type="dxa"/>
                  <w:tcBorders>
                    <w:top w:val="single" w:color="auto" w:sz="4" w:space="0"/>
                    <w:left w:val="single" w:color="auto" w:sz="4" w:space="0"/>
                    <w:bottom w:val="single" w:color="auto" w:sz="4" w:space="0"/>
                    <w:right w:val="single" w:color="auto" w:sz="4" w:space="0"/>
                  </w:tcBorders>
                  <w:noWrap/>
                  <w:vAlign w:val="center"/>
                </w:tcPr>
                <w:p>
                  <w:pPr>
                    <w:jc w:val="center"/>
                    <w:rPr>
                      <w:sz w:val="20"/>
                    </w:rPr>
                  </w:pPr>
                  <w:r>
                    <w:rPr>
                      <w:rFonts w:hint="eastAsia"/>
                      <w:sz w:val="20"/>
                    </w:rPr>
                    <w:t>812</w:t>
                  </w:r>
                </w:p>
              </w:tc>
              <w:tc>
                <w:tcPr>
                  <w:tcW w:w="1418" w:type="dxa"/>
                  <w:tcBorders>
                    <w:top w:val="single" w:color="auto" w:sz="4" w:space="0"/>
                    <w:left w:val="single" w:color="auto" w:sz="4" w:space="0"/>
                    <w:bottom w:val="single" w:color="auto" w:sz="4" w:space="0"/>
                    <w:right w:val="single" w:color="auto" w:sz="4" w:space="0"/>
                  </w:tcBorders>
                  <w:noWrap/>
                  <w:vAlign w:val="center"/>
                </w:tcPr>
                <w:p>
                  <w:pPr>
                    <w:jc w:val="center"/>
                    <w:rPr>
                      <w:sz w:val="20"/>
                    </w:rPr>
                  </w:pPr>
                  <w:r>
                    <w:rPr>
                      <w:rFonts w:hint="eastAsia"/>
                      <w:sz w:val="20"/>
                    </w:rPr>
                    <w:t>701</w:t>
                  </w:r>
                </w:p>
              </w:tc>
              <w:tc>
                <w:tcPr>
                  <w:tcW w:w="1419" w:type="dxa"/>
                  <w:tcBorders>
                    <w:top w:val="single" w:color="auto" w:sz="4" w:space="0"/>
                    <w:left w:val="single" w:color="auto" w:sz="4" w:space="0"/>
                    <w:bottom w:val="single" w:color="auto" w:sz="4" w:space="0"/>
                    <w:right w:val="single" w:color="auto" w:sz="4" w:space="0"/>
                  </w:tcBorders>
                  <w:noWrap/>
                  <w:vAlign w:val="center"/>
                </w:tcPr>
                <w:p>
                  <w:pPr>
                    <w:widowControl/>
                    <w:jc w:val="center"/>
                    <w:rPr>
                      <w:color w:val="000000"/>
                      <w:kern w:val="0"/>
                      <w:sz w:val="20"/>
                    </w:rPr>
                  </w:pPr>
                  <w:r>
                    <w:rPr>
                      <w:rFonts w:hint="eastAsia"/>
                      <w:color w:val="000000"/>
                      <w:kern w:val="0"/>
                      <w:sz w:val="20"/>
                    </w:rPr>
                    <w:t>389</w:t>
                  </w:r>
                </w:p>
              </w:tc>
            </w:tr>
          </w:tbl>
          <w:p>
            <w:pPr>
              <w:spacing w:line="360" w:lineRule="auto"/>
              <w:ind w:firstLine="482" w:firstLineChars="200"/>
              <w:rPr>
                <w:rFonts w:hint="default" w:ascii="Times New Roman" w:hAnsi="Times New Roman" w:cs="Times New Roman"/>
                <w:b/>
                <w:bCs/>
                <w:color w:val="000000" w:themeColor="text1"/>
                <w:sz w:val="24"/>
              </w:rPr>
            </w:pPr>
            <w:r>
              <w:rPr>
                <w:rFonts w:hint="eastAsia" w:cs="Times New Roman"/>
                <w:b/>
                <w:bCs/>
                <w:color w:val="000000" w:themeColor="text1"/>
                <w:sz w:val="24"/>
                <w:lang w:val="en-US" w:eastAsia="zh-CN"/>
              </w:rPr>
              <w:t>2</w:t>
            </w:r>
            <w:r>
              <w:rPr>
                <w:rFonts w:hint="default" w:ascii="Times New Roman" w:hAnsi="Times New Roman" w:cs="Times New Roman"/>
                <w:b/>
                <w:bCs/>
                <w:color w:val="000000" w:themeColor="text1"/>
                <w:sz w:val="24"/>
                <w:lang w:val="en-US" w:eastAsia="zh-CN"/>
              </w:rPr>
              <w:t>、</w:t>
            </w:r>
            <w:r>
              <w:rPr>
                <w:rFonts w:hint="default" w:ascii="Times New Roman" w:hAnsi="Times New Roman" w:cs="Times New Roman"/>
                <w:b/>
                <w:bCs/>
                <w:color w:val="000000" w:themeColor="text1"/>
                <w:sz w:val="24"/>
              </w:rPr>
              <w:t>噪声监测结果与分析</w:t>
            </w:r>
          </w:p>
          <w:p>
            <w:pPr>
              <w:spacing w:line="360" w:lineRule="auto"/>
              <w:jc w:val="center"/>
              <w:rPr>
                <w:rFonts w:hint="default" w:ascii="Times New Roman" w:hAnsi="Times New Roman" w:cs="Times New Roman"/>
                <w:b/>
                <w:bCs/>
                <w:color w:val="000000" w:themeColor="text1"/>
                <w:sz w:val="24"/>
              </w:rPr>
            </w:pPr>
            <w:r>
              <w:rPr>
                <w:rFonts w:hint="default" w:ascii="Times New Roman" w:hAnsi="Times New Roman" w:cs="Times New Roman"/>
                <w:b/>
                <w:bCs/>
                <w:color w:val="000000" w:themeColor="text1"/>
                <w:sz w:val="24"/>
              </w:rPr>
              <w:t>表7.</w:t>
            </w:r>
            <w:r>
              <w:rPr>
                <w:rFonts w:hint="eastAsia" w:cs="Times New Roman"/>
                <w:b/>
                <w:bCs/>
                <w:color w:val="000000" w:themeColor="text1"/>
                <w:sz w:val="24"/>
                <w:lang w:val="en-US" w:eastAsia="zh-CN"/>
              </w:rPr>
              <w:t>4</w:t>
            </w:r>
            <w:r>
              <w:rPr>
                <w:rFonts w:hint="default" w:ascii="Times New Roman" w:hAnsi="Times New Roman" w:cs="Times New Roman"/>
                <w:b/>
                <w:bCs/>
                <w:color w:val="000000" w:themeColor="text1"/>
                <w:sz w:val="24"/>
              </w:rPr>
              <w:t xml:space="preserve">  噪声监测结果统计表</w:t>
            </w:r>
          </w:p>
          <w:tbl>
            <w:tblPr>
              <w:tblStyle w:val="17"/>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3"/>
              <w:gridCol w:w="1593"/>
              <w:gridCol w:w="1513"/>
              <w:gridCol w:w="1185"/>
              <w:gridCol w:w="1185"/>
              <w:gridCol w:w="1186"/>
              <w:gridCol w:w="11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215" w:type="dxa"/>
                  <w:vMerge w:val="restart"/>
                  <w:tcBorders>
                    <w:tl2br w:val="nil"/>
                    <w:tr2bl w:val="nil"/>
                  </w:tcBorders>
                  <w:shd w:val="clear" w:color="auto" w:fill="auto"/>
                  <w:noWrap/>
                  <w:vAlign w:val="center"/>
                </w:tcPr>
                <w:p>
                  <w:pPr>
                    <w:widowControl/>
                    <w:jc w:val="center"/>
                    <w:rPr>
                      <w:color w:val="000000" w:themeColor="text1"/>
                      <w:kern w:val="0"/>
                      <w:sz w:val="20"/>
                    </w:rPr>
                  </w:pPr>
                  <w:r>
                    <w:rPr>
                      <w:color w:val="000000" w:themeColor="text1"/>
                      <w:kern w:val="0"/>
                      <w:sz w:val="20"/>
                    </w:rPr>
                    <w:t>测点编号</w:t>
                  </w:r>
                </w:p>
              </w:tc>
              <w:tc>
                <w:tcPr>
                  <w:tcW w:w="1595" w:type="dxa"/>
                  <w:vMerge w:val="restart"/>
                  <w:tcBorders>
                    <w:tl2br w:val="nil"/>
                    <w:tr2bl w:val="nil"/>
                  </w:tcBorders>
                  <w:shd w:val="clear" w:color="auto" w:fill="auto"/>
                  <w:noWrap/>
                  <w:vAlign w:val="center"/>
                </w:tcPr>
                <w:p>
                  <w:pPr>
                    <w:widowControl/>
                    <w:jc w:val="center"/>
                    <w:rPr>
                      <w:color w:val="000000" w:themeColor="text1"/>
                      <w:kern w:val="0"/>
                      <w:sz w:val="20"/>
                    </w:rPr>
                  </w:pPr>
                  <w:r>
                    <w:rPr>
                      <w:color w:val="000000" w:themeColor="text1"/>
                      <w:kern w:val="0"/>
                      <w:sz w:val="20"/>
                    </w:rPr>
                    <w:t>测点位置</w:t>
                  </w:r>
                </w:p>
              </w:tc>
              <w:tc>
                <w:tcPr>
                  <w:tcW w:w="1515" w:type="dxa"/>
                  <w:vMerge w:val="restart"/>
                  <w:tcBorders>
                    <w:tl2br w:val="nil"/>
                    <w:tr2bl w:val="nil"/>
                  </w:tcBorders>
                  <w:shd w:val="clear" w:color="auto" w:fill="auto"/>
                  <w:noWrap/>
                  <w:vAlign w:val="center"/>
                </w:tcPr>
                <w:p>
                  <w:pPr>
                    <w:widowControl/>
                    <w:jc w:val="center"/>
                    <w:rPr>
                      <w:color w:val="000000" w:themeColor="text1"/>
                      <w:kern w:val="0"/>
                      <w:sz w:val="20"/>
                    </w:rPr>
                  </w:pPr>
                  <w:r>
                    <w:rPr>
                      <w:color w:val="000000" w:themeColor="text1"/>
                      <w:kern w:val="0"/>
                      <w:sz w:val="20"/>
                    </w:rPr>
                    <w:t>主要声源</w:t>
                  </w:r>
                </w:p>
              </w:tc>
              <w:tc>
                <w:tcPr>
                  <w:tcW w:w="2372" w:type="dxa"/>
                  <w:gridSpan w:val="2"/>
                  <w:tcBorders>
                    <w:tl2br w:val="nil"/>
                    <w:tr2bl w:val="nil"/>
                  </w:tcBorders>
                  <w:shd w:val="clear" w:color="auto" w:fill="auto"/>
                  <w:noWrap/>
                  <w:vAlign w:val="center"/>
                </w:tcPr>
                <w:p>
                  <w:pPr>
                    <w:jc w:val="center"/>
                    <w:rPr>
                      <w:color w:val="000000" w:themeColor="text1"/>
                      <w:kern w:val="0"/>
                      <w:sz w:val="20"/>
                    </w:rPr>
                  </w:pPr>
                  <w:r>
                    <w:rPr>
                      <w:rFonts w:hint="eastAsia"/>
                      <w:color w:val="000000" w:themeColor="text1"/>
                      <w:kern w:val="0"/>
                      <w:sz w:val="20"/>
                    </w:rPr>
                    <w:t>2022/11/15</w:t>
                  </w:r>
                </w:p>
              </w:tc>
              <w:tc>
                <w:tcPr>
                  <w:tcW w:w="2375" w:type="dxa"/>
                  <w:gridSpan w:val="2"/>
                  <w:tcBorders>
                    <w:tl2br w:val="nil"/>
                    <w:tr2bl w:val="nil"/>
                  </w:tcBorders>
                  <w:shd w:val="clear" w:color="auto" w:fill="auto"/>
                  <w:noWrap/>
                  <w:vAlign w:val="center"/>
                </w:tcPr>
                <w:p>
                  <w:pPr>
                    <w:jc w:val="center"/>
                    <w:rPr>
                      <w:color w:val="000000" w:themeColor="text1"/>
                      <w:kern w:val="0"/>
                      <w:sz w:val="20"/>
                    </w:rPr>
                  </w:pPr>
                  <w:r>
                    <w:rPr>
                      <w:rFonts w:hint="eastAsia"/>
                      <w:color w:val="000000" w:themeColor="text1"/>
                      <w:kern w:val="0"/>
                      <w:sz w:val="20"/>
                    </w:rPr>
                    <w:t>2022/11/16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15" w:type="dxa"/>
                  <w:vMerge w:val="continue"/>
                  <w:tcBorders>
                    <w:tl2br w:val="nil"/>
                    <w:tr2bl w:val="nil"/>
                  </w:tcBorders>
                  <w:noWrap/>
                  <w:vAlign w:val="center"/>
                </w:tcPr>
                <w:p>
                  <w:pPr>
                    <w:rPr>
                      <w:color w:val="000000" w:themeColor="text1"/>
                      <w:sz w:val="20"/>
                    </w:rPr>
                  </w:pPr>
                </w:p>
              </w:tc>
              <w:tc>
                <w:tcPr>
                  <w:tcW w:w="1595" w:type="dxa"/>
                  <w:vMerge w:val="continue"/>
                  <w:tcBorders>
                    <w:tl2br w:val="nil"/>
                    <w:tr2bl w:val="nil"/>
                  </w:tcBorders>
                  <w:shd w:val="clear" w:color="auto" w:fill="auto"/>
                  <w:noWrap/>
                  <w:vAlign w:val="center"/>
                </w:tcPr>
                <w:p>
                  <w:pPr>
                    <w:rPr>
                      <w:color w:val="000000" w:themeColor="text1"/>
                      <w:sz w:val="20"/>
                    </w:rPr>
                  </w:pPr>
                </w:p>
              </w:tc>
              <w:tc>
                <w:tcPr>
                  <w:tcW w:w="1515" w:type="dxa"/>
                  <w:vMerge w:val="continue"/>
                  <w:tcBorders>
                    <w:tl2br w:val="nil"/>
                    <w:tr2bl w:val="nil"/>
                  </w:tcBorders>
                  <w:shd w:val="clear" w:color="auto" w:fill="auto"/>
                  <w:noWrap/>
                  <w:vAlign w:val="center"/>
                </w:tcPr>
                <w:p>
                  <w:pPr>
                    <w:rPr>
                      <w:color w:val="000000" w:themeColor="text1"/>
                      <w:sz w:val="20"/>
                    </w:rPr>
                  </w:pPr>
                </w:p>
              </w:tc>
              <w:tc>
                <w:tcPr>
                  <w:tcW w:w="1186" w:type="dxa"/>
                  <w:tcBorders>
                    <w:tl2br w:val="nil"/>
                    <w:tr2bl w:val="nil"/>
                  </w:tcBorders>
                  <w:shd w:val="clear" w:color="auto" w:fill="auto"/>
                  <w:noWrap/>
                  <w:vAlign w:val="center"/>
                </w:tcPr>
                <w:p>
                  <w:pPr>
                    <w:widowControl/>
                    <w:jc w:val="center"/>
                    <w:rPr>
                      <w:color w:val="000000" w:themeColor="text1"/>
                      <w:kern w:val="0"/>
                      <w:sz w:val="20"/>
                    </w:rPr>
                  </w:pPr>
                  <w:r>
                    <w:rPr>
                      <w:color w:val="000000" w:themeColor="text1"/>
                      <w:kern w:val="0"/>
                      <w:sz w:val="20"/>
                    </w:rPr>
                    <w:t>测量时间</w:t>
                  </w:r>
                </w:p>
              </w:tc>
              <w:tc>
                <w:tcPr>
                  <w:tcW w:w="1186" w:type="dxa"/>
                  <w:tcBorders>
                    <w:tl2br w:val="nil"/>
                    <w:tr2bl w:val="nil"/>
                  </w:tcBorders>
                  <w:shd w:val="clear" w:color="auto" w:fill="auto"/>
                  <w:noWrap/>
                  <w:vAlign w:val="center"/>
                </w:tcPr>
                <w:p>
                  <w:pPr>
                    <w:widowControl/>
                    <w:jc w:val="center"/>
                    <w:rPr>
                      <w:color w:val="000000" w:themeColor="text1"/>
                      <w:kern w:val="0"/>
                      <w:sz w:val="20"/>
                    </w:rPr>
                  </w:pPr>
                  <w:r>
                    <w:rPr>
                      <w:color w:val="000000" w:themeColor="text1"/>
                      <w:kern w:val="0"/>
                      <w:sz w:val="20"/>
                    </w:rPr>
                    <w:t>结果</w:t>
                  </w:r>
                </w:p>
              </w:tc>
              <w:tc>
                <w:tcPr>
                  <w:tcW w:w="1187" w:type="dxa"/>
                  <w:tcBorders>
                    <w:tl2br w:val="nil"/>
                    <w:tr2bl w:val="nil"/>
                  </w:tcBorders>
                  <w:shd w:val="clear" w:color="auto" w:fill="auto"/>
                  <w:noWrap/>
                  <w:vAlign w:val="center"/>
                </w:tcPr>
                <w:p>
                  <w:pPr>
                    <w:widowControl/>
                    <w:jc w:val="center"/>
                    <w:rPr>
                      <w:color w:val="000000" w:themeColor="text1"/>
                      <w:kern w:val="0"/>
                      <w:sz w:val="20"/>
                    </w:rPr>
                  </w:pPr>
                  <w:r>
                    <w:rPr>
                      <w:color w:val="000000" w:themeColor="text1"/>
                      <w:kern w:val="0"/>
                      <w:sz w:val="20"/>
                    </w:rPr>
                    <w:t>测量时间</w:t>
                  </w:r>
                </w:p>
              </w:tc>
              <w:tc>
                <w:tcPr>
                  <w:tcW w:w="1188" w:type="dxa"/>
                  <w:tcBorders>
                    <w:tl2br w:val="nil"/>
                    <w:tr2bl w:val="nil"/>
                  </w:tcBorders>
                  <w:shd w:val="clear" w:color="auto" w:fill="auto"/>
                  <w:noWrap/>
                  <w:vAlign w:val="center"/>
                </w:tcPr>
                <w:p>
                  <w:pPr>
                    <w:widowControl/>
                    <w:jc w:val="center"/>
                    <w:rPr>
                      <w:color w:val="000000" w:themeColor="text1"/>
                      <w:kern w:val="0"/>
                      <w:sz w:val="20"/>
                    </w:rPr>
                  </w:pPr>
                  <w:r>
                    <w:rPr>
                      <w:color w:val="000000" w:themeColor="text1"/>
                      <w:kern w:val="0"/>
                      <w:sz w:val="20"/>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215" w:type="dxa"/>
                  <w:tcBorders>
                    <w:tl2br w:val="nil"/>
                    <w:tr2bl w:val="nil"/>
                  </w:tcBorders>
                  <w:shd w:val="clear" w:color="auto" w:fill="auto"/>
                  <w:noWrap/>
                  <w:vAlign w:val="center"/>
                </w:tcPr>
                <w:p>
                  <w:pPr>
                    <w:widowControl/>
                    <w:jc w:val="center"/>
                    <w:rPr>
                      <w:color w:val="000000" w:themeColor="text1"/>
                      <w:kern w:val="0"/>
                      <w:sz w:val="20"/>
                    </w:rPr>
                  </w:pPr>
                  <w:r>
                    <w:rPr>
                      <w:color w:val="000000" w:themeColor="text1"/>
                      <w:kern w:val="0"/>
                      <w:sz w:val="20"/>
                    </w:rPr>
                    <w:t>N1</w:t>
                  </w:r>
                </w:p>
              </w:tc>
              <w:tc>
                <w:tcPr>
                  <w:tcW w:w="1595" w:type="dxa"/>
                  <w:tcBorders>
                    <w:tl2br w:val="nil"/>
                    <w:tr2bl w:val="nil"/>
                  </w:tcBorders>
                  <w:shd w:val="clear" w:color="auto" w:fill="auto"/>
                  <w:noWrap/>
                  <w:vAlign w:val="center"/>
                </w:tcPr>
                <w:p>
                  <w:pPr>
                    <w:widowControl/>
                    <w:jc w:val="center"/>
                    <w:rPr>
                      <w:color w:val="000000" w:themeColor="text1"/>
                      <w:kern w:val="0"/>
                      <w:sz w:val="20"/>
                    </w:rPr>
                  </w:pPr>
                  <w:r>
                    <w:rPr>
                      <w:color w:val="000000" w:themeColor="text1"/>
                      <w:kern w:val="0"/>
                      <w:sz w:val="20"/>
                    </w:rPr>
                    <w:t>东厂界外1m处</w:t>
                  </w:r>
                </w:p>
              </w:tc>
              <w:tc>
                <w:tcPr>
                  <w:tcW w:w="1515" w:type="dxa"/>
                  <w:vMerge w:val="restart"/>
                  <w:tcBorders>
                    <w:tl2br w:val="nil"/>
                    <w:tr2bl w:val="nil"/>
                  </w:tcBorders>
                  <w:shd w:val="clear" w:color="auto" w:fill="auto"/>
                  <w:noWrap/>
                  <w:vAlign w:val="center"/>
                </w:tcPr>
                <w:p>
                  <w:pPr>
                    <w:widowControl/>
                    <w:jc w:val="center"/>
                    <w:rPr>
                      <w:color w:val="000000" w:themeColor="text1"/>
                      <w:kern w:val="0"/>
                      <w:sz w:val="20"/>
                    </w:rPr>
                  </w:pPr>
                  <w:r>
                    <w:rPr>
                      <w:color w:val="000000" w:themeColor="text1"/>
                      <w:kern w:val="0"/>
                      <w:sz w:val="20"/>
                    </w:rPr>
                    <w:t>厂界噪声</w:t>
                  </w:r>
                </w:p>
              </w:tc>
              <w:tc>
                <w:tcPr>
                  <w:tcW w:w="1186" w:type="dxa"/>
                  <w:tcBorders>
                    <w:tl2br w:val="nil"/>
                    <w:tr2bl w:val="nil"/>
                  </w:tcBorders>
                  <w:shd w:val="clear" w:color="auto" w:fill="auto"/>
                  <w:noWrap/>
                  <w:vAlign w:val="center"/>
                </w:tcPr>
                <w:p>
                  <w:pPr>
                    <w:widowControl/>
                    <w:jc w:val="center"/>
                    <w:rPr>
                      <w:color w:val="000000" w:themeColor="text1"/>
                      <w:kern w:val="0"/>
                      <w:sz w:val="20"/>
                    </w:rPr>
                  </w:pPr>
                  <w:r>
                    <w:rPr>
                      <w:rFonts w:hint="eastAsia"/>
                      <w:color w:val="000000" w:themeColor="text1"/>
                      <w:kern w:val="0"/>
                      <w:sz w:val="20"/>
                    </w:rPr>
                    <w:t>17:23</w:t>
                  </w:r>
                </w:p>
              </w:tc>
              <w:tc>
                <w:tcPr>
                  <w:tcW w:w="1186" w:type="dxa"/>
                  <w:tcBorders>
                    <w:tl2br w:val="nil"/>
                    <w:tr2bl w:val="nil"/>
                  </w:tcBorders>
                  <w:shd w:val="clear" w:color="auto" w:fill="auto"/>
                  <w:noWrap/>
                  <w:vAlign w:val="center"/>
                </w:tcPr>
                <w:p>
                  <w:pPr>
                    <w:widowControl/>
                    <w:jc w:val="center"/>
                    <w:rPr>
                      <w:color w:val="000000" w:themeColor="text1"/>
                      <w:kern w:val="0"/>
                      <w:sz w:val="20"/>
                    </w:rPr>
                  </w:pPr>
                  <w:r>
                    <w:rPr>
                      <w:rFonts w:hint="eastAsia"/>
                      <w:color w:val="000000" w:themeColor="text1"/>
                      <w:kern w:val="0"/>
                      <w:sz w:val="20"/>
                    </w:rPr>
                    <w:t>54</w:t>
                  </w:r>
                </w:p>
              </w:tc>
              <w:tc>
                <w:tcPr>
                  <w:tcW w:w="1187" w:type="dxa"/>
                  <w:tcBorders>
                    <w:tl2br w:val="nil"/>
                    <w:tr2bl w:val="nil"/>
                  </w:tcBorders>
                  <w:shd w:val="clear" w:color="auto" w:fill="auto"/>
                  <w:noWrap/>
                  <w:vAlign w:val="center"/>
                </w:tcPr>
                <w:p>
                  <w:pPr>
                    <w:widowControl/>
                    <w:jc w:val="center"/>
                    <w:rPr>
                      <w:color w:val="000000" w:themeColor="text1"/>
                      <w:kern w:val="0"/>
                      <w:sz w:val="20"/>
                    </w:rPr>
                  </w:pPr>
                  <w:r>
                    <w:rPr>
                      <w:rFonts w:hint="eastAsia"/>
                      <w:color w:val="000000" w:themeColor="text1"/>
                      <w:kern w:val="0"/>
                      <w:sz w:val="20"/>
                    </w:rPr>
                    <w:t>17:13</w:t>
                  </w:r>
                </w:p>
              </w:tc>
              <w:tc>
                <w:tcPr>
                  <w:tcW w:w="1188" w:type="dxa"/>
                  <w:tcBorders>
                    <w:tl2br w:val="nil"/>
                    <w:tr2bl w:val="nil"/>
                  </w:tcBorders>
                  <w:shd w:val="clear" w:color="auto" w:fill="auto"/>
                  <w:noWrap/>
                  <w:vAlign w:val="center"/>
                </w:tcPr>
                <w:p>
                  <w:pPr>
                    <w:widowControl/>
                    <w:jc w:val="center"/>
                    <w:rPr>
                      <w:color w:val="000000" w:themeColor="text1"/>
                      <w:kern w:val="0"/>
                      <w:sz w:val="20"/>
                    </w:rPr>
                  </w:pPr>
                  <w:r>
                    <w:rPr>
                      <w:rFonts w:hint="eastAsia"/>
                      <w:color w:val="000000" w:themeColor="text1"/>
                      <w:kern w:val="0"/>
                      <w:sz w:val="20"/>
                    </w:rPr>
                    <w:t>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215" w:type="dxa"/>
                  <w:tcBorders>
                    <w:tl2br w:val="nil"/>
                    <w:tr2bl w:val="nil"/>
                  </w:tcBorders>
                  <w:shd w:val="clear" w:color="auto" w:fill="auto"/>
                  <w:noWrap/>
                  <w:vAlign w:val="center"/>
                </w:tcPr>
                <w:p>
                  <w:pPr>
                    <w:widowControl/>
                    <w:jc w:val="center"/>
                    <w:rPr>
                      <w:color w:val="000000" w:themeColor="text1"/>
                      <w:kern w:val="0"/>
                      <w:sz w:val="20"/>
                    </w:rPr>
                  </w:pPr>
                  <w:r>
                    <w:rPr>
                      <w:color w:val="000000" w:themeColor="text1"/>
                      <w:kern w:val="0"/>
                      <w:sz w:val="20"/>
                    </w:rPr>
                    <w:t>N2</w:t>
                  </w:r>
                </w:p>
              </w:tc>
              <w:tc>
                <w:tcPr>
                  <w:tcW w:w="1595" w:type="dxa"/>
                  <w:tcBorders>
                    <w:tl2br w:val="nil"/>
                    <w:tr2bl w:val="nil"/>
                  </w:tcBorders>
                  <w:noWrap/>
                  <w:vAlign w:val="center"/>
                </w:tcPr>
                <w:p>
                  <w:pPr>
                    <w:widowControl/>
                    <w:jc w:val="center"/>
                    <w:rPr>
                      <w:color w:val="000000" w:themeColor="text1"/>
                      <w:kern w:val="0"/>
                      <w:sz w:val="20"/>
                    </w:rPr>
                  </w:pPr>
                  <w:r>
                    <w:rPr>
                      <w:color w:val="000000" w:themeColor="text1"/>
                      <w:kern w:val="0"/>
                      <w:sz w:val="20"/>
                    </w:rPr>
                    <w:t>南厂界外1m处</w:t>
                  </w:r>
                </w:p>
              </w:tc>
              <w:tc>
                <w:tcPr>
                  <w:tcW w:w="1515" w:type="dxa"/>
                  <w:vMerge w:val="continue"/>
                  <w:tcBorders>
                    <w:tl2br w:val="nil"/>
                    <w:tr2bl w:val="nil"/>
                  </w:tcBorders>
                  <w:noWrap/>
                  <w:vAlign w:val="center"/>
                </w:tcPr>
                <w:p>
                  <w:pPr>
                    <w:rPr>
                      <w:color w:val="000000" w:themeColor="text1"/>
                      <w:sz w:val="20"/>
                    </w:rPr>
                  </w:pPr>
                </w:p>
              </w:tc>
              <w:tc>
                <w:tcPr>
                  <w:tcW w:w="1186" w:type="dxa"/>
                  <w:tcBorders>
                    <w:tl2br w:val="nil"/>
                    <w:tr2bl w:val="nil"/>
                  </w:tcBorders>
                  <w:shd w:val="clear" w:color="auto" w:fill="auto"/>
                  <w:noWrap/>
                  <w:vAlign w:val="center"/>
                </w:tcPr>
                <w:p>
                  <w:pPr>
                    <w:widowControl/>
                    <w:jc w:val="center"/>
                    <w:rPr>
                      <w:color w:val="000000" w:themeColor="text1"/>
                      <w:kern w:val="0"/>
                      <w:sz w:val="20"/>
                    </w:rPr>
                  </w:pPr>
                  <w:r>
                    <w:rPr>
                      <w:rFonts w:hint="eastAsia"/>
                      <w:color w:val="000000" w:themeColor="text1"/>
                      <w:kern w:val="0"/>
                      <w:sz w:val="20"/>
                    </w:rPr>
                    <w:t>17:30</w:t>
                  </w:r>
                </w:p>
              </w:tc>
              <w:tc>
                <w:tcPr>
                  <w:tcW w:w="1186" w:type="dxa"/>
                  <w:tcBorders>
                    <w:tl2br w:val="nil"/>
                    <w:tr2bl w:val="nil"/>
                  </w:tcBorders>
                  <w:shd w:val="clear" w:color="auto" w:fill="auto"/>
                  <w:noWrap/>
                  <w:vAlign w:val="center"/>
                </w:tcPr>
                <w:p>
                  <w:pPr>
                    <w:widowControl/>
                    <w:jc w:val="center"/>
                    <w:rPr>
                      <w:color w:val="000000" w:themeColor="text1"/>
                      <w:kern w:val="0"/>
                      <w:sz w:val="20"/>
                    </w:rPr>
                  </w:pPr>
                  <w:r>
                    <w:rPr>
                      <w:rFonts w:hint="eastAsia"/>
                      <w:color w:val="000000" w:themeColor="text1"/>
                      <w:kern w:val="0"/>
                      <w:sz w:val="20"/>
                    </w:rPr>
                    <w:t>58</w:t>
                  </w:r>
                </w:p>
              </w:tc>
              <w:tc>
                <w:tcPr>
                  <w:tcW w:w="1187" w:type="dxa"/>
                  <w:tcBorders>
                    <w:tl2br w:val="nil"/>
                    <w:tr2bl w:val="nil"/>
                  </w:tcBorders>
                  <w:shd w:val="clear" w:color="auto" w:fill="auto"/>
                  <w:noWrap/>
                  <w:vAlign w:val="center"/>
                </w:tcPr>
                <w:p>
                  <w:pPr>
                    <w:widowControl/>
                    <w:jc w:val="center"/>
                    <w:rPr>
                      <w:color w:val="000000" w:themeColor="text1"/>
                      <w:kern w:val="0"/>
                      <w:sz w:val="20"/>
                    </w:rPr>
                  </w:pPr>
                  <w:r>
                    <w:rPr>
                      <w:rFonts w:hint="eastAsia"/>
                      <w:color w:val="000000" w:themeColor="text1"/>
                      <w:kern w:val="0"/>
                      <w:sz w:val="20"/>
                    </w:rPr>
                    <w:t>17:18</w:t>
                  </w:r>
                </w:p>
              </w:tc>
              <w:tc>
                <w:tcPr>
                  <w:tcW w:w="1188" w:type="dxa"/>
                  <w:tcBorders>
                    <w:tl2br w:val="nil"/>
                    <w:tr2bl w:val="nil"/>
                  </w:tcBorders>
                  <w:shd w:val="clear" w:color="auto" w:fill="auto"/>
                  <w:noWrap/>
                  <w:vAlign w:val="center"/>
                </w:tcPr>
                <w:p>
                  <w:pPr>
                    <w:widowControl/>
                    <w:jc w:val="center"/>
                    <w:rPr>
                      <w:color w:val="000000" w:themeColor="text1"/>
                      <w:kern w:val="0"/>
                      <w:sz w:val="20"/>
                    </w:rPr>
                  </w:pPr>
                  <w:r>
                    <w:rPr>
                      <w:rFonts w:hint="eastAsia"/>
                      <w:color w:val="000000" w:themeColor="text1"/>
                      <w:kern w:val="0"/>
                      <w:sz w:val="20"/>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215" w:type="dxa"/>
                  <w:tcBorders>
                    <w:tl2br w:val="nil"/>
                    <w:tr2bl w:val="nil"/>
                  </w:tcBorders>
                  <w:shd w:val="clear" w:color="auto" w:fill="auto"/>
                  <w:noWrap/>
                  <w:vAlign w:val="center"/>
                </w:tcPr>
                <w:p>
                  <w:pPr>
                    <w:widowControl/>
                    <w:jc w:val="center"/>
                    <w:rPr>
                      <w:color w:val="000000" w:themeColor="text1"/>
                      <w:kern w:val="0"/>
                      <w:sz w:val="20"/>
                    </w:rPr>
                  </w:pPr>
                  <w:r>
                    <w:rPr>
                      <w:color w:val="000000" w:themeColor="text1"/>
                      <w:kern w:val="0"/>
                      <w:sz w:val="20"/>
                    </w:rPr>
                    <w:t>N3</w:t>
                  </w:r>
                </w:p>
              </w:tc>
              <w:tc>
                <w:tcPr>
                  <w:tcW w:w="1595" w:type="dxa"/>
                  <w:tcBorders>
                    <w:tl2br w:val="nil"/>
                    <w:tr2bl w:val="nil"/>
                  </w:tcBorders>
                  <w:noWrap/>
                  <w:vAlign w:val="center"/>
                </w:tcPr>
                <w:p>
                  <w:pPr>
                    <w:widowControl/>
                    <w:jc w:val="center"/>
                    <w:rPr>
                      <w:color w:val="000000" w:themeColor="text1"/>
                      <w:kern w:val="0"/>
                      <w:sz w:val="20"/>
                    </w:rPr>
                  </w:pPr>
                  <w:r>
                    <w:rPr>
                      <w:color w:val="000000" w:themeColor="text1"/>
                      <w:kern w:val="0"/>
                      <w:sz w:val="20"/>
                    </w:rPr>
                    <w:t>西厂界外1m处</w:t>
                  </w:r>
                </w:p>
              </w:tc>
              <w:tc>
                <w:tcPr>
                  <w:tcW w:w="1515" w:type="dxa"/>
                  <w:vMerge w:val="continue"/>
                  <w:tcBorders>
                    <w:tl2br w:val="nil"/>
                    <w:tr2bl w:val="nil"/>
                  </w:tcBorders>
                  <w:noWrap/>
                  <w:vAlign w:val="center"/>
                </w:tcPr>
                <w:p>
                  <w:pPr>
                    <w:rPr>
                      <w:color w:val="000000" w:themeColor="text1"/>
                      <w:sz w:val="20"/>
                    </w:rPr>
                  </w:pPr>
                </w:p>
              </w:tc>
              <w:tc>
                <w:tcPr>
                  <w:tcW w:w="1186" w:type="dxa"/>
                  <w:tcBorders>
                    <w:tl2br w:val="nil"/>
                    <w:tr2bl w:val="nil"/>
                  </w:tcBorders>
                  <w:shd w:val="clear" w:color="auto" w:fill="auto"/>
                  <w:noWrap/>
                  <w:vAlign w:val="center"/>
                </w:tcPr>
                <w:p>
                  <w:pPr>
                    <w:widowControl/>
                    <w:jc w:val="center"/>
                    <w:rPr>
                      <w:color w:val="000000" w:themeColor="text1"/>
                      <w:kern w:val="0"/>
                      <w:sz w:val="20"/>
                    </w:rPr>
                  </w:pPr>
                  <w:r>
                    <w:rPr>
                      <w:rFonts w:hint="eastAsia"/>
                      <w:color w:val="000000" w:themeColor="text1"/>
                      <w:kern w:val="0"/>
                      <w:sz w:val="20"/>
                    </w:rPr>
                    <w:t>17:37</w:t>
                  </w:r>
                </w:p>
              </w:tc>
              <w:tc>
                <w:tcPr>
                  <w:tcW w:w="1186" w:type="dxa"/>
                  <w:tcBorders>
                    <w:tl2br w:val="nil"/>
                    <w:tr2bl w:val="nil"/>
                  </w:tcBorders>
                  <w:shd w:val="clear" w:color="auto" w:fill="auto"/>
                  <w:noWrap/>
                  <w:vAlign w:val="center"/>
                </w:tcPr>
                <w:p>
                  <w:pPr>
                    <w:widowControl/>
                    <w:jc w:val="center"/>
                    <w:rPr>
                      <w:color w:val="000000" w:themeColor="text1"/>
                      <w:kern w:val="0"/>
                      <w:sz w:val="20"/>
                    </w:rPr>
                  </w:pPr>
                  <w:r>
                    <w:rPr>
                      <w:rFonts w:hint="eastAsia"/>
                      <w:color w:val="000000" w:themeColor="text1"/>
                      <w:kern w:val="0"/>
                      <w:sz w:val="20"/>
                    </w:rPr>
                    <w:t>53</w:t>
                  </w:r>
                </w:p>
              </w:tc>
              <w:tc>
                <w:tcPr>
                  <w:tcW w:w="1187" w:type="dxa"/>
                  <w:tcBorders>
                    <w:tl2br w:val="nil"/>
                    <w:tr2bl w:val="nil"/>
                  </w:tcBorders>
                  <w:shd w:val="clear" w:color="auto" w:fill="auto"/>
                  <w:noWrap/>
                  <w:vAlign w:val="center"/>
                </w:tcPr>
                <w:p>
                  <w:pPr>
                    <w:widowControl/>
                    <w:jc w:val="center"/>
                    <w:rPr>
                      <w:color w:val="000000" w:themeColor="text1"/>
                      <w:kern w:val="0"/>
                      <w:sz w:val="20"/>
                    </w:rPr>
                  </w:pPr>
                  <w:r>
                    <w:rPr>
                      <w:rFonts w:hint="eastAsia"/>
                      <w:color w:val="000000" w:themeColor="text1"/>
                      <w:kern w:val="0"/>
                      <w:sz w:val="20"/>
                    </w:rPr>
                    <w:t>17:24</w:t>
                  </w:r>
                </w:p>
              </w:tc>
              <w:tc>
                <w:tcPr>
                  <w:tcW w:w="1188" w:type="dxa"/>
                  <w:tcBorders>
                    <w:tl2br w:val="nil"/>
                    <w:tr2bl w:val="nil"/>
                  </w:tcBorders>
                  <w:shd w:val="clear" w:color="auto" w:fill="auto"/>
                  <w:noWrap/>
                  <w:vAlign w:val="center"/>
                </w:tcPr>
                <w:p>
                  <w:pPr>
                    <w:widowControl/>
                    <w:jc w:val="center"/>
                    <w:rPr>
                      <w:color w:val="000000" w:themeColor="text1"/>
                      <w:kern w:val="0"/>
                      <w:sz w:val="20"/>
                    </w:rPr>
                  </w:pPr>
                  <w:r>
                    <w:rPr>
                      <w:rFonts w:hint="eastAsia"/>
                      <w:color w:val="000000" w:themeColor="text1"/>
                      <w:kern w:val="0"/>
                      <w:sz w:val="20"/>
                    </w:rPr>
                    <w:t>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54" w:hRule="atLeast"/>
                <w:jc w:val="center"/>
              </w:trPr>
              <w:tc>
                <w:tcPr>
                  <w:tcW w:w="1215" w:type="dxa"/>
                  <w:tcBorders>
                    <w:tl2br w:val="nil"/>
                    <w:tr2bl w:val="nil"/>
                  </w:tcBorders>
                  <w:shd w:val="clear" w:color="auto" w:fill="auto"/>
                  <w:noWrap/>
                  <w:vAlign w:val="center"/>
                </w:tcPr>
                <w:p>
                  <w:pPr>
                    <w:widowControl/>
                    <w:jc w:val="center"/>
                    <w:rPr>
                      <w:color w:val="000000" w:themeColor="text1"/>
                      <w:kern w:val="0"/>
                      <w:sz w:val="20"/>
                    </w:rPr>
                  </w:pPr>
                  <w:r>
                    <w:rPr>
                      <w:color w:val="000000" w:themeColor="text1"/>
                      <w:kern w:val="0"/>
                      <w:sz w:val="20"/>
                    </w:rPr>
                    <w:t>N4</w:t>
                  </w:r>
                </w:p>
              </w:tc>
              <w:tc>
                <w:tcPr>
                  <w:tcW w:w="1595" w:type="dxa"/>
                  <w:tcBorders>
                    <w:tl2br w:val="nil"/>
                    <w:tr2bl w:val="nil"/>
                  </w:tcBorders>
                  <w:noWrap/>
                  <w:vAlign w:val="center"/>
                </w:tcPr>
                <w:p>
                  <w:pPr>
                    <w:widowControl/>
                    <w:jc w:val="center"/>
                    <w:rPr>
                      <w:color w:val="000000" w:themeColor="text1"/>
                      <w:kern w:val="0"/>
                      <w:sz w:val="20"/>
                    </w:rPr>
                  </w:pPr>
                  <w:r>
                    <w:rPr>
                      <w:color w:val="000000" w:themeColor="text1"/>
                      <w:kern w:val="0"/>
                      <w:sz w:val="20"/>
                    </w:rPr>
                    <w:t>北厂界外1m处</w:t>
                  </w:r>
                </w:p>
              </w:tc>
              <w:tc>
                <w:tcPr>
                  <w:tcW w:w="1515" w:type="dxa"/>
                  <w:vMerge w:val="continue"/>
                  <w:tcBorders>
                    <w:tl2br w:val="nil"/>
                    <w:tr2bl w:val="nil"/>
                  </w:tcBorders>
                  <w:noWrap/>
                  <w:vAlign w:val="center"/>
                </w:tcPr>
                <w:p>
                  <w:pPr>
                    <w:rPr>
                      <w:color w:val="000000" w:themeColor="text1"/>
                      <w:sz w:val="20"/>
                    </w:rPr>
                  </w:pPr>
                </w:p>
              </w:tc>
              <w:tc>
                <w:tcPr>
                  <w:tcW w:w="1186" w:type="dxa"/>
                  <w:tcBorders>
                    <w:tl2br w:val="nil"/>
                    <w:tr2bl w:val="nil"/>
                  </w:tcBorders>
                  <w:shd w:val="clear" w:color="auto" w:fill="auto"/>
                  <w:noWrap/>
                  <w:vAlign w:val="center"/>
                </w:tcPr>
                <w:p>
                  <w:pPr>
                    <w:widowControl/>
                    <w:jc w:val="center"/>
                    <w:rPr>
                      <w:color w:val="000000" w:themeColor="text1"/>
                      <w:kern w:val="0"/>
                      <w:sz w:val="20"/>
                    </w:rPr>
                  </w:pPr>
                  <w:r>
                    <w:rPr>
                      <w:rFonts w:hint="eastAsia"/>
                      <w:color w:val="000000" w:themeColor="text1"/>
                      <w:kern w:val="0"/>
                      <w:sz w:val="20"/>
                    </w:rPr>
                    <w:t>17:45</w:t>
                  </w:r>
                </w:p>
              </w:tc>
              <w:tc>
                <w:tcPr>
                  <w:tcW w:w="1186" w:type="dxa"/>
                  <w:tcBorders>
                    <w:tl2br w:val="nil"/>
                    <w:tr2bl w:val="nil"/>
                  </w:tcBorders>
                  <w:shd w:val="clear" w:color="auto" w:fill="auto"/>
                  <w:noWrap/>
                  <w:vAlign w:val="center"/>
                </w:tcPr>
                <w:p>
                  <w:pPr>
                    <w:widowControl/>
                    <w:jc w:val="center"/>
                    <w:rPr>
                      <w:color w:val="000000" w:themeColor="text1"/>
                      <w:kern w:val="0"/>
                      <w:sz w:val="20"/>
                    </w:rPr>
                  </w:pPr>
                  <w:r>
                    <w:rPr>
                      <w:rFonts w:hint="eastAsia"/>
                      <w:color w:val="000000" w:themeColor="text1"/>
                      <w:kern w:val="0"/>
                      <w:sz w:val="20"/>
                    </w:rPr>
                    <w:t>56</w:t>
                  </w:r>
                </w:p>
              </w:tc>
              <w:tc>
                <w:tcPr>
                  <w:tcW w:w="1187" w:type="dxa"/>
                  <w:tcBorders>
                    <w:tl2br w:val="nil"/>
                    <w:tr2bl w:val="nil"/>
                  </w:tcBorders>
                  <w:shd w:val="clear" w:color="auto" w:fill="auto"/>
                  <w:noWrap/>
                  <w:vAlign w:val="center"/>
                </w:tcPr>
                <w:p>
                  <w:pPr>
                    <w:widowControl/>
                    <w:jc w:val="center"/>
                    <w:rPr>
                      <w:color w:val="000000" w:themeColor="text1"/>
                      <w:kern w:val="0"/>
                      <w:sz w:val="20"/>
                    </w:rPr>
                  </w:pPr>
                  <w:r>
                    <w:rPr>
                      <w:rFonts w:hint="eastAsia"/>
                      <w:color w:val="000000" w:themeColor="text1"/>
                      <w:kern w:val="0"/>
                      <w:sz w:val="20"/>
                    </w:rPr>
                    <w:t>17:31</w:t>
                  </w:r>
                </w:p>
              </w:tc>
              <w:tc>
                <w:tcPr>
                  <w:tcW w:w="1188" w:type="dxa"/>
                  <w:tcBorders>
                    <w:tl2br w:val="nil"/>
                    <w:tr2bl w:val="nil"/>
                  </w:tcBorders>
                  <w:shd w:val="clear" w:color="auto" w:fill="auto"/>
                  <w:noWrap/>
                  <w:vAlign w:val="center"/>
                </w:tcPr>
                <w:p>
                  <w:pPr>
                    <w:widowControl/>
                    <w:jc w:val="center"/>
                    <w:rPr>
                      <w:color w:val="000000" w:themeColor="text1"/>
                      <w:kern w:val="0"/>
                      <w:sz w:val="20"/>
                    </w:rPr>
                  </w:pPr>
                  <w:r>
                    <w:rPr>
                      <w:rFonts w:hint="eastAsia"/>
                      <w:color w:val="000000" w:themeColor="text1"/>
                      <w:kern w:val="0"/>
                      <w:sz w:val="20"/>
                    </w:rPr>
                    <w:t>52</w:t>
                  </w:r>
                </w:p>
              </w:tc>
            </w:tr>
          </w:tbl>
          <w:p>
            <w:pPr>
              <w:spacing w:line="360" w:lineRule="auto"/>
              <w:ind w:firstLine="480" w:firstLineChars="200"/>
              <w:rPr>
                <w:rFonts w:hint="default" w:ascii="Times New Roman" w:hAnsi="Times New Roman" w:cs="Times New Roman"/>
                <w:color w:val="000000" w:themeColor="text1"/>
                <w:sz w:val="24"/>
                <w:lang w:eastAsia="zh-CN"/>
              </w:rPr>
            </w:pPr>
            <w:r>
              <w:rPr>
                <w:rFonts w:hint="default" w:ascii="Times New Roman" w:hAnsi="Times New Roman" w:cs="Times New Roman"/>
                <w:color w:val="000000" w:themeColor="text1"/>
                <w:sz w:val="24"/>
              </w:rPr>
              <w:t>根据上表可知，在验收监测期间，本项目生产噪声排放能够满足《工业企业厂环境噪声排放标准》（GB12348-2008）中的</w:t>
            </w:r>
            <w:r>
              <w:rPr>
                <w:rFonts w:hint="default" w:ascii="Times New Roman" w:hAnsi="Times New Roman" w:cs="Times New Roman"/>
                <w:color w:val="000000" w:themeColor="text1"/>
                <w:sz w:val="24"/>
                <w:lang w:val="en-US" w:eastAsia="zh-CN"/>
              </w:rPr>
              <w:t>2</w:t>
            </w:r>
            <w:r>
              <w:rPr>
                <w:rFonts w:hint="default" w:ascii="Times New Roman" w:hAnsi="Times New Roman" w:cs="Times New Roman"/>
                <w:color w:val="000000" w:themeColor="text1"/>
                <w:sz w:val="24"/>
              </w:rPr>
              <w:t>类区标准限值</w:t>
            </w:r>
            <w:r>
              <w:rPr>
                <w:rFonts w:hint="default" w:ascii="Times New Roman" w:hAnsi="Times New Roman" w:cs="Times New Roman"/>
                <w:color w:val="000000" w:themeColor="text1"/>
                <w:sz w:val="24"/>
                <w:lang w:eastAsia="zh-CN"/>
              </w:rPr>
              <w:t>要求。</w:t>
            </w:r>
          </w:p>
          <w:p>
            <w:pPr>
              <w:spacing w:line="360" w:lineRule="auto"/>
              <w:ind w:firstLine="480" w:firstLineChars="200"/>
              <w:rPr>
                <w:rFonts w:hint="default" w:ascii="Times New Roman" w:hAnsi="Times New Roman" w:cs="Times New Roman"/>
                <w:color w:val="FF0000"/>
                <w:sz w:val="24"/>
                <w:lang w:eastAsia="zh-CN"/>
              </w:rPr>
            </w:pPr>
          </w:p>
          <w:p>
            <w:pPr>
              <w:spacing w:line="360" w:lineRule="auto"/>
              <w:ind w:firstLine="480" w:firstLineChars="200"/>
              <w:rPr>
                <w:rFonts w:hint="default" w:ascii="Times New Roman" w:hAnsi="Times New Roman" w:cs="Times New Roman"/>
                <w:color w:val="FF0000"/>
                <w:sz w:val="24"/>
                <w:lang w:eastAsia="zh-CN"/>
              </w:rPr>
            </w:pPr>
          </w:p>
          <w:p>
            <w:pPr>
              <w:spacing w:line="360" w:lineRule="auto"/>
              <w:ind w:firstLine="480" w:firstLineChars="200"/>
              <w:rPr>
                <w:rFonts w:hint="default" w:ascii="Times New Roman" w:hAnsi="Times New Roman" w:cs="Times New Roman"/>
                <w:color w:val="FF0000"/>
                <w:sz w:val="24"/>
                <w:lang w:eastAsia="zh-CN"/>
              </w:rPr>
            </w:pPr>
          </w:p>
          <w:p>
            <w:pPr>
              <w:spacing w:line="360" w:lineRule="auto"/>
              <w:ind w:firstLine="480" w:firstLineChars="200"/>
              <w:rPr>
                <w:rFonts w:hint="eastAsia" w:cs="Times New Roman"/>
                <w:color w:val="auto"/>
                <w:sz w:val="24"/>
                <w:lang w:eastAsia="zh-CN"/>
              </w:rPr>
            </w:pPr>
          </w:p>
          <w:p>
            <w:pPr>
              <w:spacing w:line="360" w:lineRule="auto"/>
              <w:ind w:firstLine="480" w:firstLineChars="200"/>
              <w:rPr>
                <w:rFonts w:hint="eastAsia" w:cs="Times New Roman"/>
                <w:color w:val="auto"/>
                <w:sz w:val="24"/>
                <w:lang w:eastAsia="zh-CN"/>
              </w:rPr>
            </w:pPr>
          </w:p>
          <w:p>
            <w:pPr>
              <w:spacing w:line="360" w:lineRule="auto"/>
              <w:ind w:firstLine="480" w:firstLineChars="200"/>
              <w:rPr>
                <w:rFonts w:hint="eastAsia" w:cs="Times New Roman"/>
                <w:color w:val="auto"/>
                <w:sz w:val="24"/>
                <w:lang w:eastAsia="zh-CN"/>
              </w:rPr>
            </w:pPr>
          </w:p>
          <w:p>
            <w:pPr>
              <w:spacing w:line="360" w:lineRule="auto"/>
              <w:ind w:firstLine="480" w:firstLineChars="200"/>
              <w:rPr>
                <w:rFonts w:hint="eastAsia" w:cs="Times New Roman"/>
                <w:color w:val="auto"/>
                <w:sz w:val="24"/>
                <w:lang w:eastAsia="zh-CN"/>
              </w:rPr>
            </w:pPr>
          </w:p>
          <w:p>
            <w:pPr>
              <w:spacing w:line="360" w:lineRule="auto"/>
              <w:ind w:firstLine="480" w:firstLineChars="200"/>
              <w:rPr>
                <w:rFonts w:hint="eastAsia" w:cs="Times New Roman"/>
                <w:color w:val="auto"/>
                <w:sz w:val="24"/>
                <w:lang w:eastAsia="zh-CN"/>
              </w:rPr>
            </w:pPr>
          </w:p>
          <w:p>
            <w:pPr>
              <w:spacing w:line="360" w:lineRule="auto"/>
              <w:ind w:firstLine="480" w:firstLineChars="200"/>
              <w:rPr>
                <w:rFonts w:hint="eastAsia" w:cs="Times New Roman"/>
                <w:color w:val="auto"/>
                <w:sz w:val="24"/>
                <w:lang w:eastAsia="zh-CN"/>
              </w:rPr>
            </w:pPr>
          </w:p>
          <w:p>
            <w:pPr>
              <w:spacing w:line="360" w:lineRule="auto"/>
              <w:ind w:firstLine="480" w:firstLineChars="200"/>
              <w:rPr>
                <w:rFonts w:hint="eastAsia" w:cs="Times New Roman"/>
                <w:color w:val="auto"/>
                <w:sz w:val="24"/>
                <w:lang w:eastAsia="zh-CN"/>
              </w:rPr>
            </w:pPr>
          </w:p>
          <w:p>
            <w:pPr>
              <w:spacing w:line="360" w:lineRule="auto"/>
              <w:ind w:firstLine="480" w:firstLineChars="200"/>
              <w:rPr>
                <w:rFonts w:hint="default" w:ascii="Times New Roman" w:hAnsi="Times New Roman" w:cs="Times New Roman"/>
                <w:color w:val="auto"/>
                <w:sz w:val="24"/>
                <w:lang w:eastAsia="zh-CN"/>
              </w:rPr>
            </w:pPr>
          </w:p>
          <w:p>
            <w:pPr>
              <w:spacing w:line="360" w:lineRule="auto"/>
              <w:rPr>
                <w:rFonts w:hint="default" w:ascii="Times New Roman" w:hAnsi="Times New Roman" w:cs="Times New Roman"/>
              </w:rPr>
            </w:pPr>
          </w:p>
        </w:tc>
      </w:tr>
    </w:tbl>
    <w:p>
      <w:pPr>
        <w:rPr>
          <w:rFonts w:hint="default" w:ascii="Times New Roman" w:hAnsi="Times New Roman" w:cs="Times New Roman"/>
          <w:b/>
          <w:sz w:val="28"/>
          <w:szCs w:val="28"/>
        </w:rPr>
      </w:pPr>
      <w:r>
        <w:rPr>
          <w:rFonts w:hint="default" w:ascii="Times New Roman" w:hAnsi="Times New Roman" w:cs="Times New Roman"/>
          <w:b/>
          <w:sz w:val="28"/>
          <w:szCs w:val="28"/>
        </w:rPr>
        <w:br w:type="page"/>
      </w:r>
    </w:p>
    <w:p>
      <w:pPr>
        <w:widowControl/>
        <w:jc w:val="left"/>
        <w:rPr>
          <w:rFonts w:hint="default" w:ascii="Times New Roman" w:hAnsi="Times New Roman" w:cs="Times New Roman"/>
          <w:b/>
          <w:sz w:val="28"/>
          <w:szCs w:val="28"/>
        </w:rPr>
      </w:pPr>
      <w:r>
        <w:rPr>
          <w:rFonts w:hint="default" w:ascii="Times New Roman" w:hAnsi="Times New Roman" w:cs="Times New Roman"/>
          <w:b/>
          <w:sz w:val="28"/>
          <w:szCs w:val="28"/>
        </w:rPr>
        <w:t>表八 验收监测结论</w:t>
      </w:r>
    </w:p>
    <w:tbl>
      <w:tblPr>
        <w:tblStyle w:val="17"/>
        <w:tblW w:w="928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28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9288" w:type="dxa"/>
          </w:tcPr>
          <w:p>
            <w:pPr>
              <w:tabs>
                <w:tab w:val="left" w:pos="3480"/>
              </w:tabs>
              <w:spacing w:line="360" w:lineRule="auto"/>
              <w:ind w:firstLine="482" w:firstLineChars="200"/>
              <w:outlineLvl w:val="0"/>
              <w:rPr>
                <w:rFonts w:hint="default" w:ascii="Times New Roman" w:hAnsi="Times New Roman" w:eastAsia="宋体" w:cs="Times New Roman"/>
                <w:b/>
                <w:bCs/>
                <w:color w:val="0C0C0C" w:themeColor="text1" w:themeTint="F2"/>
                <w:sz w:val="24"/>
                <w:szCs w:val="24"/>
              </w:rPr>
            </w:pPr>
            <w:bookmarkStart w:id="46" w:name="_Toc1609"/>
            <w:bookmarkStart w:id="47" w:name="_Toc24842"/>
            <w:r>
              <w:rPr>
                <w:rFonts w:hint="default" w:ascii="Times New Roman" w:hAnsi="Times New Roman" w:eastAsia="宋体" w:cs="Times New Roman"/>
                <w:b/>
                <w:bCs/>
                <w:color w:val="0C0C0C" w:themeColor="text1" w:themeTint="F2"/>
                <w:sz w:val="24"/>
                <w:szCs w:val="24"/>
              </w:rPr>
              <w:t>1、工况及“三同时”执行情况</w:t>
            </w:r>
            <w:bookmarkEnd w:id="46"/>
            <w:bookmarkEnd w:id="47"/>
          </w:p>
          <w:p>
            <w:pPr>
              <w:spacing w:line="360" w:lineRule="auto"/>
              <w:ind w:firstLine="480" w:firstLineChars="200"/>
              <w:rPr>
                <w:rFonts w:hint="default" w:ascii="Times New Roman" w:hAnsi="Times New Roman" w:eastAsia="宋体" w:cs="Times New Roman"/>
                <w:bCs/>
                <w:color w:val="0C0C0C" w:themeColor="text1" w:themeTint="F2"/>
                <w:sz w:val="24"/>
                <w:szCs w:val="24"/>
              </w:rPr>
            </w:pPr>
            <w:r>
              <w:rPr>
                <w:rFonts w:hint="default" w:ascii="Times New Roman" w:hAnsi="Times New Roman" w:eastAsia="宋体" w:cs="Times New Roman"/>
                <w:sz w:val="24"/>
                <w:szCs w:val="24"/>
                <w:lang w:eastAsia="zh-CN"/>
              </w:rPr>
              <w:t>安徽源昇新型材料有限公司铝模板后期加工项目</w:t>
            </w:r>
            <w:r>
              <w:rPr>
                <w:rFonts w:hint="default" w:ascii="Times New Roman" w:hAnsi="Times New Roman" w:eastAsia="宋体" w:cs="Times New Roman"/>
                <w:bCs/>
                <w:color w:val="0C0C0C" w:themeColor="text1" w:themeTint="F2"/>
                <w:sz w:val="24"/>
                <w:szCs w:val="24"/>
              </w:rPr>
              <w:t>建造较完善，满足验收监测技术规范要求。</w:t>
            </w:r>
            <w:r>
              <w:rPr>
                <w:rFonts w:hint="default" w:ascii="Times New Roman" w:hAnsi="Times New Roman" w:eastAsia="宋体" w:cs="Times New Roman"/>
                <w:bCs/>
                <w:color w:val="0C0C0C" w:themeColor="text1" w:themeTint="F2"/>
                <w:sz w:val="24"/>
                <w:szCs w:val="24"/>
                <w:lang w:eastAsia="zh-CN"/>
              </w:rPr>
              <w:t>验收</w:t>
            </w:r>
            <w:r>
              <w:rPr>
                <w:rFonts w:hint="default" w:ascii="Times New Roman" w:hAnsi="Times New Roman" w:eastAsia="宋体" w:cs="Times New Roman"/>
                <w:bCs/>
                <w:color w:val="0C0C0C" w:themeColor="text1" w:themeTint="F2"/>
                <w:sz w:val="24"/>
                <w:szCs w:val="24"/>
              </w:rPr>
              <w:t>现场监测时，各类环保设施运行正常，监测结果具有代表性。</w:t>
            </w:r>
          </w:p>
          <w:p>
            <w:pPr>
              <w:spacing w:line="360" w:lineRule="auto"/>
              <w:ind w:firstLine="480" w:firstLineChars="200"/>
              <w:rPr>
                <w:rFonts w:hint="default" w:ascii="Times New Roman" w:hAnsi="Times New Roman" w:eastAsia="宋体" w:cs="Times New Roman"/>
                <w:bCs/>
                <w:color w:val="0C0C0C" w:themeColor="text1" w:themeTint="F2"/>
                <w:sz w:val="24"/>
                <w:szCs w:val="24"/>
              </w:rPr>
            </w:pPr>
            <w:r>
              <w:rPr>
                <w:rFonts w:hint="default" w:ascii="Times New Roman" w:hAnsi="Times New Roman" w:eastAsia="宋体" w:cs="Times New Roman"/>
                <w:bCs/>
                <w:color w:val="0C0C0C" w:themeColor="text1" w:themeTint="F2"/>
                <w:sz w:val="24"/>
                <w:szCs w:val="24"/>
              </w:rPr>
              <w:t>另外本项目已按照国家有关建设项目环境管理法规要求，进行了环境影响评价，工程相应的环保设施与主体工程同时设计、同时施工、同时投入使用，基本符合“三同时”的要求。</w:t>
            </w:r>
          </w:p>
          <w:p>
            <w:pPr>
              <w:pStyle w:val="31"/>
              <w:ind w:firstLine="482"/>
              <w:jc w:val="both"/>
              <w:outlineLvl w:val="1"/>
              <w:rPr>
                <w:rFonts w:hint="default" w:ascii="Times New Roman" w:hAnsi="Times New Roman" w:eastAsia="宋体" w:cs="Times New Roman"/>
                <w:b/>
                <w:bCs/>
                <w:color w:val="0C0C0C" w:themeColor="text1" w:themeTint="F2"/>
                <w:sz w:val="24"/>
                <w:szCs w:val="24"/>
              </w:rPr>
            </w:pPr>
            <w:bookmarkStart w:id="48" w:name="_Toc6969"/>
            <w:bookmarkStart w:id="49" w:name="_Toc512519602"/>
            <w:bookmarkStart w:id="50" w:name="_Toc16263"/>
            <w:r>
              <w:rPr>
                <w:rFonts w:hint="default" w:ascii="Times New Roman" w:hAnsi="Times New Roman" w:eastAsia="宋体" w:cs="Times New Roman"/>
                <w:b/>
                <w:bCs/>
                <w:color w:val="0C0C0C" w:themeColor="text1" w:themeTint="F2"/>
                <w:sz w:val="24"/>
                <w:szCs w:val="24"/>
              </w:rPr>
              <w:t>2、</w:t>
            </w:r>
            <w:bookmarkEnd w:id="48"/>
            <w:bookmarkEnd w:id="49"/>
            <w:bookmarkEnd w:id="50"/>
            <w:r>
              <w:rPr>
                <w:rFonts w:hint="default" w:ascii="Times New Roman" w:hAnsi="Times New Roman" w:eastAsia="宋体" w:cs="Times New Roman"/>
                <w:b/>
                <w:bCs/>
                <w:color w:val="0C0C0C" w:themeColor="text1" w:themeTint="F2"/>
                <w:sz w:val="24"/>
                <w:szCs w:val="24"/>
              </w:rPr>
              <w:t>污染物排放监测结果</w:t>
            </w:r>
          </w:p>
          <w:p>
            <w:pPr>
              <w:pStyle w:val="31"/>
              <w:jc w:val="both"/>
              <w:rPr>
                <w:rFonts w:hint="default" w:ascii="Times New Roman" w:hAnsi="Times New Roman" w:eastAsia="宋体" w:cs="Times New Roman"/>
                <w:color w:val="0C0C0C" w:themeColor="text1" w:themeTint="F2"/>
                <w:sz w:val="24"/>
                <w:szCs w:val="24"/>
              </w:rPr>
            </w:pPr>
            <w:bookmarkStart w:id="51" w:name="_Toc500754030"/>
            <w:bookmarkStart w:id="52" w:name="_Toc500598051"/>
            <w:r>
              <w:rPr>
                <w:rFonts w:hint="default" w:ascii="Times New Roman" w:hAnsi="Times New Roman" w:eastAsia="宋体" w:cs="Times New Roman"/>
                <w:color w:val="0C0C0C" w:themeColor="text1" w:themeTint="F2"/>
                <w:sz w:val="24"/>
                <w:szCs w:val="24"/>
              </w:rPr>
              <w:t>（1）废气监测结果</w:t>
            </w:r>
          </w:p>
          <w:p>
            <w:pPr>
              <w:spacing w:line="360" w:lineRule="auto"/>
              <w:ind w:firstLine="480" w:firstLineChars="200"/>
              <w:rPr>
                <w:rFonts w:hint="default" w:ascii="Times New Roman" w:hAnsi="Times New Roman" w:eastAsia="宋体" w:cs="Times New Roman"/>
                <w:color w:val="auto"/>
                <w:sz w:val="24"/>
                <w:szCs w:val="24"/>
                <w:lang w:val="en-US"/>
              </w:rPr>
            </w:pPr>
            <w:r>
              <w:rPr>
                <w:rFonts w:hint="default" w:ascii="Times New Roman" w:hAnsi="Times New Roman" w:eastAsia="宋体" w:cs="Times New Roman"/>
                <w:color w:val="auto"/>
                <w:sz w:val="24"/>
                <w:szCs w:val="24"/>
                <w:lang w:val="en-US"/>
              </w:rPr>
              <w:t>项目</w:t>
            </w:r>
            <w:r>
              <w:rPr>
                <w:rFonts w:hint="default" w:ascii="Times New Roman" w:hAnsi="Times New Roman" w:eastAsia="宋体" w:cs="Times New Roman"/>
                <w:color w:val="auto"/>
                <w:sz w:val="24"/>
                <w:szCs w:val="24"/>
              </w:rPr>
              <w:t>产生的废气主要为</w:t>
            </w:r>
            <w:r>
              <w:rPr>
                <w:rFonts w:hint="default" w:ascii="Times New Roman" w:hAnsi="Times New Roman" w:eastAsia="宋体" w:cs="Times New Roman"/>
                <w:color w:val="auto"/>
                <w:sz w:val="24"/>
                <w:szCs w:val="24"/>
                <w:lang w:val="en-US"/>
              </w:rPr>
              <w:t>抛丸打磨粉尘、高压除尘粉尘</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rPr>
              <w:t>喷塑</w:t>
            </w:r>
            <w:r>
              <w:rPr>
                <w:rFonts w:hint="default" w:ascii="Times New Roman" w:hAnsi="Times New Roman" w:eastAsia="宋体" w:cs="Times New Roman"/>
                <w:color w:val="auto"/>
                <w:sz w:val="24"/>
                <w:szCs w:val="24"/>
              </w:rPr>
              <w:t>粉尘、</w:t>
            </w:r>
            <w:r>
              <w:rPr>
                <w:rFonts w:hint="default" w:ascii="Times New Roman" w:hAnsi="Times New Roman" w:eastAsia="宋体" w:cs="Times New Roman"/>
                <w:color w:val="auto"/>
                <w:sz w:val="24"/>
                <w:szCs w:val="24"/>
                <w:lang w:val="en-US"/>
              </w:rPr>
              <w:t>固化有机废气、</w:t>
            </w:r>
            <w:r>
              <w:rPr>
                <w:rFonts w:hint="default" w:ascii="Times New Roman" w:hAnsi="Times New Roman" w:eastAsia="宋体" w:cs="Times New Roman"/>
                <w:color w:val="auto"/>
                <w:sz w:val="24"/>
                <w:szCs w:val="24"/>
                <w:lang w:val="en-US" w:eastAsia="zh-CN"/>
              </w:rPr>
              <w:t>燃气</w:t>
            </w:r>
            <w:r>
              <w:rPr>
                <w:rFonts w:hint="default" w:ascii="Times New Roman" w:hAnsi="Times New Roman" w:eastAsia="宋体" w:cs="Times New Roman"/>
                <w:color w:val="auto"/>
                <w:sz w:val="24"/>
                <w:szCs w:val="24"/>
                <w:lang w:val="en-US"/>
              </w:rPr>
              <w:t>燃烧废气，</w:t>
            </w:r>
            <w:r>
              <w:rPr>
                <w:rFonts w:hint="default" w:ascii="Times New Roman" w:hAnsi="Times New Roman" w:eastAsia="宋体" w:cs="Times New Roman"/>
                <w:color w:val="auto"/>
                <w:sz w:val="24"/>
                <w:szCs w:val="24"/>
              </w:rPr>
              <w:t>其中抛丸粉尘经设备配套布袋除尘器处理后由1根15m排气筒（</w:t>
            </w:r>
            <w:r>
              <w:rPr>
                <w:rFonts w:hint="default" w:ascii="Times New Roman" w:hAnsi="Times New Roman" w:eastAsia="宋体" w:cs="Times New Roman"/>
                <w:color w:val="auto"/>
                <w:sz w:val="24"/>
                <w:szCs w:val="24"/>
                <w:lang w:val="en-US"/>
              </w:rPr>
              <w:t>DA00</w:t>
            </w:r>
            <w:r>
              <w:rPr>
                <w:rFonts w:hint="default" w:ascii="Times New Roman" w:hAnsi="Times New Roman" w:eastAsia="宋体" w:cs="Times New Roman"/>
                <w:color w:val="auto"/>
                <w:sz w:val="24"/>
                <w:szCs w:val="24"/>
              </w:rPr>
              <w:t>1）排放。高压除尘粉尘经除尘室配套旋风除尘设施处理后无组织排放；喷塑粉尘经喷塑室配套</w:t>
            </w:r>
            <w:r>
              <w:rPr>
                <w:rFonts w:hint="default" w:ascii="Times New Roman" w:hAnsi="Times New Roman" w:eastAsia="宋体" w:cs="Times New Roman"/>
                <w:color w:val="auto"/>
                <w:sz w:val="24"/>
                <w:szCs w:val="24"/>
                <w:lang w:eastAsia="zh-CN"/>
              </w:rPr>
              <w:t>旋风</w:t>
            </w:r>
            <w:r>
              <w:rPr>
                <w:rFonts w:hint="default" w:ascii="Times New Roman" w:hAnsi="Times New Roman" w:eastAsia="宋体" w:cs="Times New Roman"/>
                <w:color w:val="auto"/>
                <w:sz w:val="24"/>
                <w:szCs w:val="24"/>
                <w:lang w:val="en-US" w:eastAsia="zh-CN"/>
              </w:rPr>
              <w:t>+滤芯</w:t>
            </w:r>
            <w:r>
              <w:rPr>
                <w:rFonts w:hint="default" w:ascii="Times New Roman" w:hAnsi="Times New Roman" w:eastAsia="宋体" w:cs="Times New Roman"/>
                <w:color w:val="auto"/>
                <w:sz w:val="24"/>
                <w:szCs w:val="24"/>
                <w:lang w:val="en-US"/>
              </w:rPr>
              <w:t>除尘器处理后由1根15m排气筒（DA002）排放；固化有机废气经集气罩收集后由二级活性炭吸附装置处理后由1根15m排气筒（DA003）排放；</w:t>
            </w:r>
            <w:r>
              <w:rPr>
                <w:rFonts w:hint="default" w:ascii="Times New Roman" w:hAnsi="Times New Roman" w:eastAsia="宋体" w:cs="Times New Roman"/>
                <w:color w:val="auto"/>
                <w:sz w:val="24"/>
                <w:szCs w:val="24"/>
                <w:lang w:val="en-US" w:eastAsia="zh-CN"/>
              </w:rPr>
              <w:t>燃烧</w:t>
            </w:r>
            <w:r>
              <w:rPr>
                <w:rFonts w:hint="default" w:ascii="Times New Roman" w:hAnsi="Times New Roman" w:eastAsia="宋体" w:cs="Times New Roman"/>
                <w:color w:val="auto"/>
                <w:sz w:val="24"/>
                <w:szCs w:val="24"/>
                <w:lang w:val="en-US"/>
              </w:rPr>
              <w:t>废气经</w:t>
            </w:r>
            <w:r>
              <w:rPr>
                <w:rFonts w:hint="default" w:ascii="Times New Roman" w:hAnsi="Times New Roman" w:eastAsia="宋体" w:cs="Times New Roman"/>
                <w:color w:val="auto"/>
                <w:sz w:val="24"/>
                <w:szCs w:val="24"/>
                <w:lang w:val="en-US" w:eastAsia="zh-CN"/>
              </w:rPr>
              <w:t>旋风+水膜除尘器处理后</w:t>
            </w:r>
            <w:r>
              <w:rPr>
                <w:rFonts w:hint="default" w:ascii="Times New Roman" w:hAnsi="Times New Roman" w:eastAsia="宋体" w:cs="Times New Roman"/>
                <w:color w:val="auto"/>
                <w:sz w:val="24"/>
                <w:szCs w:val="24"/>
                <w:lang w:val="en-US"/>
              </w:rPr>
              <w:t>由1根</w:t>
            </w:r>
            <w:r>
              <w:rPr>
                <w:rFonts w:hint="default" w:ascii="Times New Roman" w:hAnsi="Times New Roman" w:eastAsia="宋体" w:cs="Times New Roman"/>
                <w:color w:val="auto"/>
                <w:sz w:val="24"/>
                <w:szCs w:val="24"/>
                <w:lang w:val="en-US" w:eastAsia="zh-CN"/>
              </w:rPr>
              <w:t>15</w:t>
            </w:r>
            <w:r>
              <w:rPr>
                <w:rFonts w:hint="default" w:ascii="Times New Roman" w:hAnsi="Times New Roman" w:eastAsia="宋体" w:cs="Times New Roman"/>
                <w:color w:val="auto"/>
                <w:sz w:val="24"/>
                <w:szCs w:val="24"/>
                <w:lang w:val="en-US"/>
              </w:rPr>
              <w:t>m排气筒（DA004）排放。</w:t>
            </w:r>
          </w:p>
          <w:p>
            <w:pPr>
              <w:spacing w:line="360" w:lineRule="auto"/>
              <w:ind w:firstLine="480" w:firstLineChars="200"/>
              <w:rPr>
                <w:rFonts w:hint="default" w:ascii="Times New Roman" w:hAnsi="Times New Roman" w:eastAsia="宋体" w:cs="Times New Roman"/>
                <w:color w:val="auto"/>
                <w:sz w:val="24"/>
                <w:szCs w:val="24"/>
                <w:lang w:val="en-US"/>
              </w:rPr>
            </w:pPr>
            <w:r>
              <w:rPr>
                <w:rFonts w:hint="default" w:ascii="Times New Roman" w:hAnsi="Times New Roman" w:eastAsia="宋体" w:cs="Times New Roman"/>
                <w:color w:val="auto"/>
                <w:sz w:val="24"/>
                <w:szCs w:val="24"/>
                <w:lang w:val="en-US" w:eastAsia="zh-CN"/>
              </w:rPr>
              <w:t>颗粒物、非甲烷总烃</w:t>
            </w:r>
            <w:r>
              <w:rPr>
                <w:rFonts w:hint="default" w:ascii="Times New Roman" w:hAnsi="Times New Roman" w:eastAsia="宋体" w:cs="Times New Roman"/>
                <w:color w:val="auto"/>
                <w:sz w:val="24"/>
                <w:szCs w:val="24"/>
                <w:lang w:val="en-US"/>
              </w:rPr>
              <w:t>有组织</w:t>
            </w:r>
            <w:bookmarkStart w:id="53" w:name="_GoBack"/>
            <w:bookmarkEnd w:id="53"/>
            <w:r>
              <w:rPr>
                <w:rFonts w:hint="default" w:ascii="Times New Roman" w:hAnsi="Times New Roman" w:eastAsia="宋体" w:cs="Times New Roman"/>
                <w:color w:val="auto"/>
                <w:sz w:val="24"/>
                <w:szCs w:val="24"/>
                <w:lang w:val="en-US"/>
              </w:rPr>
              <w:t>排放</w:t>
            </w:r>
            <w:r>
              <w:rPr>
                <w:rFonts w:hint="default" w:ascii="Times New Roman" w:hAnsi="Times New Roman" w:eastAsia="宋体" w:cs="Times New Roman"/>
                <w:color w:val="auto"/>
                <w:sz w:val="24"/>
                <w:szCs w:val="24"/>
              </w:rPr>
              <w:t>能够满足《</w:t>
            </w:r>
            <w:r>
              <w:rPr>
                <w:rFonts w:hint="default" w:ascii="Times New Roman" w:hAnsi="Times New Roman" w:eastAsia="宋体" w:cs="Times New Roman"/>
                <w:color w:val="auto"/>
                <w:sz w:val="24"/>
                <w:szCs w:val="24"/>
                <w:lang w:val="en-US"/>
              </w:rPr>
              <w:t>大气污染物综合排放标准</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rPr>
              <w:t>上海</w:t>
            </w:r>
            <w:r>
              <w:rPr>
                <w:rFonts w:hint="default" w:ascii="Times New Roman" w:hAnsi="Times New Roman" w:eastAsia="宋体" w:cs="Times New Roman"/>
                <w:color w:val="auto"/>
                <w:sz w:val="24"/>
                <w:szCs w:val="24"/>
              </w:rPr>
              <w:t>）（DB</w:t>
            </w:r>
            <w:r>
              <w:rPr>
                <w:rFonts w:hint="default" w:ascii="Times New Roman" w:hAnsi="Times New Roman" w:eastAsia="宋体" w:cs="Times New Roman"/>
                <w:color w:val="auto"/>
                <w:sz w:val="24"/>
                <w:szCs w:val="24"/>
                <w:lang w:val="en-US"/>
              </w:rPr>
              <w:t>31/933-2015</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rPr>
              <w:t>表1中有组织限值浓度要求，</w:t>
            </w:r>
            <w:r>
              <w:rPr>
                <w:rFonts w:hint="default" w:ascii="Times New Roman" w:hAnsi="Times New Roman" w:eastAsia="宋体" w:cs="Times New Roman"/>
                <w:color w:val="auto"/>
                <w:sz w:val="24"/>
                <w:szCs w:val="24"/>
              </w:rPr>
              <w:t>颗粒物和</w:t>
            </w:r>
            <w:r>
              <w:rPr>
                <w:rFonts w:hint="default" w:ascii="Times New Roman" w:hAnsi="Times New Roman" w:eastAsia="宋体" w:cs="Times New Roman"/>
                <w:color w:val="auto"/>
                <w:sz w:val="24"/>
                <w:szCs w:val="24"/>
                <w:lang w:val="en-US" w:eastAsia="zh-CN"/>
              </w:rPr>
              <w:t>非甲烷总烃</w:t>
            </w:r>
            <w:r>
              <w:rPr>
                <w:rFonts w:hint="default" w:ascii="Times New Roman" w:hAnsi="Times New Roman" w:eastAsia="宋体" w:cs="Times New Roman"/>
                <w:color w:val="auto"/>
                <w:sz w:val="24"/>
                <w:szCs w:val="24"/>
              </w:rPr>
              <w:t>无组织排放满足《</w:t>
            </w:r>
            <w:r>
              <w:rPr>
                <w:rFonts w:hint="default" w:ascii="Times New Roman" w:hAnsi="Times New Roman" w:eastAsia="宋体" w:cs="Times New Roman"/>
                <w:color w:val="auto"/>
                <w:sz w:val="24"/>
                <w:szCs w:val="24"/>
                <w:lang w:val="en-US"/>
              </w:rPr>
              <w:t>大气污染物综合排放标准</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rPr>
              <w:t>上海</w:t>
            </w:r>
            <w:r>
              <w:rPr>
                <w:rFonts w:hint="default" w:ascii="Times New Roman" w:hAnsi="Times New Roman" w:eastAsia="宋体" w:cs="Times New Roman"/>
                <w:color w:val="auto"/>
                <w:sz w:val="24"/>
                <w:szCs w:val="24"/>
              </w:rPr>
              <w:t>）（DB</w:t>
            </w:r>
            <w:r>
              <w:rPr>
                <w:rFonts w:hint="default" w:ascii="Times New Roman" w:hAnsi="Times New Roman" w:eastAsia="宋体" w:cs="Times New Roman"/>
                <w:color w:val="auto"/>
                <w:sz w:val="24"/>
                <w:szCs w:val="24"/>
                <w:lang w:val="en-US"/>
              </w:rPr>
              <w:t>31/933-2015</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rPr>
              <w:t>表3中无组织浓度限值要求</w:t>
            </w:r>
            <w:r>
              <w:rPr>
                <w:rFonts w:hint="default" w:ascii="Times New Roman" w:hAnsi="Times New Roman" w:eastAsia="宋体" w:cs="Times New Roman"/>
                <w:color w:val="auto"/>
                <w:sz w:val="24"/>
                <w:szCs w:val="24"/>
              </w:rPr>
              <w:t>；</w:t>
            </w:r>
            <w:r>
              <w:rPr>
                <w:rFonts w:hint="default" w:ascii="Times New Roman" w:hAnsi="Times New Roman" w:eastAsia="宋体" w:cs="Times New Roman"/>
                <w:color w:val="auto"/>
                <w:sz w:val="24"/>
                <w:szCs w:val="24"/>
                <w:lang w:val="en-US"/>
              </w:rPr>
              <w:t>厂区内</w:t>
            </w:r>
            <w:r>
              <w:rPr>
                <w:rFonts w:hint="default" w:ascii="Times New Roman" w:hAnsi="Times New Roman" w:eastAsia="宋体" w:cs="Times New Roman"/>
                <w:color w:val="auto"/>
                <w:sz w:val="24"/>
                <w:szCs w:val="24"/>
                <w:lang w:val="en-US" w:eastAsia="zh-CN"/>
              </w:rPr>
              <w:t>非甲烷总烃</w:t>
            </w:r>
            <w:r>
              <w:rPr>
                <w:rFonts w:hint="default" w:ascii="Times New Roman" w:hAnsi="Times New Roman" w:eastAsia="宋体" w:cs="Times New Roman"/>
                <w:color w:val="auto"/>
                <w:sz w:val="24"/>
                <w:szCs w:val="24"/>
                <w:lang w:val="en-US"/>
              </w:rPr>
              <w:t>满足</w:t>
            </w:r>
            <w:r>
              <w:rPr>
                <w:rFonts w:hint="default" w:ascii="Times New Roman" w:hAnsi="Times New Roman" w:eastAsia="宋体" w:cs="Times New Roman"/>
                <w:color w:val="auto"/>
                <w:sz w:val="24"/>
                <w:szCs w:val="24"/>
              </w:rPr>
              <w:t>《挥发性有机物无组织排放控制标准》中特别排放限值</w:t>
            </w:r>
            <w:r>
              <w:rPr>
                <w:rFonts w:hint="default" w:ascii="Times New Roman" w:hAnsi="Times New Roman" w:eastAsia="宋体" w:cs="Times New Roman"/>
                <w:color w:val="auto"/>
                <w:sz w:val="24"/>
                <w:szCs w:val="24"/>
                <w:lang w:val="en-US"/>
              </w:rPr>
              <w:t>。</w:t>
            </w:r>
            <w:r>
              <w:rPr>
                <w:rFonts w:hint="default" w:ascii="Times New Roman" w:hAnsi="Times New Roman" w:eastAsia="宋体" w:cs="Times New Roman"/>
                <w:color w:val="auto"/>
                <w:sz w:val="24"/>
                <w:szCs w:val="24"/>
                <w:lang w:val="en-US" w:eastAsia="zh-CN"/>
              </w:rPr>
              <w:t>燃烧废气</w:t>
            </w:r>
            <w:r>
              <w:rPr>
                <w:rFonts w:hint="default" w:ascii="Times New Roman" w:hAnsi="Times New Roman" w:eastAsia="宋体" w:cs="Times New Roman"/>
                <w:color w:val="auto"/>
                <w:sz w:val="24"/>
                <w:szCs w:val="24"/>
                <w:lang w:val="en-US"/>
              </w:rPr>
              <w:t>排放满足《</w:t>
            </w:r>
            <w:r>
              <w:rPr>
                <w:rFonts w:hint="default" w:ascii="Times New Roman" w:hAnsi="Times New Roman" w:eastAsia="宋体" w:cs="Times New Roman"/>
                <w:color w:val="auto"/>
                <w:sz w:val="24"/>
                <w:szCs w:val="24"/>
                <w:lang w:val="en-US" w:eastAsia="zh-CN"/>
              </w:rPr>
              <w:t>工业炉窑大气污染物排放标准</w:t>
            </w:r>
            <w:r>
              <w:rPr>
                <w:rFonts w:hint="default" w:ascii="Times New Roman" w:hAnsi="Times New Roman" w:eastAsia="宋体" w:cs="Times New Roman"/>
                <w:color w:val="auto"/>
                <w:sz w:val="24"/>
                <w:szCs w:val="24"/>
                <w:lang w:val="en-US"/>
              </w:rPr>
              <w:t>》</w:t>
            </w:r>
            <w:r>
              <w:rPr>
                <w:rFonts w:hint="default" w:ascii="Times New Roman" w:hAnsi="Times New Roman" w:eastAsia="宋体" w:cs="Times New Roman"/>
                <w:color w:val="auto"/>
                <w:sz w:val="24"/>
                <w:szCs w:val="24"/>
                <w:lang w:val="en-US" w:eastAsia="zh-CN"/>
              </w:rPr>
              <w:t>（DB31/860-2014）表1中排放限值</w:t>
            </w:r>
            <w:r>
              <w:rPr>
                <w:rFonts w:hint="default" w:ascii="Times New Roman" w:hAnsi="Times New Roman" w:eastAsia="宋体" w:cs="Times New Roman"/>
                <w:color w:val="auto"/>
                <w:sz w:val="24"/>
                <w:szCs w:val="24"/>
                <w:lang w:val="en-US"/>
              </w:rPr>
              <w:t>要求。</w:t>
            </w:r>
          </w:p>
          <w:p>
            <w:pPr>
              <w:pStyle w:val="31"/>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（2）噪声监测结果</w:t>
            </w:r>
          </w:p>
          <w:p>
            <w:pPr>
              <w:pStyle w:val="31"/>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项目四至厂界昼间噪声监测结果均符合《工业企业厂界环境噪声排放标准》（GB12348-2008）</w:t>
            </w:r>
            <w:r>
              <w:rPr>
                <w:rFonts w:hint="default" w:ascii="Times New Roman" w:hAnsi="Times New Roman" w:eastAsia="宋体" w:cs="Times New Roman"/>
                <w:color w:val="auto"/>
                <w:sz w:val="24"/>
                <w:szCs w:val="24"/>
                <w:lang w:val="en-US" w:eastAsia="zh-CN"/>
              </w:rPr>
              <w:t>2</w:t>
            </w:r>
            <w:r>
              <w:rPr>
                <w:rFonts w:hint="default" w:ascii="Times New Roman" w:hAnsi="Times New Roman" w:eastAsia="宋体" w:cs="Times New Roman"/>
                <w:color w:val="auto"/>
                <w:sz w:val="24"/>
                <w:szCs w:val="24"/>
              </w:rPr>
              <w:t>类区标准限值要求。</w:t>
            </w:r>
            <w:bookmarkEnd w:id="51"/>
            <w:bookmarkEnd w:id="52"/>
          </w:p>
          <w:p>
            <w:pPr>
              <w:pStyle w:val="31"/>
              <w:jc w:val="both"/>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（3）废水排放</w:t>
            </w:r>
            <w:r>
              <w:rPr>
                <w:rFonts w:hint="default" w:ascii="Times New Roman" w:hAnsi="Times New Roman" w:eastAsia="宋体" w:cs="Times New Roman"/>
                <w:color w:val="auto"/>
                <w:sz w:val="24"/>
                <w:szCs w:val="24"/>
                <w:lang w:eastAsia="zh-CN"/>
              </w:rPr>
              <w:t>调查</w:t>
            </w:r>
            <w:r>
              <w:rPr>
                <w:rFonts w:hint="default" w:ascii="Times New Roman" w:hAnsi="Times New Roman" w:eastAsia="宋体" w:cs="Times New Roman"/>
                <w:color w:val="auto"/>
                <w:sz w:val="24"/>
                <w:szCs w:val="24"/>
              </w:rPr>
              <w:t>结果</w:t>
            </w:r>
          </w:p>
          <w:p>
            <w:pPr>
              <w:keepNext w:val="0"/>
              <w:keepLines w:val="0"/>
              <w:pageBreakBefore w:val="0"/>
              <w:kinsoku/>
              <w:wordWrap/>
              <w:overflowPunct/>
              <w:topLinePunct w:val="0"/>
              <w:autoSpaceDE/>
              <w:autoSpaceDN/>
              <w:bidi w:val="0"/>
              <w:adjustRightInd/>
              <w:snapToGrid/>
              <w:spacing w:after="0" w:line="360" w:lineRule="auto"/>
              <w:ind w:firstLine="480" w:firstLineChars="200"/>
              <w:jc w:val="both"/>
              <w:textAlignment w:val="auto"/>
              <w:rPr>
                <w:rFonts w:hint="default" w:ascii="Times New Roman" w:hAnsi="Times New Roman" w:eastAsia="宋体" w:cs="Times New Roman"/>
                <w:color w:val="0C0C0C" w:themeColor="text1" w:themeTint="F2"/>
                <w:sz w:val="24"/>
                <w:szCs w:val="24"/>
                <w:lang w:eastAsia="zh-CN"/>
              </w:rPr>
            </w:pPr>
            <w:r>
              <w:rPr>
                <w:rFonts w:hint="default" w:ascii="Times New Roman" w:hAnsi="Times New Roman" w:eastAsia="宋体" w:cs="Times New Roman"/>
                <w:b w:val="0"/>
                <w:bCs w:val="0"/>
                <w:sz w:val="24"/>
                <w:szCs w:val="24"/>
                <w:lang w:eastAsia="zh-CN"/>
              </w:rPr>
              <w:t>废水主要为生活污水，生活污水经化粪池处理后定期清掏用于周边农业施肥不外排。</w:t>
            </w:r>
          </w:p>
          <w:p>
            <w:pPr>
              <w:pStyle w:val="31"/>
              <w:jc w:val="both"/>
              <w:rPr>
                <w:rFonts w:hint="default" w:ascii="Times New Roman" w:hAnsi="Times New Roman" w:eastAsia="宋体" w:cs="Times New Roman"/>
                <w:color w:val="0C0C0C" w:themeColor="text1" w:themeTint="F2"/>
                <w:sz w:val="24"/>
                <w:szCs w:val="24"/>
                <w:lang w:eastAsia="zh-CN"/>
              </w:rPr>
            </w:pPr>
            <w:r>
              <w:rPr>
                <w:rFonts w:hint="default" w:ascii="Times New Roman" w:hAnsi="Times New Roman" w:eastAsia="宋体" w:cs="Times New Roman"/>
                <w:color w:val="0C0C0C" w:themeColor="text1" w:themeTint="F2"/>
                <w:sz w:val="24"/>
                <w:szCs w:val="24"/>
                <w:lang w:eastAsia="zh-CN"/>
              </w:rPr>
              <w:t>（</w:t>
            </w:r>
            <w:r>
              <w:rPr>
                <w:rFonts w:hint="default" w:ascii="Times New Roman" w:hAnsi="Times New Roman" w:eastAsia="宋体" w:cs="Times New Roman"/>
                <w:color w:val="0C0C0C" w:themeColor="text1" w:themeTint="F2"/>
                <w:sz w:val="24"/>
                <w:szCs w:val="24"/>
                <w:lang w:val="en-US" w:eastAsia="zh-CN"/>
              </w:rPr>
              <w:t>4</w:t>
            </w:r>
            <w:r>
              <w:rPr>
                <w:rFonts w:hint="default" w:ascii="Times New Roman" w:hAnsi="Times New Roman" w:eastAsia="宋体" w:cs="Times New Roman"/>
                <w:color w:val="0C0C0C" w:themeColor="text1" w:themeTint="F2"/>
                <w:sz w:val="24"/>
                <w:szCs w:val="24"/>
                <w:lang w:eastAsia="zh-CN"/>
              </w:rPr>
              <w:t>）固废调查结果</w:t>
            </w:r>
          </w:p>
          <w:p>
            <w:pPr>
              <w:autoSpaceDE w:val="0"/>
              <w:autoSpaceDN w:val="0"/>
              <w:adjustRightInd w:val="0"/>
              <w:spacing w:line="360" w:lineRule="auto"/>
              <w:ind w:firstLine="480" w:firstLineChars="200"/>
              <w:rPr>
                <w:rFonts w:hint="default" w:ascii="Times New Roman" w:hAnsi="Times New Roman" w:eastAsia="宋体" w:cs="Times New Roman"/>
                <w:color w:val="0C0C0C" w:themeColor="text1" w:themeTint="F2"/>
                <w:sz w:val="24"/>
                <w:szCs w:val="24"/>
              </w:rPr>
            </w:pPr>
            <w:r>
              <w:rPr>
                <w:rFonts w:hint="default" w:ascii="Times New Roman" w:hAnsi="Times New Roman" w:eastAsia="宋体" w:cs="Times New Roman"/>
                <w:kern w:val="0"/>
                <w:sz w:val="24"/>
                <w:szCs w:val="24"/>
              </w:rPr>
              <w:t>固废主要为</w:t>
            </w:r>
            <w:r>
              <w:rPr>
                <w:rFonts w:hint="default" w:ascii="Times New Roman" w:hAnsi="Times New Roman" w:eastAsia="宋体" w:cs="Times New Roman"/>
                <w:kern w:val="0"/>
                <w:sz w:val="24"/>
                <w:szCs w:val="24"/>
                <w:lang w:val="en-US"/>
              </w:rPr>
              <w:t>抛丸工序</w:t>
            </w:r>
            <w:r>
              <w:rPr>
                <w:rFonts w:hint="default" w:ascii="Times New Roman" w:hAnsi="Times New Roman" w:eastAsia="宋体" w:cs="Times New Roman"/>
                <w:kern w:val="0"/>
                <w:sz w:val="24"/>
                <w:szCs w:val="24"/>
              </w:rPr>
              <w:t>、</w:t>
            </w:r>
            <w:r>
              <w:rPr>
                <w:rFonts w:hint="default" w:ascii="Times New Roman" w:hAnsi="Times New Roman" w:eastAsia="宋体" w:cs="Times New Roman"/>
                <w:kern w:val="0"/>
                <w:sz w:val="24"/>
                <w:szCs w:val="24"/>
                <w:lang w:val="en-US"/>
              </w:rPr>
              <w:t>高压除尘工序、喷塑工序</w:t>
            </w:r>
            <w:r>
              <w:rPr>
                <w:rFonts w:hint="default" w:ascii="Times New Roman" w:hAnsi="Times New Roman" w:eastAsia="宋体" w:cs="Times New Roman"/>
                <w:kern w:val="0"/>
                <w:sz w:val="24"/>
                <w:szCs w:val="24"/>
              </w:rPr>
              <w:t>等过程中产生的</w:t>
            </w:r>
            <w:r>
              <w:rPr>
                <w:rFonts w:hint="default" w:ascii="Times New Roman" w:hAnsi="Times New Roman" w:eastAsia="宋体" w:cs="Times New Roman"/>
                <w:kern w:val="0"/>
                <w:sz w:val="24"/>
                <w:szCs w:val="24"/>
                <w:lang w:val="en-US"/>
              </w:rPr>
              <w:t>粉尘；设备维修</w:t>
            </w:r>
            <w:r>
              <w:rPr>
                <w:rFonts w:hint="default" w:ascii="Times New Roman" w:hAnsi="Times New Roman" w:eastAsia="宋体" w:cs="Times New Roman"/>
                <w:kern w:val="0"/>
                <w:sz w:val="24"/>
                <w:szCs w:val="24"/>
              </w:rPr>
              <w:t>、保养及生产过程中产生的</w:t>
            </w:r>
            <w:r>
              <w:rPr>
                <w:rFonts w:hint="default" w:ascii="Times New Roman" w:hAnsi="Times New Roman" w:eastAsia="宋体" w:cs="Times New Roman"/>
                <w:kern w:val="0"/>
                <w:sz w:val="24"/>
                <w:szCs w:val="24"/>
                <w:lang w:val="en-US"/>
              </w:rPr>
              <w:t>废润滑油、废润滑油桶、</w:t>
            </w:r>
            <w:r>
              <w:rPr>
                <w:rFonts w:hint="default" w:ascii="Times New Roman" w:hAnsi="Times New Roman" w:eastAsia="宋体" w:cs="Times New Roman"/>
                <w:kern w:val="0"/>
                <w:sz w:val="24"/>
                <w:szCs w:val="24"/>
              </w:rPr>
              <w:t>废弃的含油抹布、劳保用品</w:t>
            </w:r>
            <w:r>
              <w:rPr>
                <w:rFonts w:hint="default" w:ascii="Times New Roman" w:hAnsi="Times New Roman" w:eastAsia="宋体" w:cs="Times New Roman"/>
                <w:kern w:val="0"/>
                <w:sz w:val="24"/>
                <w:szCs w:val="24"/>
                <w:lang w:val="en-US"/>
              </w:rPr>
              <w:t>；</w:t>
            </w:r>
            <w:r>
              <w:rPr>
                <w:rFonts w:hint="default" w:ascii="Times New Roman" w:hAnsi="Times New Roman" w:eastAsia="宋体" w:cs="Times New Roman"/>
                <w:kern w:val="0"/>
                <w:sz w:val="24"/>
                <w:szCs w:val="24"/>
              </w:rPr>
              <w:t>职工生活过程中产生</w:t>
            </w:r>
            <w:r>
              <w:rPr>
                <w:rFonts w:hint="default" w:ascii="Times New Roman" w:hAnsi="Times New Roman" w:eastAsia="宋体" w:cs="Times New Roman"/>
                <w:kern w:val="0"/>
                <w:sz w:val="24"/>
                <w:szCs w:val="24"/>
                <w:lang w:val="en-US"/>
              </w:rPr>
              <w:t>生活垃圾等固体废物。</w:t>
            </w:r>
            <w:r>
              <w:rPr>
                <w:rFonts w:hint="default" w:ascii="Times New Roman" w:hAnsi="Times New Roman" w:eastAsia="宋体" w:cs="Times New Roman"/>
                <w:kern w:val="0"/>
                <w:sz w:val="24"/>
                <w:szCs w:val="24"/>
                <w:lang w:val="en-US" w:eastAsia="zh-CN"/>
              </w:rPr>
              <w:t>其中</w:t>
            </w:r>
            <w:r>
              <w:rPr>
                <w:rFonts w:hint="default" w:ascii="Times New Roman" w:hAnsi="Times New Roman" w:eastAsia="宋体" w:cs="Times New Roman"/>
                <w:kern w:val="0"/>
                <w:sz w:val="24"/>
                <w:szCs w:val="24"/>
                <w:lang w:val="en-US"/>
              </w:rPr>
              <w:t>抛丸工序、高压除尘工序粉尘</w:t>
            </w:r>
            <w:r>
              <w:rPr>
                <w:rFonts w:hint="default" w:ascii="Times New Roman" w:hAnsi="Times New Roman" w:eastAsia="宋体" w:cs="Times New Roman"/>
                <w:kern w:val="0"/>
                <w:sz w:val="24"/>
                <w:szCs w:val="24"/>
              </w:rPr>
              <w:t>经收集后资源外售，</w:t>
            </w:r>
            <w:r>
              <w:rPr>
                <w:rFonts w:hint="default" w:ascii="Times New Roman" w:hAnsi="Times New Roman" w:eastAsia="宋体" w:cs="Times New Roman"/>
                <w:kern w:val="0"/>
                <w:sz w:val="24"/>
                <w:szCs w:val="24"/>
                <w:lang w:val="en-US"/>
              </w:rPr>
              <w:t>喷塑粉尘收集后回用于喷塑工序</w:t>
            </w:r>
            <w:r>
              <w:rPr>
                <w:rFonts w:hint="default" w:ascii="Times New Roman" w:hAnsi="Times New Roman" w:eastAsia="宋体" w:cs="Times New Roman"/>
                <w:kern w:val="0"/>
                <w:sz w:val="24"/>
                <w:szCs w:val="24"/>
              </w:rPr>
              <w:t>；</w:t>
            </w:r>
            <w:r>
              <w:rPr>
                <w:rFonts w:hint="default" w:ascii="Times New Roman" w:hAnsi="Times New Roman" w:eastAsia="宋体" w:cs="Times New Roman"/>
                <w:kern w:val="0"/>
                <w:sz w:val="24"/>
                <w:szCs w:val="24"/>
                <w:lang w:val="en-US"/>
              </w:rPr>
              <w:t>设备维修保养</w:t>
            </w:r>
            <w:r>
              <w:rPr>
                <w:rFonts w:hint="default" w:ascii="Times New Roman" w:hAnsi="Times New Roman" w:eastAsia="宋体" w:cs="Times New Roman"/>
                <w:kern w:val="0"/>
                <w:sz w:val="24"/>
                <w:szCs w:val="24"/>
              </w:rPr>
              <w:t>过程中产生的废</w:t>
            </w:r>
            <w:r>
              <w:rPr>
                <w:rFonts w:hint="default" w:ascii="Times New Roman" w:hAnsi="Times New Roman" w:eastAsia="宋体" w:cs="Times New Roman"/>
                <w:kern w:val="0"/>
                <w:sz w:val="24"/>
                <w:szCs w:val="24"/>
                <w:lang w:val="en-US"/>
              </w:rPr>
              <w:t>润滑油、废润滑油桶</w:t>
            </w:r>
            <w:r>
              <w:rPr>
                <w:rFonts w:hint="default" w:ascii="Times New Roman" w:hAnsi="Times New Roman" w:eastAsia="宋体" w:cs="Times New Roman"/>
                <w:kern w:val="0"/>
                <w:sz w:val="24"/>
                <w:szCs w:val="24"/>
              </w:rPr>
              <w:t>、废弃的含油抹布、劳保用等危险废物经分类收集</w:t>
            </w:r>
            <w:r>
              <w:rPr>
                <w:rFonts w:hint="default" w:ascii="Times New Roman" w:hAnsi="Times New Roman" w:eastAsia="宋体" w:cs="Times New Roman"/>
                <w:kern w:val="0"/>
                <w:sz w:val="24"/>
                <w:szCs w:val="24"/>
                <w:lang w:val="en-US"/>
              </w:rPr>
              <w:t>并</w:t>
            </w:r>
            <w:r>
              <w:rPr>
                <w:rFonts w:hint="default" w:ascii="Times New Roman" w:hAnsi="Times New Roman" w:eastAsia="宋体" w:cs="Times New Roman"/>
                <w:kern w:val="0"/>
                <w:sz w:val="24"/>
                <w:szCs w:val="24"/>
              </w:rPr>
              <w:t>规范化危废暂存场所规范贮存后交由具有相关资质单位外运处置；</w:t>
            </w:r>
            <w:r>
              <w:rPr>
                <w:rFonts w:hint="default" w:ascii="Times New Roman" w:hAnsi="Times New Roman" w:eastAsia="宋体" w:cs="Times New Roman"/>
                <w:kern w:val="0"/>
                <w:sz w:val="24"/>
                <w:szCs w:val="24"/>
                <w:lang w:val="en-US"/>
              </w:rPr>
              <w:t>员工生活过程中产生的垃圾经垃圾桶收集后</w:t>
            </w:r>
            <w:r>
              <w:rPr>
                <w:rFonts w:hint="default" w:ascii="Times New Roman" w:hAnsi="Times New Roman" w:eastAsia="宋体" w:cs="Times New Roman"/>
                <w:kern w:val="0"/>
                <w:sz w:val="24"/>
                <w:szCs w:val="24"/>
              </w:rPr>
              <w:t>一并交由当地环卫部门清运。</w:t>
            </w:r>
          </w:p>
          <w:p>
            <w:pPr>
              <w:pStyle w:val="31"/>
              <w:jc w:val="both"/>
              <w:rPr>
                <w:rFonts w:hint="default" w:ascii="Times New Roman" w:hAnsi="Times New Roman" w:eastAsia="宋体" w:cs="Times New Roman"/>
                <w:color w:val="0C0C0C" w:themeColor="text1" w:themeTint="F2"/>
                <w:sz w:val="24"/>
                <w:szCs w:val="24"/>
              </w:rPr>
            </w:pPr>
            <w:r>
              <w:rPr>
                <w:rFonts w:hint="default" w:ascii="Times New Roman" w:hAnsi="Times New Roman" w:eastAsia="宋体" w:cs="Times New Roman"/>
                <w:color w:val="0C0C0C" w:themeColor="text1" w:themeTint="F2"/>
                <w:sz w:val="24"/>
                <w:szCs w:val="24"/>
              </w:rPr>
              <w:t>综上所述，该项目环评手续完备，各污染防治措施落实到位，验收监测结果符合相关标准要求，具备竣工环境保护验收条件要求，可对其提出竣工环境保护验收合格的要求。</w:t>
            </w:r>
          </w:p>
          <w:p>
            <w:pPr>
              <w:pStyle w:val="31"/>
              <w:spacing w:line="480" w:lineRule="exact"/>
              <w:ind w:firstLine="0" w:firstLineChars="0"/>
              <w:jc w:val="both"/>
              <w:rPr>
                <w:rFonts w:hint="default" w:ascii="Times New Roman" w:hAnsi="Times New Roman" w:cs="Times New Roman"/>
              </w:rPr>
            </w:pPr>
          </w:p>
          <w:p>
            <w:pPr>
              <w:pStyle w:val="31"/>
              <w:spacing w:line="480" w:lineRule="exact"/>
              <w:jc w:val="both"/>
              <w:rPr>
                <w:rFonts w:hint="default" w:ascii="Times New Roman" w:hAnsi="Times New Roman" w:cs="Times New Roman"/>
              </w:rPr>
            </w:pPr>
          </w:p>
          <w:p>
            <w:pPr>
              <w:pStyle w:val="31"/>
              <w:spacing w:line="480" w:lineRule="exact"/>
              <w:jc w:val="both"/>
              <w:rPr>
                <w:rFonts w:hint="default" w:ascii="Times New Roman" w:hAnsi="Times New Roman" w:cs="Times New Roman"/>
              </w:rPr>
            </w:pPr>
          </w:p>
          <w:p>
            <w:pPr>
              <w:pStyle w:val="31"/>
              <w:spacing w:line="480" w:lineRule="exact"/>
              <w:jc w:val="both"/>
              <w:rPr>
                <w:rFonts w:hint="default" w:ascii="Times New Roman" w:hAnsi="Times New Roman" w:cs="Times New Roman"/>
              </w:rPr>
            </w:pPr>
          </w:p>
          <w:p>
            <w:pPr>
              <w:pStyle w:val="31"/>
              <w:spacing w:line="480" w:lineRule="exact"/>
              <w:jc w:val="both"/>
              <w:rPr>
                <w:rFonts w:hint="default" w:ascii="Times New Roman" w:hAnsi="Times New Roman" w:cs="Times New Roman"/>
              </w:rPr>
            </w:pPr>
          </w:p>
          <w:p>
            <w:pPr>
              <w:pStyle w:val="31"/>
              <w:spacing w:line="480" w:lineRule="exact"/>
              <w:jc w:val="both"/>
              <w:rPr>
                <w:rFonts w:hint="default" w:ascii="Times New Roman" w:hAnsi="Times New Roman" w:cs="Times New Roman"/>
              </w:rPr>
            </w:pPr>
          </w:p>
          <w:p>
            <w:pPr>
              <w:pStyle w:val="31"/>
              <w:spacing w:line="480" w:lineRule="exact"/>
              <w:jc w:val="both"/>
              <w:rPr>
                <w:rFonts w:hint="default" w:ascii="Times New Roman" w:hAnsi="Times New Roman" w:cs="Times New Roman"/>
              </w:rPr>
            </w:pPr>
          </w:p>
          <w:p>
            <w:pPr>
              <w:pStyle w:val="31"/>
              <w:spacing w:line="480" w:lineRule="exact"/>
              <w:jc w:val="both"/>
              <w:rPr>
                <w:rFonts w:hint="default" w:ascii="Times New Roman" w:hAnsi="Times New Roman" w:cs="Times New Roman"/>
              </w:rPr>
            </w:pPr>
          </w:p>
          <w:p>
            <w:pPr>
              <w:pStyle w:val="31"/>
              <w:spacing w:line="480" w:lineRule="exact"/>
              <w:jc w:val="both"/>
              <w:rPr>
                <w:rFonts w:hint="default" w:ascii="Times New Roman" w:hAnsi="Times New Roman" w:cs="Times New Roman"/>
              </w:rPr>
            </w:pPr>
          </w:p>
          <w:p>
            <w:pPr>
              <w:pStyle w:val="31"/>
              <w:spacing w:line="480" w:lineRule="exact"/>
              <w:jc w:val="both"/>
              <w:rPr>
                <w:rFonts w:hint="default" w:ascii="Times New Roman" w:hAnsi="Times New Roman" w:cs="Times New Roman"/>
              </w:rPr>
            </w:pPr>
          </w:p>
          <w:p>
            <w:pPr>
              <w:pStyle w:val="31"/>
              <w:spacing w:line="480" w:lineRule="exact"/>
              <w:jc w:val="both"/>
              <w:rPr>
                <w:rFonts w:hint="default" w:ascii="Times New Roman" w:hAnsi="Times New Roman" w:cs="Times New Roman"/>
              </w:rPr>
            </w:pPr>
          </w:p>
          <w:p>
            <w:pPr>
              <w:pStyle w:val="31"/>
              <w:spacing w:line="480" w:lineRule="exact"/>
              <w:jc w:val="both"/>
              <w:rPr>
                <w:rFonts w:hint="default" w:ascii="Times New Roman" w:hAnsi="Times New Roman" w:cs="Times New Roman"/>
              </w:rPr>
            </w:pPr>
          </w:p>
          <w:p>
            <w:pPr>
              <w:pStyle w:val="31"/>
              <w:spacing w:line="480" w:lineRule="exact"/>
              <w:jc w:val="both"/>
              <w:rPr>
                <w:rFonts w:hint="default" w:ascii="Times New Roman" w:hAnsi="Times New Roman" w:cs="Times New Roman"/>
              </w:rPr>
            </w:pPr>
          </w:p>
          <w:p>
            <w:pPr>
              <w:pStyle w:val="31"/>
              <w:spacing w:line="480" w:lineRule="exact"/>
              <w:jc w:val="both"/>
              <w:rPr>
                <w:rFonts w:hint="default" w:ascii="Times New Roman" w:hAnsi="Times New Roman" w:cs="Times New Roman"/>
              </w:rPr>
            </w:pPr>
          </w:p>
          <w:p>
            <w:pPr>
              <w:pStyle w:val="31"/>
              <w:spacing w:line="480" w:lineRule="exact"/>
              <w:jc w:val="both"/>
              <w:rPr>
                <w:rFonts w:hint="default" w:ascii="Times New Roman" w:hAnsi="Times New Roman" w:cs="Times New Roman"/>
              </w:rPr>
            </w:pPr>
          </w:p>
          <w:p>
            <w:pPr>
              <w:pStyle w:val="31"/>
              <w:spacing w:line="480" w:lineRule="exact"/>
              <w:jc w:val="both"/>
              <w:rPr>
                <w:rFonts w:hint="default" w:ascii="Times New Roman" w:hAnsi="Times New Roman" w:cs="Times New Roman"/>
              </w:rPr>
            </w:pPr>
          </w:p>
          <w:p>
            <w:pPr>
              <w:pStyle w:val="31"/>
              <w:spacing w:line="480" w:lineRule="exact"/>
              <w:jc w:val="both"/>
              <w:rPr>
                <w:rFonts w:hint="default" w:ascii="Times New Roman" w:hAnsi="Times New Roman" w:cs="Times New Roman"/>
              </w:rPr>
            </w:pPr>
          </w:p>
          <w:p>
            <w:pPr>
              <w:pStyle w:val="31"/>
              <w:spacing w:line="480" w:lineRule="exact"/>
              <w:jc w:val="both"/>
              <w:rPr>
                <w:rFonts w:hint="default" w:ascii="Times New Roman" w:hAnsi="Times New Roman" w:cs="Times New Roman"/>
              </w:rPr>
            </w:pPr>
          </w:p>
          <w:p>
            <w:pPr>
              <w:pStyle w:val="31"/>
              <w:spacing w:line="480" w:lineRule="exact"/>
              <w:jc w:val="both"/>
              <w:rPr>
                <w:rFonts w:hint="default" w:ascii="Times New Roman" w:hAnsi="Times New Roman" w:cs="Times New Roman"/>
                <w:lang w:eastAsia="zh-CN"/>
              </w:rPr>
            </w:pPr>
          </w:p>
          <w:p>
            <w:pPr>
              <w:pStyle w:val="31"/>
              <w:spacing w:line="480" w:lineRule="exact"/>
              <w:ind w:firstLine="0" w:firstLineChars="0"/>
              <w:jc w:val="both"/>
              <w:rPr>
                <w:rFonts w:hint="default" w:ascii="Times New Roman" w:hAnsi="Times New Roman" w:eastAsia="宋体" w:cs="Times New Roman"/>
              </w:rPr>
            </w:pPr>
          </w:p>
        </w:tc>
      </w:tr>
    </w:tbl>
    <w:p>
      <w:pPr>
        <w:rPr>
          <w:rFonts w:hint="default" w:ascii="Times New Roman" w:hAnsi="Times New Roman" w:cs="Times New Roman"/>
        </w:rPr>
      </w:pPr>
    </w:p>
    <w:sectPr>
      <w:footerReference r:id="rId3" w:type="default"/>
      <w:pgSz w:w="11906" w:h="16838"/>
      <w:pgMar w:top="1440" w:right="1417" w:bottom="1440" w:left="1417" w:header="851" w:footer="992" w:gutter="0"/>
      <w:pgBorders>
        <w:top w:val="none" w:sz="0" w:space="0"/>
        <w:left w:val="none" w:sz="0" w:space="0"/>
        <w:bottom w:val="none" w:sz="0" w:space="0"/>
        <w:right w:val="none" w:sz="0" w:space="0"/>
      </w:pgBorders>
      <w:pgNumType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pict>
        <v:shape id="_x0000_s3073" o:spid="_x0000_s3073" o:spt="202" type="#_x0000_t202" style="position:absolute;left:0pt;margin-top:0pt;height:144pt;width:144pt;mso-position-horizontal:center;mso-position-horizontal-relative:margin;mso-wrap-style:none;z-index:25167052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24LBYbAgAAIwQAAA4AAABkcnMvZTJvRG9jLnhtbK1Ty47TMBTdI/EP&#10;lvc0aYFRVTUdlRkVIVXMSAWxdh2nieSXbLdJ+QD4A1Zs2M939Ts4dprOaGCF2NjXvu9zz51fd0qS&#10;g3C+Mbqg41FOidDclI3eFfTzp9WrKSU+MF0yabQo6FF4er14+WLe2pmYmNrIUjiCINrPWlvQOgQ7&#10;yzLPa6GYHxkrNJSVcYoFPN0uKx1rEV3JbJLnV1lrXGmd4cJ7/N72SrpI8atK8HBXVV4EIguK2kI6&#10;XTq38cwWczbbOWbrhp/LYP9QhWKNRtJLqFsWGNm75o9QquHOeFOFETcqM1XVcJF6QDfj/Fk3m5pZ&#10;kXoBON5eYPL/Lyz/eLh3pCkxuzeUaKYwo9OP76efD6df3wj+AFBr/Qx2GwvL0L0zHYyHf4/P2HdX&#10;ORVvdESgB9THC7yiC4RHp+lkOs2h4tAND8TPHt2t8+G9MIpEoaAO80uwssPah950MInZtFk1UqYZ&#10;Sk3agl69fpsnh4sGwaWOtiKx4RwmttSXHqXQbbtzn1tTHtGmMz1TvOWrBqWsmQ/3zIEaKB90D3c4&#10;KmmQ0pwlSmrjvv7tP9pjYtBS0oJqBdXYBUrkB41JRlYOghuE7SDovbox4O4Ya2R5EuHgghzEyhn1&#10;BTuwjDmgYpojU0HDIN6Enu7YIS6Wy2S0t67Z1b0DeGhZWOuN5TFNhMrb5T4A2oR4BKhHBZOKDzAx&#10;zey8NZHqT9/J6nG3F78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s0lY7tAAAAAFAQAADwAAAAAA&#10;AAABACAAAAAiAAAAZHJzL2Rvd25yZXYueG1sUEsBAhQAFAAAAAgAh07iQA24LBYbAgAAIwQAAA4A&#10;AAAAAAAAAQAgAAAAHwEAAGRycy9lMm9Eb2MueG1sUEsFBgAAAAAGAAYAWQEAAKwFAAAAAA==&#10;">
          <v:path/>
          <v:fill on="f" focussize="0,0"/>
          <v:stroke on="f" weight="0.5pt" joinstyle="miter"/>
          <v:imagedata o:title=""/>
          <o:lock v:ext="edit"/>
          <v:textbox inset="0mm,0mm,0mm,0mm" style="mso-fit-shape-to-text:t;">
            <w:txbxContent>
              <w:p>
                <w:pPr>
                  <w:pStyle w:val="11"/>
                </w:pPr>
                <w:r>
                  <w:fldChar w:fldCharType="begin"/>
                </w:r>
                <w:r>
                  <w:instrText xml:space="preserve"> PAGE  \* MERGEFORMAT </w:instrText>
                </w:r>
                <w:r>
                  <w:fldChar w:fldCharType="separate"/>
                </w:r>
                <w:r>
                  <w:t>23</w:t>
                </w:r>
                <w: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6A75F77"/>
    <w:multiLevelType w:val="singleLevel"/>
    <w:tmpl w:val="46A75F7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2"/>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jkwMTJkNDQxZTUyY2I2MjU4ZTRjNTJjZmEyNjQ4MWEifQ=="/>
  </w:docVars>
  <w:rsids>
    <w:rsidRoot w:val="785C2EB0"/>
    <w:rsid w:val="000C7208"/>
    <w:rsid w:val="001B13DB"/>
    <w:rsid w:val="0024040D"/>
    <w:rsid w:val="00265A17"/>
    <w:rsid w:val="0031115E"/>
    <w:rsid w:val="00443C91"/>
    <w:rsid w:val="00452724"/>
    <w:rsid w:val="004C653D"/>
    <w:rsid w:val="005B2491"/>
    <w:rsid w:val="00772AEE"/>
    <w:rsid w:val="00794D91"/>
    <w:rsid w:val="008B28E9"/>
    <w:rsid w:val="008F68A1"/>
    <w:rsid w:val="008F750E"/>
    <w:rsid w:val="00921025"/>
    <w:rsid w:val="009A3CE1"/>
    <w:rsid w:val="009B34CD"/>
    <w:rsid w:val="00A34B87"/>
    <w:rsid w:val="00B74933"/>
    <w:rsid w:val="00BC6CA7"/>
    <w:rsid w:val="00D025FC"/>
    <w:rsid w:val="00E361D1"/>
    <w:rsid w:val="00E42ABB"/>
    <w:rsid w:val="00E61B0A"/>
    <w:rsid w:val="00E62E3B"/>
    <w:rsid w:val="00ED1FDC"/>
    <w:rsid w:val="00EF74ED"/>
    <w:rsid w:val="00FA547F"/>
    <w:rsid w:val="00FB30FE"/>
    <w:rsid w:val="011E1839"/>
    <w:rsid w:val="02287CD9"/>
    <w:rsid w:val="02741BF4"/>
    <w:rsid w:val="02AA60BB"/>
    <w:rsid w:val="03D41122"/>
    <w:rsid w:val="046E2B29"/>
    <w:rsid w:val="047870E0"/>
    <w:rsid w:val="04F6756C"/>
    <w:rsid w:val="04F82B4C"/>
    <w:rsid w:val="052D2ACF"/>
    <w:rsid w:val="06823A3E"/>
    <w:rsid w:val="070D5C55"/>
    <w:rsid w:val="072266C8"/>
    <w:rsid w:val="082E62C4"/>
    <w:rsid w:val="0A0B1CC5"/>
    <w:rsid w:val="0A375BEE"/>
    <w:rsid w:val="0A8C4287"/>
    <w:rsid w:val="0AF13B16"/>
    <w:rsid w:val="0BA63D7E"/>
    <w:rsid w:val="0C3F145A"/>
    <w:rsid w:val="0C485C87"/>
    <w:rsid w:val="0CB6080A"/>
    <w:rsid w:val="0CDD5548"/>
    <w:rsid w:val="0D1F2FB3"/>
    <w:rsid w:val="0D221892"/>
    <w:rsid w:val="0D9729AF"/>
    <w:rsid w:val="0E265539"/>
    <w:rsid w:val="0E96303E"/>
    <w:rsid w:val="0EB165A4"/>
    <w:rsid w:val="0ED13EBA"/>
    <w:rsid w:val="0F0D76BC"/>
    <w:rsid w:val="0F1F3D7B"/>
    <w:rsid w:val="0F5E041F"/>
    <w:rsid w:val="0FA14739"/>
    <w:rsid w:val="10E83FD4"/>
    <w:rsid w:val="11470426"/>
    <w:rsid w:val="117B09A4"/>
    <w:rsid w:val="11F77CBA"/>
    <w:rsid w:val="121A1EE2"/>
    <w:rsid w:val="122E4B84"/>
    <w:rsid w:val="135451A6"/>
    <w:rsid w:val="13E45546"/>
    <w:rsid w:val="14581FF0"/>
    <w:rsid w:val="14C62799"/>
    <w:rsid w:val="1575770E"/>
    <w:rsid w:val="15C558D2"/>
    <w:rsid w:val="16625B60"/>
    <w:rsid w:val="17697639"/>
    <w:rsid w:val="176D2B14"/>
    <w:rsid w:val="17C44D06"/>
    <w:rsid w:val="17F42F8C"/>
    <w:rsid w:val="18AB0C35"/>
    <w:rsid w:val="18F8565A"/>
    <w:rsid w:val="197566AF"/>
    <w:rsid w:val="1A5949F3"/>
    <w:rsid w:val="1AB91D03"/>
    <w:rsid w:val="1B42622F"/>
    <w:rsid w:val="1B734635"/>
    <w:rsid w:val="1C365962"/>
    <w:rsid w:val="1C6C7AA6"/>
    <w:rsid w:val="1CA053E3"/>
    <w:rsid w:val="1CA352A0"/>
    <w:rsid w:val="1CFA3FA1"/>
    <w:rsid w:val="1D0C0A61"/>
    <w:rsid w:val="1D3261F4"/>
    <w:rsid w:val="1D982FD9"/>
    <w:rsid w:val="1D9D6DCC"/>
    <w:rsid w:val="1F226936"/>
    <w:rsid w:val="206775F8"/>
    <w:rsid w:val="20904BDF"/>
    <w:rsid w:val="20D815AD"/>
    <w:rsid w:val="22156C72"/>
    <w:rsid w:val="2345077C"/>
    <w:rsid w:val="23F54B79"/>
    <w:rsid w:val="241439FB"/>
    <w:rsid w:val="24D50BB6"/>
    <w:rsid w:val="255D5FC2"/>
    <w:rsid w:val="258C68C4"/>
    <w:rsid w:val="265953F2"/>
    <w:rsid w:val="26CC433A"/>
    <w:rsid w:val="26CD168F"/>
    <w:rsid w:val="278A1E5A"/>
    <w:rsid w:val="278C6216"/>
    <w:rsid w:val="27D51CBA"/>
    <w:rsid w:val="27FE66B9"/>
    <w:rsid w:val="28005317"/>
    <w:rsid w:val="29155B87"/>
    <w:rsid w:val="29237731"/>
    <w:rsid w:val="29921494"/>
    <w:rsid w:val="2A1D324B"/>
    <w:rsid w:val="2ABC7D19"/>
    <w:rsid w:val="2AEA6C0D"/>
    <w:rsid w:val="2B395F4B"/>
    <w:rsid w:val="2B456F26"/>
    <w:rsid w:val="2C59614D"/>
    <w:rsid w:val="2C6B62D9"/>
    <w:rsid w:val="2C9D5D83"/>
    <w:rsid w:val="2D920471"/>
    <w:rsid w:val="2DEE4859"/>
    <w:rsid w:val="2DF57A38"/>
    <w:rsid w:val="2E3D4AA0"/>
    <w:rsid w:val="2E5C2442"/>
    <w:rsid w:val="2EFB49AA"/>
    <w:rsid w:val="2F217091"/>
    <w:rsid w:val="30653D51"/>
    <w:rsid w:val="30A50084"/>
    <w:rsid w:val="30AB4118"/>
    <w:rsid w:val="30C37B54"/>
    <w:rsid w:val="318B31E6"/>
    <w:rsid w:val="32300456"/>
    <w:rsid w:val="328238D1"/>
    <w:rsid w:val="32A44F54"/>
    <w:rsid w:val="330B5BCC"/>
    <w:rsid w:val="330F78CD"/>
    <w:rsid w:val="34011FBC"/>
    <w:rsid w:val="34B46CCB"/>
    <w:rsid w:val="34F32B8E"/>
    <w:rsid w:val="35285C75"/>
    <w:rsid w:val="360071A4"/>
    <w:rsid w:val="36420780"/>
    <w:rsid w:val="36A90B86"/>
    <w:rsid w:val="36D821B3"/>
    <w:rsid w:val="36E476DE"/>
    <w:rsid w:val="374027D6"/>
    <w:rsid w:val="375F2463"/>
    <w:rsid w:val="3810260D"/>
    <w:rsid w:val="38545785"/>
    <w:rsid w:val="38860A4D"/>
    <w:rsid w:val="38B66961"/>
    <w:rsid w:val="391A33A9"/>
    <w:rsid w:val="3A296C29"/>
    <w:rsid w:val="3A5F7DAD"/>
    <w:rsid w:val="3AFB4481"/>
    <w:rsid w:val="3BAF5420"/>
    <w:rsid w:val="3BBB2808"/>
    <w:rsid w:val="3C092E36"/>
    <w:rsid w:val="3C0C7B68"/>
    <w:rsid w:val="3C221E9E"/>
    <w:rsid w:val="3D9A1828"/>
    <w:rsid w:val="3DF92A15"/>
    <w:rsid w:val="3E006B04"/>
    <w:rsid w:val="3F7F67D1"/>
    <w:rsid w:val="41993985"/>
    <w:rsid w:val="41D05F67"/>
    <w:rsid w:val="42AE0B17"/>
    <w:rsid w:val="43627695"/>
    <w:rsid w:val="43CC0AC2"/>
    <w:rsid w:val="443372EA"/>
    <w:rsid w:val="445319FE"/>
    <w:rsid w:val="449A721D"/>
    <w:rsid w:val="450F5B60"/>
    <w:rsid w:val="45B17641"/>
    <w:rsid w:val="46145F5C"/>
    <w:rsid w:val="467100D8"/>
    <w:rsid w:val="4751250A"/>
    <w:rsid w:val="47FC62C9"/>
    <w:rsid w:val="48114465"/>
    <w:rsid w:val="48BC6D52"/>
    <w:rsid w:val="48C7651D"/>
    <w:rsid w:val="48D43448"/>
    <w:rsid w:val="48E96DFD"/>
    <w:rsid w:val="48F8606C"/>
    <w:rsid w:val="49446AE7"/>
    <w:rsid w:val="4A0747CF"/>
    <w:rsid w:val="4A58712B"/>
    <w:rsid w:val="4A587E21"/>
    <w:rsid w:val="4AD01703"/>
    <w:rsid w:val="4ADE7576"/>
    <w:rsid w:val="4B250AB1"/>
    <w:rsid w:val="4B8B735A"/>
    <w:rsid w:val="4B9C30CA"/>
    <w:rsid w:val="4C1343F6"/>
    <w:rsid w:val="4C1A6F5B"/>
    <w:rsid w:val="4EB50AFF"/>
    <w:rsid w:val="4EDE6506"/>
    <w:rsid w:val="4F3B7D26"/>
    <w:rsid w:val="4F84271A"/>
    <w:rsid w:val="4F9C7D58"/>
    <w:rsid w:val="4FE03C42"/>
    <w:rsid w:val="50397561"/>
    <w:rsid w:val="503F1D68"/>
    <w:rsid w:val="517718F8"/>
    <w:rsid w:val="51926709"/>
    <w:rsid w:val="51BF3A8C"/>
    <w:rsid w:val="5283416D"/>
    <w:rsid w:val="5368786D"/>
    <w:rsid w:val="54C308DF"/>
    <w:rsid w:val="55477B63"/>
    <w:rsid w:val="56280DAF"/>
    <w:rsid w:val="569C5315"/>
    <w:rsid w:val="58814069"/>
    <w:rsid w:val="58AA4A05"/>
    <w:rsid w:val="594C75FE"/>
    <w:rsid w:val="5A4A427B"/>
    <w:rsid w:val="5A6473F2"/>
    <w:rsid w:val="5A6E4F2E"/>
    <w:rsid w:val="5A810A9B"/>
    <w:rsid w:val="5A865F49"/>
    <w:rsid w:val="5A8D1B87"/>
    <w:rsid w:val="5ADA2F7F"/>
    <w:rsid w:val="5B1E16F6"/>
    <w:rsid w:val="5BC45A63"/>
    <w:rsid w:val="5C486672"/>
    <w:rsid w:val="5C60379B"/>
    <w:rsid w:val="5CD55920"/>
    <w:rsid w:val="5CD63EC7"/>
    <w:rsid w:val="5D694C13"/>
    <w:rsid w:val="5DBF61B7"/>
    <w:rsid w:val="5E235FB0"/>
    <w:rsid w:val="5EA86D7C"/>
    <w:rsid w:val="5EE32E1A"/>
    <w:rsid w:val="5FD709E7"/>
    <w:rsid w:val="5FFB683F"/>
    <w:rsid w:val="604C2113"/>
    <w:rsid w:val="609B4478"/>
    <w:rsid w:val="615C7D9A"/>
    <w:rsid w:val="624D716E"/>
    <w:rsid w:val="62AE1450"/>
    <w:rsid w:val="62EC693F"/>
    <w:rsid w:val="6325647E"/>
    <w:rsid w:val="637B010E"/>
    <w:rsid w:val="64C31380"/>
    <w:rsid w:val="65D16F3B"/>
    <w:rsid w:val="65D815E3"/>
    <w:rsid w:val="66297833"/>
    <w:rsid w:val="66601631"/>
    <w:rsid w:val="669F50FF"/>
    <w:rsid w:val="66C01714"/>
    <w:rsid w:val="693B16C5"/>
    <w:rsid w:val="69A022B3"/>
    <w:rsid w:val="69E07082"/>
    <w:rsid w:val="6A187FDD"/>
    <w:rsid w:val="6ABB7BC3"/>
    <w:rsid w:val="6B200555"/>
    <w:rsid w:val="6B32152B"/>
    <w:rsid w:val="6B6F4987"/>
    <w:rsid w:val="6B731807"/>
    <w:rsid w:val="6B844522"/>
    <w:rsid w:val="6B864602"/>
    <w:rsid w:val="6C53315C"/>
    <w:rsid w:val="6CAE0470"/>
    <w:rsid w:val="6D535020"/>
    <w:rsid w:val="6DF06FB1"/>
    <w:rsid w:val="6DF465B7"/>
    <w:rsid w:val="6EB21E1F"/>
    <w:rsid w:val="6FE36415"/>
    <w:rsid w:val="70185256"/>
    <w:rsid w:val="708B56CA"/>
    <w:rsid w:val="709D6170"/>
    <w:rsid w:val="713A2F5E"/>
    <w:rsid w:val="73214D7C"/>
    <w:rsid w:val="743F7EC0"/>
    <w:rsid w:val="746A0FA3"/>
    <w:rsid w:val="7536137E"/>
    <w:rsid w:val="756D5F69"/>
    <w:rsid w:val="759273A9"/>
    <w:rsid w:val="76382C70"/>
    <w:rsid w:val="769A303C"/>
    <w:rsid w:val="771F381A"/>
    <w:rsid w:val="77435DAA"/>
    <w:rsid w:val="77546495"/>
    <w:rsid w:val="77592181"/>
    <w:rsid w:val="77E52D27"/>
    <w:rsid w:val="785C2EB0"/>
    <w:rsid w:val="78FB24B0"/>
    <w:rsid w:val="7AA25224"/>
    <w:rsid w:val="7AB638F5"/>
    <w:rsid w:val="7BB207FC"/>
    <w:rsid w:val="7BCC6308"/>
    <w:rsid w:val="7BDF56AE"/>
    <w:rsid w:val="7BEF6D51"/>
    <w:rsid w:val="7C22783E"/>
    <w:rsid w:val="7D605F48"/>
    <w:rsid w:val="7D9D7943"/>
    <w:rsid w:val="7E04381C"/>
    <w:rsid w:val="7E091C62"/>
    <w:rsid w:val="7E110CA4"/>
    <w:rsid w:val="7F000D16"/>
    <w:rsid w:val="7F3D4BE4"/>
    <w:rsid w:val="7F711ACD"/>
    <w:rsid w:val="7F7674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qFormat="1" w:unhideWhenUsed="0"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4"/>
      <w:lang w:val="en-US" w:eastAsia="zh-CN" w:bidi="ar-SA"/>
    </w:rPr>
  </w:style>
  <w:style w:type="paragraph" w:styleId="4">
    <w:name w:val="heading 2"/>
    <w:basedOn w:val="1"/>
    <w:next w:val="1"/>
    <w:semiHidden/>
    <w:unhideWhenUsed/>
    <w:qFormat/>
    <w:uiPriority w:val="0"/>
    <w:pPr>
      <w:keepNext/>
      <w:keepLines/>
      <w:spacing w:before="260" w:after="260" w:line="416" w:lineRule="auto"/>
      <w:outlineLvl w:val="1"/>
    </w:pPr>
    <w:rPr>
      <w:rFonts w:ascii="Cambria" w:hAnsi="Cambria" w:eastAsia="宋体" w:cs="Times New Roman"/>
      <w:b/>
      <w:bCs/>
      <w:sz w:val="32"/>
      <w:szCs w:val="32"/>
    </w:rPr>
  </w:style>
  <w:style w:type="paragraph" w:styleId="5">
    <w:name w:val="heading 4"/>
    <w:basedOn w:val="1"/>
    <w:next w:val="1"/>
    <w:qFormat/>
    <w:uiPriority w:val="1"/>
    <w:pPr>
      <w:ind w:left="1313"/>
      <w:outlineLvl w:val="3"/>
    </w:pPr>
    <w:rPr>
      <w:rFonts w:ascii="宋体" w:hAnsi="宋体" w:eastAsia="宋体" w:cs="宋体"/>
      <w:b/>
      <w:bCs/>
      <w:sz w:val="24"/>
      <w:lang w:val="zh-CN" w:bidi="zh-CN"/>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1"/>
    <w:qFormat/>
    <w:uiPriority w:val="99"/>
    <w:pPr>
      <w:ind w:firstLine="420"/>
    </w:pPr>
  </w:style>
  <w:style w:type="paragraph" w:styleId="3">
    <w:name w:val="Body Text Indent"/>
    <w:basedOn w:val="1"/>
    <w:qFormat/>
    <w:uiPriority w:val="99"/>
    <w:pPr>
      <w:spacing w:after="120"/>
      <w:ind w:left="420" w:leftChars="200"/>
    </w:pPr>
  </w:style>
  <w:style w:type="paragraph" w:styleId="6">
    <w:name w:val="Normal Indent"/>
    <w:basedOn w:val="1"/>
    <w:qFormat/>
    <w:uiPriority w:val="0"/>
    <w:pPr>
      <w:spacing w:line="360" w:lineRule="auto"/>
      <w:ind w:firstLine="420"/>
    </w:pPr>
    <w:rPr>
      <w:rFonts w:ascii="宋体" w:hAnsi="宋体"/>
      <w:kern w:val="0"/>
    </w:rPr>
  </w:style>
  <w:style w:type="paragraph" w:styleId="7">
    <w:name w:val="annotation text"/>
    <w:basedOn w:val="1"/>
    <w:link w:val="32"/>
    <w:qFormat/>
    <w:uiPriority w:val="0"/>
    <w:pPr>
      <w:jc w:val="left"/>
    </w:pPr>
  </w:style>
  <w:style w:type="paragraph" w:styleId="8">
    <w:name w:val="Body Text"/>
    <w:basedOn w:val="1"/>
    <w:qFormat/>
    <w:uiPriority w:val="99"/>
    <w:rPr>
      <w:kern w:val="0"/>
    </w:rPr>
  </w:style>
  <w:style w:type="paragraph" w:styleId="9">
    <w:name w:val="Plain Text"/>
    <w:basedOn w:val="1"/>
    <w:qFormat/>
    <w:uiPriority w:val="99"/>
    <w:rPr>
      <w:rFonts w:ascii="宋体" w:hAnsi="Courier New"/>
      <w:szCs w:val="20"/>
    </w:rPr>
  </w:style>
  <w:style w:type="paragraph" w:styleId="10">
    <w:name w:val="Balloon Text"/>
    <w:basedOn w:val="1"/>
    <w:link w:val="34"/>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3">
    <w:name w:val="List"/>
    <w:basedOn w:val="1"/>
    <w:qFormat/>
    <w:uiPriority w:val="99"/>
    <w:pPr>
      <w:spacing w:line="320" w:lineRule="exact"/>
      <w:ind w:firstLine="0" w:firstLineChars="0"/>
      <w:jc w:val="center"/>
    </w:pPr>
    <w:rPr>
      <w:sz w:val="22"/>
    </w:rPr>
  </w:style>
  <w:style w:type="paragraph" w:styleId="14">
    <w:name w:val="Body Text 2"/>
    <w:basedOn w:val="1"/>
    <w:qFormat/>
    <w:uiPriority w:val="99"/>
    <w:pPr>
      <w:spacing w:after="120" w:line="480" w:lineRule="auto"/>
    </w:pPr>
  </w:style>
  <w:style w:type="paragraph" w:styleId="15">
    <w:name w:val="Normal (Web)"/>
    <w:basedOn w:val="1"/>
    <w:qFormat/>
    <w:uiPriority w:val="99"/>
    <w:pPr>
      <w:widowControl/>
      <w:spacing w:before="100" w:beforeAutospacing="1" w:after="100" w:afterAutospacing="1"/>
      <w:jc w:val="left"/>
    </w:pPr>
    <w:rPr>
      <w:rFonts w:ascii="宋体" w:hAnsi="宋体"/>
      <w:color w:val="000000"/>
      <w:kern w:val="0"/>
    </w:rPr>
  </w:style>
  <w:style w:type="paragraph" w:styleId="16">
    <w:name w:val="annotation subject"/>
    <w:basedOn w:val="7"/>
    <w:next w:val="7"/>
    <w:link w:val="33"/>
    <w:qFormat/>
    <w:uiPriority w:val="0"/>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0">
    <w:name w:val="annotation reference"/>
    <w:basedOn w:val="19"/>
    <w:qFormat/>
    <w:uiPriority w:val="0"/>
    <w:rPr>
      <w:sz w:val="21"/>
      <w:szCs w:val="21"/>
    </w:rPr>
  </w:style>
  <w:style w:type="paragraph" w:customStyle="1" w:styleId="21">
    <w:name w:val="Default"/>
    <w:basedOn w:val="22"/>
    <w:next w:val="23"/>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2">
    <w:name w:val="标题2"/>
    <w:basedOn w:val="1"/>
    <w:qFormat/>
    <w:uiPriority w:val="99"/>
    <w:pPr>
      <w:spacing w:line="360" w:lineRule="auto"/>
      <w:ind w:firstLine="0" w:firstLineChars="0"/>
      <w:jc w:val="left"/>
    </w:pPr>
    <w:rPr>
      <w:b/>
      <w:sz w:val="28"/>
    </w:rPr>
  </w:style>
  <w:style w:type="paragraph" w:customStyle="1" w:styleId="23">
    <w:name w:val="样式35"/>
    <w:basedOn w:val="4"/>
    <w:qFormat/>
    <w:uiPriority w:val="0"/>
    <w:pPr>
      <w:spacing w:before="0" w:after="0" w:line="360" w:lineRule="auto"/>
      <w:ind w:firstLine="482" w:firstLineChars="200"/>
    </w:pPr>
    <w:rPr>
      <w:rFonts w:ascii="Times New Roman" w:hAnsi="Times New Roman"/>
      <w:b w:val="0"/>
      <w:sz w:val="24"/>
    </w:rPr>
  </w:style>
  <w:style w:type="paragraph" w:customStyle="1" w:styleId="24">
    <w:name w:val="标号正文"/>
    <w:basedOn w:val="1"/>
    <w:next w:val="1"/>
    <w:qFormat/>
    <w:uiPriority w:val="0"/>
    <w:pPr>
      <w:tabs>
        <w:tab w:val="left" w:pos="1540"/>
      </w:tabs>
      <w:overflowPunct w:val="0"/>
      <w:snapToGrid w:val="0"/>
      <w:spacing w:line="360" w:lineRule="auto"/>
      <w:ind w:left="0" w:firstLine="1040"/>
      <w:jc w:val="left"/>
    </w:pPr>
    <w:rPr>
      <w:rFonts w:ascii="Arial" w:hAnsi="Arial" w:eastAsia="宋体"/>
      <w:sz w:val="24"/>
      <w:szCs w:val="20"/>
    </w:rPr>
  </w:style>
  <w:style w:type="paragraph" w:customStyle="1" w:styleId="25">
    <w:name w:val="报告表格"/>
    <w:basedOn w:val="1"/>
    <w:qFormat/>
    <w:uiPriority w:val="0"/>
    <w:pPr>
      <w:autoSpaceDE w:val="0"/>
      <w:autoSpaceDN w:val="0"/>
      <w:adjustRightInd w:val="0"/>
      <w:spacing w:before="40" w:after="40" w:line="360" w:lineRule="atLeast"/>
      <w:jc w:val="center"/>
    </w:pPr>
    <w:rPr>
      <w:kern w:val="0"/>
      <w:szCs w:val="20"/>
    </w:rPr>
  </w:style>
  <w:style w:type="paragraph" w:customStyle="1" w:styleId="26">
    <w:name w:val="报告"/>
    <w:basedOn w:val="1"/>
    <w:qFormat/>
    <w:uiPriority w:val="0"/>
    <w:pPr>
      <w:overflowPunct w:val="0"/>
      <w:autoSpaceDE w:val="0"/>
      <w:autoSpaceDN w:val="0"/>
      <w:adjustRightInd w:val="0"/>
      <w:spacing w:beforeLines="30" w:afterLines="30" w:line="400" w:lineRule="atLeast"/>
      <w:ind w:left="200" w:leftChars="200" w:firstLine="200" w:firstLineChars="200"/>
      <w:textAlignment w:val="baseline"/>
    </w:pPr>
    <w:rPr>
      <w:kern w:val="0"/>
      <w:sz w:val="24"/>
      <w:szCs w:val="20"/>
    </w:rPr>
  </w:style>
  <w:style w:type="paragraph" w:customStyle="1" w:styleId="27">
    <w:name w:val="二级标题-gh"/>
    <w:basedOn w:val="1"/>
    <w:qFormat/>
    <w:uiPriority w:val="0"/>
    <w:pPr>
      <w:snapToGrid w:val="0"/>
      <w:spacing w:line="360" w:lineRule="auto"/>
      <w:outlineLvl w:val="1"/>
    </w:pPr>
    <w:rPr>
      <w:b/>
      <w:color w:val="000000"/>
      <w:kern w:val="0"/>
      <w:sz w:val="24"/>
    </w:rPr>
  </w:style>
  <w:style w:type="table" w:customStyle="1" w:styleId="28">
    <w:name w:val="样式1"/>
    <w:basedOn w:val="17"/>
    <w:qFormat/>
    <w:uiPriority w:val="99"/>
    <w:pPr>
      <w:jc w:val="center"/>
    </w:pPr>
    <w:tblPr>
      <w:tblBorders>
        <w:top w:val="double" w:color="auto" w:sz="4" w:space="0"/>
        <w:bottom w:val="double" w:color="auto" w:sz="4" w:space="0"/>
        <w:insideH w:val="single" w:color="auto" w:sz="4" w:space="0"/>
        <w:insideV w:val="single" w:color="auto" w:sz="4" w:space="0"/>
      </w:tblBorders>
      <w:tblCellMar>
        <w:top w:w="0" w:type="dxa"/>
        <w:left w:w="108" w:type="dxa"/>
        <w:bottom w:w="0" w:type="dxa"/>
        <w:right w:w="108" w:type="dxa"/>
      </w:tblCellMar>
    </w:tblPr>
    <w:tcPr>
      <w:vAlign w:val="center"/>
    </w:tcPr>
  </w:style>
  <w:style w:type="paragraph" w:customStyle="1" w:styleId="29">
    <w:name w:val="样式36"/>
    <w:basedOn w:val="4"/>
    <w:qFormat/>
    <w:uiPriority w:val="0"/>
    <w:pPr>
      <w:spacing w:before="0" w:after="0"/>
    </w:pPr>
    <w:rPr>
      <w:rFonts w:ascii="Times New Roman" w:hAnsi="Times New Roman"/>
      <w:b w:val="0"/>
      <w:sz w:val="24"/>
    </w:rPr>
  </w:style>
  <w:style w:type="paragraph" w:customStyle="1" w:styleId="30">
    <w:name w:val="样式38"/>
    <w:basedOn w:val="1"/>
    <w:qFormat/>
    <w:uiPriority w:val="0"/>
    <w:pPr>
      <w:widowControl/>
      <w:spacing w:line="360" w:lineRule="auto"/>
      <w:jc w:val="center"/>
      <w:outlineLvl w:val="0"/>
    </w:pPr>
    <w:rPr>
      <w:color w:val="000000"/>
      <w:kern w:val="0"/>
      <w:sz w:val="28"/>
      <w:szCs w:val="28"/>
    </w:rPr>
  </w:style>
  <w:style w:type="paragraph" w:customStyle="1" w:styleId="31">
    <w:name w:val="样式3"/>
    <w:basedOn w:val="1"/>
    <w:qFormat/>
    <w:uiPriority w:val="0"/>
    <w:pPr>
      <w:widowControl/>
      <w:spacing w:line="360" w:lineRule="auto"/>
      <w:ind w:firstLine="480" w:firstLineChars="200"/>
      <w:jc w:val="left"/>
    </w:pPr>
    <w:rPr>
      <w:kern w:val="0"/>
      <w:sz w:val="24"/>
    </w:rPr>
  </w:style>
  <w:style w:type="character" w:customStyle="1" w:styleId="32">
    <w:name w:val="批注文字 Char"/>
    <w:basedOn w:val="19"/>
    <w:link w:val="7"/>
    <w:qFormat/>
    <w:uiPriority w:val="0"/>
    <w:rPr>
      <w:rFonts w:ascii="Times New Roman" w:hAnsi="Times New Roman"/>
      <w:kern w:val="2"/>
      <w:sz w:val="21"/>
      <w:szCs w:val="24"/>
    </w:rPr>
  </w:style>
  <w:style w:type="character" w:customStyle="1" w:styleId="33">
    <w:name w:val="批注主题 Char"/>
    <w:basedOn w:val="32"/>
    <w:link w:val="16"/>
    <w:qFormat/>
    <w:uiPriority w:val="0"/>
    <w:rPr>
      <w:b/>
      <w:bCs/>
    </w:rPr>
  </w:style>
  <w:style w:type="character" w:customStyle="1" w:styleId="34">
    <w:name w:val="批注框文本 Char"/>
    <w:basedOn w:val="19"/>
    <w:link w:val="10"/>
    <w:qFormat/>
    <w:uiPriority w:val="0"/>
    <w:rPr>
      <w:rFonts w:ascii="Times New Roman" w:hAnsi="Times New Roman"/>
      <w:kern w:val="2"/>
      <w:sz w:val="18"/>
      <w:szCs w:val="18"/>
    </w:rPr>
  </w:style>
  <w:style w:type="paragraph" w:customStyle="1" w:styleId="35">
    <w:name w:val="表格"/>
    <w:basedOn w:val="1"/>
    <w:qFormat/>
    <w:uiPriority w:val="0"/>
    <w:pPr>
      <w:spacing w:line="360" w:lineRule="exact"/>
      <w:jc w:val="center"/>
    </w:pPr>
    <w:rPr>
      <w:kern w:val="0"/>
      <w:sz w:val="24"/>
    </w:rPr>
  </w:style>
  <w:style w:type="character" w:customStyle="1" w:styleId="36">
    <w:name w:val="fontstyle01"/>
    <w:basedOn w:val="19"/>
    <w:qFormat/>
    <w:uiPriority w:val="0"/>
    <w:rPr>
      <w:rFonts w:hint="eastAsia" w:ascii="宋体" w:hAnsi="宋体" w:eastAsia="宋体"/>
      <w:color w:val="000000"/>
      <w:sz w:val="24"/>
      <w:szCs w:val="24"/>
    </w:rPr>
  </w:style>
  <w:style w:type="character" w:customStyle="1" w:styleId="37">
    <w:name w:val="fontstyle11"/>
    <w:basedOn w:val="19"/>
    <w:qFormat/>
    <w:uiPriority w:val="0"/>
    <w:rPr>
      <w:rFonts w:hint="default" w:ascii="Times New Roman" w:hAnsi="Times New Roman" w:cs="Times New Roman"/>
      <w:color w:val="000000"/>
      <w:sz w:val="24"/>
      <w:szCs w:val="24"/>
    </w:rPr>
  </w:style>
  <w:style w:type="paragraph" w:customStyle="1" w:styleId="38">
    <w:name w:val="报告表正文"/>
    <w:basedOn w:val="1"/>
    <w:qFormat/>
    <w:uiPriority w:val="99"/>
    <w:pPr>
      <w:spacing w:line="360" w:lineRule="auto"/>
      <w:ind w:firstLine="200"/>
    </w:pPr>
    <w:rPr>
      <w:szCs w:val="20"/>
      <w:lang w:val="zh-CN"/>
    </w:rPr>
  </w:style>
  <w:style w:type="paragraph" w:customStyle="1" w:styleId="39">
    <w:name w:val="表文"/>
    <w:basedOn w:val="8"/>
    <w:next w:val="6"/>
    <w:qFormat/>
    <w:uiPriority w:val="0"/>
    <w:pPr>
      <w:spacing w:line="360" w:lineRule="auto"/>
      <w:jc w:val="center"/>
    </w:pPr>
    <w:rPr>
      <w:rFonts w:eastAsia="仿宋_GB2312"/>
      <w:szCs w:val="20"/>
    </w:rPr>
  </w:style>
  <w:style w:type="paragraph" w:customStyle="1" w:styleId="40">
    <w:name w:val="报告表-表格内文字"/>
    <w:basedOn w:val="1"/>
    <w:qFormat/>
    <w:uiPriority w:val="99"/>
    <w:pPr>
      <w:jc w:val="center"/>
    </w:pPr>
    <w:rPr>
      <w:sz w:val="18"/>
      <w:szCs w:val="18"/>
    </w:rPr>
  </w:style>
  <w:style w:type="paragraph" w:customStyle="1" w:styleId="41">
    <w:name w:val="p15"/>
    <w:basedOn w:val="1"/>
    <w:qFormat/>
    <w:uiPriority w:val="0"/>
    <w:pPr>
      <w:widowControl/>
      <w:jc w:val="left"/>
    </w:pPr>
    <w:rPr>
      <w:kern w:val="0"/>
      <w:sz w:val="20"/>
      <w:szCs w:val="20"/>
    </w:rPr>
  </w:style>
  <w:style w:type="paragraph" w:customStyle="1" w:styleId="42">
    <w:name w:val="样式 样式 Arial 四号1 + 首行缩进:  2 字符"/>
    <w:qFormat/>
    <w:uiPriority w:val="99"/>
    <w:pPr>
      <w:ind w:firstLine="566" w:firstLineChars="236"/>
    </w:pPr>
    <w:rPr>
      <w:rFonts w:ascii="宋体" w:hAnsi="宋体" w:eastAsia="宋体" w:cs="Times New Roman"/>
      <w:lang w:val="en-US" w:eastAsia="zh-CN" w:bidi="ar-SA"/>
    </w:rPr>
  </w:style>
  <w:style w:type="paragraph" w:customStyle="1" w:styleId="43">
    <w:name w:val="列出段落1"/>
    <w:basedOn w:val="1"/>
    <w:qFormat/>
    <w:uiPriority w:val="0"/>
    <w:pPr>
      <w:ind w:firstLine="420"/>
    </w:pPr>
    <w:rPr>
      <w:rFonts w:ascii="Calibri" w:hAnsi="Calibri"/>
      <w:szCs w:val="22"/>
    </w:rPr>
  </w:style>
  <w:style w:type="paragraph" w:customStyle="1" w:styleId="44">
    <w:name w:val="Table Paragraph"/>
    <w:basedOn w:val="1"/>
    <w:qFormat/>
    <w:uiPriority w:val="1"/>
    <w:pPr>
      <w:jc w:val="center"/>
    </w:pPr>
    <w:rPr>
      <w:rFonts w:eastAsia="Times New Roman" w:cs="Times New Roman"/>
    </w:rPr>
  </w:style>
  <w:style w:type="paragraph" w:customStyle="1" w:styleId="45">
    <w:name w:val="表内段落"/>
    <w:basedOn w:val="1"/>
    <w:qFormat/>
    <w:uiPriority w:val="0"/>
    <w:pPr>
      <w:spacing w:line="360" w:lineRule="auto"/>
      <w:ind w:left="190" w:leftChars="94" w:right="113" w:firstLine="473" w:firstLineChars="180"/>
    </w:pPr>
    <w:rPr>
      <w:rFonts w:ascii="宋体" w:hAnsi="宋体"/>
      <w:bCs/>
      <w:color w:val="000000"/>
      <w:spacing w:val="20"/>
      <w:sz w:val="24"/>
    </w:rPr>
  </w:style>
  <w:style w:type="paragraph" w:customStyle="1" w:styleId="46">
    <w:name w:val="表格题"/>
    <w:basedOn w:val="1"/>
    <w:qFormat/>
    <w:uiPriority w:val="0"/>
    <w:pPr>
      <w:widowControl w:val="0"/>
      <w:adjustRightInd/>
      <w:snapToGrid/>
      <w:spacing w:after="0"/>
      <w:jc w:val="center"/>
    </w:pPr>
    <w:rPr>
      <w:rFonts w:ascii="宋体" w:hAnsi="宋体" w:eastAsia="宋体" w:cs="Times New Roman"/>
      <w:kern w:val="2"/>
      <w:sz w:val="21"/>
      <w:szCs w:val="20"/>
    </w:rPr>
  </w:style>
  <w:style w:type="paragraph" w:customStyle="1" w:styleId="47">
    <w:name w:val="Other|1"/>
    <w:basedOn w:val="1"/>
    <w:qFormat/>
    <w:uiPriority w:val="0"/>
    <w:pPr>
      <w:widowControl w:val="0"/>
      <w:shd w:val="clear" w:color="auto" w:fill="auto"/>
      <w:jc w:val="center"/>
    </w:pPr>
    <w:rPr>
      <w:rFonts w:ascii="宋体" w:hAnsi="宋体" w:eastAsia="宋体" w:cs="宋体"/>
      <w:sz w:val="22"/>
      <w:szCs w:val="22"/>
      <w:u w:val="none"/>
      <w:shd w:val="clear" w:color="auto" w:fill="auto"/>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31</Pages>
  <Words>14694</Words>
  <Characters>16929</Characters>
  <Lines>149</Lines>
  <Paragraphs>42</Paragraphs>
  <TotalTime>1</TotalTime>
  <ScaleCrop>false</ScaleCrop>
  <LinksUpToDate>false</LinksUpToDate>
  <CharactersWithSpaces>17137</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2018-07-24T00:38:00Z</dcterms:created>
  <dc:creator>BAOBINGF。</dc:creator>
  <cp:lastModifiedBy>姚运</cp:lastModifiedBy>
  <cp:lastPrinted>2022-09-19T03:07:00Z</cp:lastPrinted>
  <dcterms:modified xsi:type="dcterms:W3CDTF">2023-03-07T00:48:32Z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6C827837057746E08DE226097E71919C</vt:lpwstr>
  </property>
</Properties>
</file>