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20" w:lineRule="atLeast"/>
        <w:jc w:val="center"/>
        <w:rPr>
          <w:rFonts w:ascii="黑体" w:hAnsi="黑体" w:eastAsia="黑体"/>
          <w:b/>
          <w:sz w:val="44"/>
          <w:szCs w:val="44"/>
        </w:rPr>
      </w:pPr>
    </w:p>
    <w:p>
      <w:pPr>
        <w:spacing w:line="220" w:lineRule="atLeast"/>
        <w:jc w:val="center"/>
        <w:rPr>
          <w:rFonts w:ascii="黑体" w:hAnsi="黑体" w:eastAsia="黑体"/>
          <w:b/>
          <w:sz w:val="44"/>
          <w:szCs w:val="44"/>
        </w:rPr>
      </w:pPr>
    </w:p>
    <w:p>
      <w:pPr>
        <w:spacing w:after="0" w:line="480" w:lineRule="auto"/>
        <w:jc w:val="center"/>
        <w:rPr>
          <w:rFonts w:asciiTheme="minorEastAsia" w:hAnsiTheme="minorEastAsia" w:eastAsiaTheme="minorEastAsia"/>
          <w:b/>
          <w:sz w:val="36"/>
          <w:szCs w:val="36"/>
        </w:rPr>
      </w:pPr>
      <w:r>
        <w:rPr>
          <w:rFonts w:hint="eastAsia" w:asciiTheme="minorEastAsia" w:hAnsiTheme="minorEastAsia" w:eastAsiaTheme="minorEastAsia"/>
          <w:b/>
          <w:sz w:val="36"/>
          <w:szCs w:val="36"/>
        </w:rPr>
        <w:t>安徽</w:t>
      </w:r>
      <w:r>
        <w:rPr>
          <w:rFonts w:hint="eastAsia" w:asciiTheme="minorEastAsia" w:hAnsiTheme="minorEastAsia" w:eastAsiaTheme="minorEastAsia"/>
          <w:b/>
          <w:sz w:val="36"/>
          <w:szCs w:val="36"/>
          <w:lang w:val="en-US" w:eastAsia="zh-CN"/>
        </w:rPr>
        <w:t>思睿辰新材料</w:t>
      </w:r>
      <w:r>
        <w:rPr>
          <w:rFonts w:hint="eastAsia" w:asciiTheme="minorEastAsia" w:hAnsiTheme="minorEastAsia" w:eastAsiaTheme="minorEastAsia"/>
          <w:b/>
          <w:sz w:val="36"/>
          <w:szCs w:val="36"/>
        </w:rPr>
        <w:t>有限公司</w:t>
      </w:r>
    </w:p>
    <w:p>
      <w:pPr>
        <w:spacing w:after="0" w:line="480" w:lineRule="auto"/>
        <w:jc w:val="center"/>
        <w:rPr>
          <w:rFonts w:hint="eastAsia" w:asciiTheme="minorEastAsia" w:hAnsiTheme="minorEastAsia" w:eastAsiaTheme="minorEastAsia"/>
          <w:b/>
          <w:sz w:val="36"/>
          <w:szCs w:val="36"/>
          <w:lang w:eastAsia="zh-CN"/>
        </w:rPr>
      </w:pPr>
      <w:r>
        <w:rPr>
          <w:rFonts w:hint="eastAsia" w:asciiTheme="minorEastAsia" w:hAnsiTheme="minorEastAsia" w:eastAsiaTheme="minorEastAsia"/>
          <w:b/>
          <w:sz w:val="36"/>
          <w:szCs w:val="36"/>
          <w:lang w:val="en-US" w:eastAsia="zh-CN"/>
        </w:rPr>
        <w:t>安徽思睿辰新材料有限公司陶瓷覆铜板</w:t>
      </w:r>
      <w:r>
        <w:rPr>
          <w:rFonts w:hint="eastAsia" w:asciiTheme="minorEastAsia" w:hAnsiTheme="minorEastAsia" w:eastAsiaTheme="minorEastAsia"/>
          <w:b/>
          <w:sz w:val="36"/>
          <w:szCs w:val="36"/>
        </w:rPr>
        <w:t>项目</w:t>
      </w:r>
      <w:r>
        <w:rPr>
          <w:rFonts w:hint="eastAsia" w:asciiTheme="minorEastAsia" w:hAnsiTheme="minorEastAsia" w:eastAsiaTheme="minorEastAsia"/>
          <w:b/>
          <w:sz w:val="36"/>
          <w:szCs w:val="36"/>
          <w:lang w:eastAsia="zh-CN"/>
        </w:rPr>
        <w:t>（</w:t>
      </w:r>
      <w:r>
        <w:rPr>
          <w:rFonts w:hint="eastAsia" w:asciiTheme="minorEastAsia" w:hAnsiTheme="minorEastAsia" w:eastAsiaTheme="minorEastAsia"/>
          <w:b/>
          <w:sz w:val="36"/>
          <w:szCs w:val="36"/>
          <w:lang w:val="en-US" w:eastAsia="zh-CN"/>
        </w:rPr>
        <w:t>阶段性</w:t>
      </w:r>
      <w:r>
        <w:rPr>
          <w:rFonts w:hint="eastAsia" w:asciiTheme="minorEastAsia" w:hAnsiTheme="minorEastAsia" w:eastAsiaTheme="minorEastAsia"/>
          <w:b/>
          <w:sz w:val="36"/>
          <w:szCs w:val="36"/>
          <w:lang w:eastAsia="zh-CN"/>
        </w:rPr>
        <w:t>）</w:t>
      </w:r>
    </w:p>
    <w:p>
      <w:pPr>
        <w:spacing w:after="0" w:line="480" w:lineRule="auto"/>
        <w:jc w:val="center"/>
        <w:rPr>
          <w:rFonts w:ascii="黑体" w:hAnsi="黑体" w:eastAsia="黑体"/>
          <w:b/>
          <w:sz w:val="52"/>
          <w:szCs w:val="52"/>
        </w:rPr>
      </w:pPr>
      <w:r>
        <w:rPr>
          <w:rFonts w:hint="eastAsia" w:ascii="黑体" w:hAnsi="黑体" w:eastAsia="黑体"/>
          <w:b/>
          <w:sz w:val="52"/>
          <w:szCs w:val="52"/>
        </w:rPr>
        <w:t>竣工环境保护验收报告</w:t>
      </w:r>
    </w:p>
    <w:p>
      <w:pPr>
        <w:spacing w:line="220" w:lineRule="atLeast"/>
      </w:pPr>
    </w:p>
    <w:p>
      <w:pPr>
        <w:spacing w:line="220" w:lineRule="atLeast"/>
        <w:rPr>
          <w:sz w:val="32"/>
          <w:szCs w:val="32"/>
        </w:rPr>
      </w:pPr>
    </w:p>
    <w:p>
      <w:pPr>
        <w:spacing w:line="220" w:lineRule="atLeast"/>
        <w:rPr>
          <w:sz w:val="32"/>
          <w:szCs w:val="32"/>
        </w:rPr>
      </w:pPr>
    </w:p>
    <w:p>
      <w:pPr>
        <w:spacing w:line="220" w:lineRule="atLeast"/>
        <w:rPr>
          <w:sz w:val="32"/>
          <w:szCs w:val="32"/>
        </w:rPr>
      </w:pPr>
    </w:p>
    <w:p>
      <w:pPr>
        <w:spacing w:line="220" w:lineRule="atLeast"/>
        <w:rPr>
          <w:sz w:val="32"/>
          <w:szCs w:val="32"/>
        </w:rPr>
      </w:pPr>
    </w:p>
    <w:p>
      <w:pPr>
        <w:spacing w:line="220" w:lineRule="atLeast"/>
        <w:rPr>
          <w:sz w:val="32"/>
          <w:szCs w:val="32"/>
        </w:rPr>
      </w:pPr>
    </w:p>
    <w:p>
      <w:pPr>
        <w:spacing w:line="220" w:lineRule="atLeast"/>
        <w:rPr>
          <w:sz w:val="32"/>
          <w:szCs w:val="32"/>
        </w:rPr>
      </w:pPr>
    </w:p>
    <w:p>
      <w:pPr>
        <w:spacing w:line="220" w:lineRule="atLeast"/>
        <w:rPr>
          <w:sz w:val="32"/>
          <w:szCs w:val="32"/>
        </w:rPr>
      </w:pPr>
    </w:p>
    <w:p>
      <w:pPr>
        <w:spacing w:line="220" w:lineRule="atLeast"/>
        <w:rPr>
          <w:sz w:val="32"/>
          <w:szCs w:val="32"/>
        </w:rPr>
      </w:pPr>
    </w:p>
    <w:p>
      <w:pPr>
        <w:spacing w:line="220" w:lineRule="atLeast"/>
        <w:rPr>
          <w:sz w:val="32"/>
          <w:szCs w:val="32"/>
        </w:rPr>
      </w:pPr>
    </w:p>
    <w:p>
      <w:pPr>
        <w:spacing w:line="220" w:lineRule="atLeast"/>
        <w:rPr>
          <w:sz w:val="32"/>
          <w:szCs w:val="32"/>
        </w:rPr>
      </w:pPr>
    </w:p>
    <w:p>
      <w:pPr>
        <w:spacing w:line="220" w:lineRule="atLeast"/>
        <w:jc w:val="center"/>
        <w:rPr>
          <w:rFonts w:ascii="仿宋" w:hAnsi="仿宋" w:eastAsia="仿宋"/>
          <w:b/>
          <w:sz w:val="32"/>
          <w:szCs w:val="32"/>
        </w:rPr>
      </w:pPr>
      <w:commentRangeStart w:id="0"/>
      <w:r>
        <w:rPr>
          <w:rFonts w:hint="eastAsia" w:ascii="仿宋" w:hAnsi="仿宋" w:eastAsia="仿宋"/>
          <w:b/>
          <w:sz w:val="32"/>
          <w:szCs w:val="32"/>
        </w:rPr>
        <w:t>安徽</w:t>
      </w:r>
      <w:r>
        <w:rPr>
          <w:rFonts w:hint="eastAsia" w:ascii="仿宋" w:hAnsi="仿宋" w:eastAsia="仿宋"/>
          <w:b/>
          <w:sz w:val="32"/>
          <w:szCs w:val="32"/>
          <w:lang w:val="en-US" w:eastAsia="zh-CN"/>
        </w:rPr>
        <w:t>思睿辰新材料</w:t>
      </w:r>
      <w:r>
        <w:rPr>
          <w:rFonts w:hint="eastAsia" w:ascii="仿宋" w:hAnsi="仿宋" w:eastAsia="仿宋"/>
          <w:b/>
          <w:sz w:val="32"/>
          <w:szCs w:val="32"/>
        </w:rPr>
        <w:t>有限公司</w:t>
      </w:r>
      <w:commentRangeEnd w:id="0"/>
      <w:r>
        <w:commentReference w:id="0"/>
      </w:r>
    </w:p>
    <w:p>
      <w:pPr>
        <w:spacing w:line="220" w:lineRule="atLeast"/>
        <w:jc w:val="center"/>
        <w:rPr>
          <w:rFonts w:ascii="仿宋" w:hAnsi="仿宋" w:eastAsia="仿宋"/>
          <w:b/>
          <w:sz w:val="32"/>
          <w:szCs w:val="32"/>
        </w:rPr>
      </w:pPr>
      <w:r>
        <w:rPr>
          <w:rFonts w:hint="eastAsia" w:ascii="仿宋" w:hAnsi="仿宋" w:eastAsia="仿宋"/>
          <w:b/>
          <w:sz w:val="32"/>
          <w:szCs w:val="32"/>
        </w:rPr>
        <w:t>20</w:t>
      </w:r>
      <w:r>
        <w:rPr>
          <w:rFonts w:hint="eastAsia" w:ascii="仿宋" w:hAnsi="仿宋" w:eastAsia="仿宋"/>
          <w:b/>
          <w:sz w:val="32"/>
          <w:szCs w:val="32"/>
          <w:lang w:val="en-US" w:eastAsia="zh-CN"/>
        </w:rPr>
        <w:t>23</w:t>
      </w:r>
      <w:r>
        <w:rPr>
          <w:rFonts w:hint="eastAsia" w:ascii="仿宋" w:hAnsi="仿宋" w:eastAsia="仿宋"/>
          <w:b/>
          <w:sz w:val="32"/>
          <w:szCs w:val="32"/>
        </w:rPr>
        <w:t>年0</w:t>
      </w:r>
      <w:r>
        <w:rPr>
          <w:rFonts w:hint="eastAsia" w:ascii="仿宋" w:hAnsi="仿宋" w:eastAsia="仿宋"/>
          <w:b/>
          <w:sz w:val="32"/>
          <w:szCs w:val="32"/>
          <w:lang w:val="en-US" w:eastAsia="zh-CN"/>
        </w:rPr>
        <w:t>6</w:t>
      </w:r>
      <w:r>
        <w:rPr>
          <w:rFonts w:hint="eastAsia" w:ascii="仿宋" w:hAnsi="仿宋" w:eastAsia="仿宋"/>
          <w:b/>
          <w:sz w:val="32"/>
          <w:szCs w:val="32"/>
        </w:rPr>
        <w:t>月</w:t>
      </w:r>
    </w:p>
    <w:p>
      <w:pPr>
        <w:spacing w:line="220" w:lineRule="atLeast"/>
        <w:jc w:val="center"/>
        <w:rPr>
          <w:sz w:val="36"/>
          <w:szCs w:val="36"/>
        </w:rPr>
      </w:pPr>
    </w:p>
    <w:p>
      <w:pPr>
        <w:spacing w:line="220" w:lineRule="atLeast"/>
        <w:sectPr>
          <w:footerReference r:id="rId7" w:type="default"/>
          <w:pgSz w:w="11906" w:h="16838"/>
          <w:pgMar w:top="1440" w:right="1800" w:bottom="1440" w:left="1800" w:header="708" w:footer="708" w:gutter="0"/>
          <w:pgBorders>
            <w:top w:val="none" w:sz="0" w:space="0"/>
            <w:left w:val="none" w:sz="0" w:space="0"/>
            <w:bottom w:val="none" w:sz="0" w:space="0"/>
            <w:right w:val="none" w:sz="0" w:space="0"/>
          </w:pgBorders>
          <w:cols w:space="708" w:num="1"/>
          <w:docGrid w:linePitch="360" w:charSpace="0"/>
        </w:sectPr>
      </w:pPr>
    </w:p>
    <w:p>
      <w:pPr>
        <w:sectPr>
          <w:footerReference r:id="rId8" w:type="default"/>
          <w:pgSz w:w="11906" w:h="16838"/>
          <w:pgMar w:top="1440" w:right="1800" w:bottom="1440" w:left="1800" w:header="851" w:footer="992" w:gutter="0"/>
          <w:cols w:space="425" w:num="1"/>
          <w:docGrid w:type="lines" w:linePitch="312" w:charSpace="0"/>
        </w:sectPr>
      </w:pPr>
    </w:p>
    <w:p>
      <w:pPr>
        <w:spacing w:line="220" w:lineRule="atLeast"/>
      </w:pPr>
    </w:p>
    <w:p>
      <w:pPr>
        <w:spacing w:line="220" w:lineRule="atLeast"/>
        <w:rPr>
          <w:rFonts w:asciiTheme="minorEastAsia" w:hAnsiTheme="minorEastAsia" w:eastAsiaTheme="minorEastAsia"/>
          <w:sz w:val="24"/>
          <w:szCs w:val="24"/>
        </w:rPr>
      </w:pPr>
    </w:p>
    <w:p>
      <w:pPr>
        <w:spacing w:line="220" w:lineRule="atLeast"/>
        <w:ind w:firstLine="480" w:firstLineChars="200"/>
        <w:rPr>
          <w:rFonts w:asciiTheme="minorEastAsia" w:hAnsiTheme="minorEastAsia" w:eastAsiaTheme="minorEastAsia"/>
          <w:sz w:val="24"/>
          <w:szCs w:val="24"/>
        </w:rPr>
      </w:pPr>
    </w:p>
    <w:p>
      <w:pPr>
        <w:spacing w:line="220" w:lineRule="atLeas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建设单位法人代表：  </w:t>
      </w:r>
      <w:r>
        <w:rPr>
          <w:rFonts w:hint="eastAsia" w:asciiTheme="minorEastAsia" w:hAnsiTheme="minorEastAsia" w:eastAsiaTheme="minorEastAsia"/>
          <w:sz w:val="24"/>
          <w:szCs w:val="24"/>
          <w:lang w:val="en-US" w:eastAsia="zh-CN"/>
        </w:rPr>
        <w:t>杨晓战</w:t>
      </w:r>
      <w:r>
        <w:rPr>
          <w:rFonts w:hint="eastAsia" w:asciiTheme="minorEastAsia" w:hAnsiTheme="minorEastAsia" w:eastAsiaTheme="minorEastAsia"/>
          <w:sz w:val="24"/>
          <w:szCs w:val="24"/>
        </w:rPr>
        <w:t xml:space="preserve">       （签字）</w:t>
      </w:r>
    </w:p>
    <w:p>
      <w:pPr>
        <w:spacing w:line="220" w:lineRule="atLeast"/>
        <w:ind w:firstLine="480" w:firstLineChars="200"/>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rPr>
        <w:t>项目负责人：</w:t>
      </w:r>
      <w:r>
        <w:rPr>
          <w:rFonts w:hint="eastAsia" w:asciiTheme="minorEastAsia" w:hAnsiTheme="minorEastAsia" w:eastAsiaTheme="minorEastAsia"/>
          <w:sz w:val="24"/>
          <w:szCs w:val="24"/>
          <w:lang w:val="en-US" w:eastAsia="zh-CN"/>
        </w:rPr>
        <w:t>李建梅</w:t>
      </w:r>
    </w:p>
    <w:p>
      <w:pPr>
        <w:spacing w:line="220" w:lineRule="atLeas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填   表   人：</w:t>
      </w:r>
    </w:p>
    <w:p>
      <w:pPr>
        <w:spacing w:line="220" w:lineRule="atLeast"/>
        <w:ind w:firstLine="480" w:firstLineChars="200"/>
        <w:rPr>
          <w:rFonts w:asciiTheme="minorEastAsia" w:hAnsiTheme="minorEastAsia" w:eastAsiaTheme="minorEastAsia"/>
          <w:sz w:val="24"/>
          <w:szCs w:val="24"/>
        </w:rPr>
      </w:pPr>
    </w:p>
    <w:p>
      <w:pPr>
        <w:spacing w:line="220" w:lineRule="atLeast"/>
        <w:rPr>
          <w:rFonts w:asciiTheme="minorEastAsia" w:hAnsiTheme="minorEastAsia" w:eastAsiaTheme="minorEastAsia"/>
          <w:sz w:val="24"/>
          <w:szCs w:val="24"/>
        </w:rPr>
      </w:pPr>
    </w:p>
    <w:p>
      <w:pPr>
        <w:spacing w:line="220" w:lineRule="atLeast"/>
        <w:rPr>
          <w:rFonts w:asciiTheme="minorEastAsia" w:hAnsiTheme="minorEastAsia" w:eastAsiaTheme="minorEastAsia"/>
          <w:sz w:val="24"/>
          <w:szCs w:val="24"/>
        </w:rPr>
      </w:pPr>
    </w:p>
    <w:p>
      <w:pPr>
        <w:spacing w:line="220" w:lineRule="atLeast"/>
        <w:rPr>
          <w:rFonts w:asciiTheme="minorEastAsia" w:hAnsiTheme="minorEastAsia" w:eastAsiaTheme="minorEastAsia"/>
          <w:sz w:val="24"/>
          <w:szCs w:val="24"/>
        </w:rPr>
      </w:pPr>
    </w:p>
    <w:p>
      <w:pPr>
        <w:spacing w:line="220" w:lineRule="atLeast"/>
        <w:rPr>
          <w:rFonts w:asciiTheme="minorEastAsia" w:hAnsiTheme="minorEastAsia" w:eastAsiaTheme="minorEastAsia"/>
          <w:sz w:val="24"/>
          <w:szCs w:val="24"/>
        </w:rPr>
      </w:pPr>
    </w:p>
    <w:p>
      <w:pPr>
        <w:spacing w:line="220" w:lineRule="atLeast"/>
        <w:rPr>
          <w:rFonts w:asciiTheme="minorEastAsia" w:hAnsiTheme="minorEastAsia" w:eastAsiaTheme="minorEastAsia"/>
          <w:sz w:val="24"/>
          <w:szCs w:val="24"/>
        </w:rPr>
      </w:pPr>
    </w:p>
    <w:p>
      <w:pPr>
        <w:spacing w:line="220" w:lineRule="atLeast"/>
        <w:rPr>
          <w:rFonts w:asciiTheme="minorEastAsia" w:hAnsiTheme="minorEastAsia" w:eastAsiaTheme="minorEastAsia"/>
          <w:sz w:val="24"/>
          <w:szCs w:val="24"/>
        </w:rPr>
      </w:pPr>
    </w:p>
    <w:tbl>
      <w:tblPr>
        <w:tblStyle w:val="14"/>
        <w:tblpPr w:leftFromText="180" w:rightFromText="180" w:vertAnchor="text" w:horzAnchor="margin" w:tblpXSpec="center" w:tblpY="2136"/>
        <w:tblW w:w="7621" w:type="dxa"/>
        <w:tblInd w:w="0" w:type="dxa"/>
        <w:tblBorders>
          <w:top w:val="none" w:color="auto" w:sz="0" w:space="0"/>
          <w:left w:val="none" w:color="auto" w:sz="0" w:space="0"/>
          <w:bottom w:val="none" w:color="auto" w:sz="0" w:space="0"/>
          <w:right w:val="none" w:color="auto" w:sz="0" w:space="0"/>
          <w:insideH w:val="none" w:color="auto" w:sz="0" w:space="0"/>
          <w:insideV w:val="single" w:color="auto" w:sz="4" w:space="0"/>
        </w:tblBorders>
        <w:tblLayout w:type="autofit"/>
        <w:tblCellMar>
          <w:top w:w="0" w:type="dxa"/>
          <w:left w:w="108" w:type="dxa"/>
          <w:bottom w:w="0" w:type="dxa"/>
          <w:right w:w="108" w:type="dxa"/>
        </w:tblCellMar>
      </w:tblPr>
      <w:tblGrid>
        <w:gridCol w:w="7621"/>
      </w:tblGrid>
      <w:tr>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c>
          <w:tcPr>
            <w:tcW w:w="7621" w:type="dxa"/>
            <w:vAlign w:val="center"/>
          </w:tcPr>
          <w:p>
            <w:pPr>
              <w:spacing w:after="0" w:line="480" w:lineRule="auto"/>
              <w:jc w:val="both"/>
              <w:rPr>
                <w:rFonts w:ascii="Times New Roman" w:hAnsi="Times New Roman" w:cs="Times New Roman" w:eastAsiaTheme="minorEastAsia"/>
                <w:sz w:val="24"/>
                <w:szCs w:val="24"/>
              </w:rPr>
            </w:pPr>
            <w:r>
              <w:rPr>
                <w:rFonts w:ascii="Times New Roman" w:cs="Times New Roman" w:hAnsiTheme="minorEastAsia" w:eastAsiaTheme="minorEastAsia"/>
                <w:bCs/>
                <w:sz w:val="24"/>
                <w:szCs w:val="24"/>
              </w:rPr>
              <w:t>建设单位（盖章）</w:t>
            </w:r>
            <w:r>
              <w:rPr>
                <w:rFonts w:hint="eastAsia" w:asciiTheme="minorEastAsia" w:hAnsiTheme="minorEastAsia" w:eastAsiaTheme="minorEastAsia"/>
                <w:b w:val="0"/>
                <w:bCs/>
                <w:sz w:val="24"/>
                <w:szCs w:val="24"/>
              </w:rPr>
              <w:t>安徽</w:t>
            </w:r>
            <w:r>
              <w:rPr>
                <w:rFonts w:hint="eastAsia" w:asciiTheme="minorEastAsia" w:hAnsiTheme="minorEastAsia" w:eastAsiaTheme="minorEastAsia"/>
                <w:b w:val="0"/>
                <w:bCs/>
                <w:sz w:val="24"/>
                <w:szCs w:val="24"/>
                <w:lang w:val="en-US" w:eastAsia="zh-CN"/>
              </w:rPr>
              <w:t>思睿辰新材料</w:t>
            </w:r>
            <w:r>
              <w:rPr>
                <w:rFonts w:hint="eastAsia" w:asciiTheme="minorEastAsia" w:hAnsiTheme="minorEastAsia" w:eastAsiaTheme="minorEastAsia"/>
                <w:b w:val="0"/>
                <w:bCs/>
                <w:sz w:val="24"/>
                <w:szCs w:val="24"/>
              </w:rPr>
              <w:t>有限公司</w:t>
            </w:r>
          </w:p>
        </w:tc>
      </w:tr>
      <w:tr>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c>
          <w:tcPr>
            <w:tcW w:w="7621" w:type="dxa"/>
            <w:vAlign w:val="center"/>
          </w:tcPr>
          <w:p>
            <w:pPr>
              <w:spacing w:after="0" w:line="360" w:lineRule="auto"/>
              <w:rPr>
                <w:rFonts w:hint="default" w:ascii="Times New Roman" w:hAnsi="Times New Roman" w:cs="Times New Roman" w:eastAsiaTheme="minorEastAsia"/>
                <w:sz w:val="24"/>
                <w:szCs w:val="24"/>
                <w:lang w:val="en-US" w:eastAsia="zh-CN"/>
              </w:rPr>
            </w:pPr>
            <w:r>
              <w:rPr>
                <w:rFonts w:ascii="Times New Roman" w:cs="Times New Roman" w:hAnsiTheme="minorEastAsia" w:eastAsiaTheme="minorEastAsia"/>
                <w:bCs/>
                <w:sz w:val="24"/>
                <w:szCs w:val="24"/>
              </w:rPr>
              <w:t>电话：</w:t>
            </w:r>
            <w:r>
              <w:rPr>
                <w:rFonts w:hint="eastAsia" w:ascii="Times New Roman" w:cs="Times New Roman" w:hAnsiTheme="minorEastAsia" w:eastAsiaTheme="minorEastAsia"/>
                <w:bCs/>
                <w:sz w:val="24"/>
                <w:szCs w:val="24"/>
                <w:lang w:val="en-US" w:eastAsia="zh-CN"/>
              </w:rPr>
              <w:t>13433414341</w:t>
            </w:r>
          </w:p>
        </w:tc>
      </w:tr>
      <w:tr>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c>
          <w:tcPr>
            <w:tcW w:w="7621" w:type="dxa"/>
            <w:vAlign w:val="center"/>
          </w:tcPr>
          <w:p>
            <w:pPr>
              <w:spacing w:after="0" w:line="360" w:lineRule="auto"/>
              <w:rPr>
                <w:rFonts w:ascii="Times New Roman" w:hAnsi="Times New Roman" w:cs="Times New Roman" w:eastAsiaTheme="minorEastAsia"/>
                <w:sz w:val="24"/>
                <w:szCs w:val="24"/>
              </w:rPr>
            </w:pPr>
            <w:r>
              <w:rPr>
                <w:rFonts w:ascii="Times New Roman" w:cs="Times New Roman" w:hAnsiTheme="minorEastAsia" w:eastAsiaTheme="minorEastAsia"/>
                <w:bCs/>
                <w:sz w:val="24"/>
                <w:szCs w:val="24"/>
              </w:rPr>
              <w:t>传真：</w:t>
            </w:r>
            <w:r>
              <w:rPr>
                <w:rFonts w:ascii="Times New Roman" w:hAnsi="Times New Roman" w:cs="Times New Roman" w:eastAsiaTheme="minorEastAsia"/>
                <w:sz w:val="24"/>
                <w:szCs w:val="24"/>
              </w:rPr>
              <w:t>/</w:t>
            </w:r>
          </w:p>
        </w:tc>
      </w:tr>
      <w:tr>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c>
          <w:tcPr>
            <w:tcW w:w="7621" w:type="dxa"/>
            <w:vAlign w:val="center"/>
          </w:tcPr>
          <w:p>
            <w:pPr>
              <w:spacing w:after="0" w:line="360" w:lineRule="auto"/>
              <w:rPr>
                <w:rFonts w:hint="default" w:ascii="Times New Roman" w:hAnsi="Times New Roman" w:cs="Times New Roman" w:eastAsiaTheme="minorEastAsia"/>
                <w:sz w:val="24"/>
                <w:szCs w:val="24"/>
                <w:lang w:val="en-US" w:eastAsia="zh-CN"/>
              </w:rPr>
            </w:pPr>
            <w:r>
              <w:rPr>
                <w:rFonts w:ascii="Times New Roman" w:cs="Times New Roman" w:hAnsiTheme="minorEastAsia" w:eastAsiaTheme="minorEastAsia"/>
                <w:bCs/>
                <w:sz w:val="24"/>
                <w:szCs w:val="24"/>
              </w:rPr>
              <w:t>邮编：</w:t>
            </w:r>
            <w:r>
              <w:rPr>
                <w:rFonts w:ascii="Times New Roman" w:hAnsi="Times New Roman" w:cs="Times New Roman" w:eastAsiaTheme="minorEastAsia"/>
                <w:bCs/>
                <w:sz w:val="24"/>
                <w:szCs w:val="24"/>
              </w:rPr>
              <w:t>23</w:t>
            </w:r>
            <w:r>
              <w:rPr>
                <w:rFonts w:hint="eastAsia" w:ascii="Times New Roman" w:hAnsi="Times New Roman" w:cs="Times New Roman" w:eastAsiaTheme="minorEastAsia"/>
                <w:bCs/>
                <w:sz w:val="24"/>
                <w:szCs w:val="24"/>
                <w:lang w:val="en-US" w:eastAsia="zh-CN"/>
              </w:rPr>
              <w:t>7300</w:t>
            </w:r>
          </w:p>
        </w:tc>
      </w:tr>
      <w:tr>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c>
          <w:tcPr>
            <w:tcW w:w="7621" w:type="dxa"/>
            <w:vAlign w:val="center"/>
          </w:tcPr>
          <w:p>
            <w:pPr>
              <w:spacing w:after="0" w:line="360" w:lineRule="auto"/>
              <w:rPr>
                <w:rFonts w:ascii="Times New Roman" w:hAnsi="Times New Roman" w:cs="Times New Roman" w:eastAsiaTheme="minorEastAsia"/>
                <w:sz w:val="24"/>
                <w:szCs w:val="24"/>
              </w:rPr>
            </w:pPr>
            <w:r>
              <w:rPr>
                <w:rFonts w:ascii="Times New Roman" w:cs="Times New Roman" w:hAnsiTheme="minorEastAsia" w:eastAsiaTheme="minorEastAsia"/>
                <w:bCs/>
                <w:sz w:val="24"/>
                <w:szCs w:val="24"/>
              </w:rPr>
              <w:t>地址：</w:t>
            </w:r>
            <w:r>
              <w:rPr>
                <w:rFonts w:hint="eastAsia" w:asciiTheme="minorEastAsia" w:hAnsiTheme="minorEastAsia" w:eastAsiaTheme="minorEastAsia" w:cstheme="minorEastAsia"/>
                <w:kern w:val="0"/>
                <w:sz w:val="24"/>
                <w:szCs w:val="24"/>
                <w:u w:val="none"/>
                <w:lang w:val="en-US" w:eastAsia="zh-CN"/>
              </w:rPr>
              <w:t>安徽省六安市金寨县安徽金寨经济开发区（金寨现代产业园）南三东路与梅山湖路交叉口安徽新艺电子有限公司厂区内F区1F</w:t>
            </w:r>
          </w:p>
        </w:tc>
      </w:tr>
    </w:tbl>
    <w:p>
      <w:pPr>
        <w:spacing w:line="220" w:lineRule="atLeast"/>
        <w:rPr>
          <w:sz w:val="28"/>
          <w:szCs w:val="28"/>
        </w:rPr>
      </w:pPr>
    </w:p>
    <w:p>
      <w:pPr>
        <w:spacing w:line="220" w:lineRule="atLeast"/>
        <w:rPr>
          <w:sz w:val="28"/>
          <w:szCs w:val="28"/>
        </w:rPr>
      </w:pPr>
    </w:p>
    <w:p>
      <w:pPr>
        <w:spacing w:line="220" w:lineRule="atLeast"/>
        <w:rPr>
          <w:sz w:val="21"/>
          <w:szCs w:val="21"/>
        </w:rPr>
      </w:pPr>
    </w:p>
    <w:p>
      <w:pPr>
        <w:spacing w:line="220" w:lineRule="atLeast"/>
        <w:rPr>
          <w:sz w:val="24"/>
          <w:szCs w:val="24"/>
        </w:rPr>
        <w:sectPr>
          <w:pgSz w:w="11906" w:h="16838"/>
          <w:pgMar w:top="1440" w:right="1800" w:bottom="1440" w:left="1800" w:header="708" w:footer="708" w:gutter="0"/>
          <w:pgBorders>
            <w:top w:val="none" w:sz="0" w:space="0"/>
            <w:left w:val="none" w:sz="0" w:space="0"/>
            <w:bottom w:val="none" w:sz="0" w:space="0"/>
            <w:right w:val="none" w:sz="0" w:space="0"/>
          </w:pgBorders>
          <w:cols w:space="708" w:num="1"/>
          <w:docGrid w:linePitch="360" w:charSpace="0"/>
        </w:sectPr>
      </w:pPr>
    </w:p>
    <w:p>
      <w:pPr>
        <w:spacing w:after="0"/>
        <w:rPr>
          <w:rFonts w:hint="eastAsia" w:ascii="宋体" w:hAnsi="宋体" w:eastAsia="宋体" w:cs="宋体"/>
          <w:b/>
          <w:bCs/>
          <w:sz w:val="24"/>
          <w:szCs w:val="24"/>
        </w:rPr>
      </w:pPr>
      <w:r>
        <w:rPr>
          <w:rFonts w:hint="eastAsia" w:ascii="宋体" w:hAnsi="宋体" w:eastAsia="宋体" w:cs="宋体"/>
          <w:b/>
          <w:bCs/>
          <w:sz w:val="24"/>
          <w:szCs w:val="24"/>
        </w:rPr>
        <w:t>表一  建设项目基本情况</w:t>
      </w:r>
    </w:p>
    <w:tbl>
      <w:tblPr>
        <w:tblStyle w:val="15"/>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08" w:type="dxa"/>
          <w:left w:w="108" w:type="dxa"/>
          <w:bottom w:w="108" w:type="dxa"/>
          <w:right w:w="108" w:type="dxa"/>
        </w:tblCellMar>
      </w:tblPr>
      <w:tblGrid>
        <w:gridCol w:w="1702"/>
        <w:gridCol w:w="2149"/>
        <w:gridCol w:w="2516"/>
        <w:gridCol w:w="23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c>
          <w:tcPr>
            <w:tcW w:w="1702" w:type="dxa"/>
            <w:vAlign w:val="center"/>
          </w:tcPr>
          <w:p>
            <w:pPr>
              <w:spacing w:after="0"/>
              <w:jc w:val="center"/>
              <w:rPr>
                <w:rFonts w:ascii="Times New Roman" w:hAnsi="Times New Roman" w:cs="Times New Roman" w:eastAsiaTheme="minorEastAsia"/>
                <w:sz w:val="24"/>
                <w:szCs w:val="24"/>
              </w:rPr>
            </w:pPr>
            <w:r>
              <w:rPr>
                <w:rFonts w:ascii="Times New Roman" w:cs="Times New Roman" w:hAnsiTheme="minorEastAsia" w:eastAsiaTheme="minorEastAsia"/>
                <w:sz w:val="24"/>
                <w:szCs w:val="24"/>
              </w:rPr>
              <w:t>建设项目名称</w:t>
            </w:r>
          </w:p>
        </w:tc>
        <w:tc>
          <w:tcPr>
            <w:tcW w:w="6996" w:type="dxa"/>
            <w:gridSpan w:val="3"/>
            <w:vAlign w:val="center"/>
          </w:tcPr>
          <w:p>
            <w:pPr>
              <w:spacing w:after="0"/>
              <w:jc w:val="center"/>
              <w:rPr>
                <w:rFonts w:hint="default"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安徽思睿辰新材料有限公司陶瓷覆铜板项目</w:t>
            </w:r>
            <w:r>
              <w:commentReference w:id="1"/>
            </w:r>
            <w:r>
              <w:rPr>
                <w:rFonts w:hint="eastAsia" w:ascii="Times New Roman" w:hAnsi="Times New Roman" w:cs="Times New Roman" w:eastAsiaTheme="minorEastAsia"/>
                <w:sz w:val="24"/>
                <w:szCs w:val="24"/>
                <w:lang w:val="en-US" w:eastAsia="zh-CN"/>
              </w:rPr>
              <w:t>（阶段性）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c>
          <w:tcPr>
            <w:tcW w:w="1702" w:type="dxa"/>
            <w:vAlign w:val="center"/>
          </w:tcPr>
          <w:p>
            <w:pPr>
              <w:spacing w:after="0"/>
              <w:jc w:val="center"/>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建设单位名称</w:t>
            </w:r>
          </w:p>
        </w:tc>
        <w:tc>
          <w:tcPr>
            <w:tcW w:w="6996" w:type="dxa"/>
            <w:gridSpan w:val="3"/>
            <w:vAlign w:val="center"/>
          </w:tcPr>
          <w:p>
            <w:pPr>
              <w:spacing w:after="0"/>
              <w:jc w:val="center"/>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u w:val="none"/>
                <w:lang w:eastAsia="zh-CN"/>
              </w:rPr>
              <w:t>安徽</w:t>
            </w:r>
            <w:r>
              <w:rPr>
                <w:rFonts w:hint="eastAsia" w:ascii="Times New Roman" w:hAnsi="Times New Roman" w:cs="Times New Roman" w:eastAsiaTheme="minorEastAsia"/>
                <w:sz w:val="24"/>
                <w:szCs w:val="24"/>
                <w:u w:val="none"/>
                <w:lang w:val="en-US" w:eastAsia="zh-CN"/>
              </w:rPr>
              <w:t>思睿辰</w:t>
            </w:r>
            <w:r>
              <w:rPr>
                <w:rFonts w:hint="default" w:ascii="Times New Roman" w:hAnsi="Times New Roman" w:cs="Times New Roman" w:eastAsiaTheme="minorEastAsia"/>
                <w:sz w:val="24"/>
                <w:szCs w:val="24"/>
                <w:u w:val="none"/>
                <w:lang w:eastAsia="zh-CN"/>
              </w:rPr>
              <w:t>新材料有限公司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c>
          <w:tcPr>
            <w:tcW w:w="1702" w:type="dxa"/>
            <w:vAlign w:val="center"/>
          </w:tcPr>
          <w:p>
            <w:pPr>
              <w:spacing w:after="0"/>
              <w:jc w:val="center"/>
              <w:rPr>
                <w:rFonts w:ascii="Times New Roman" w:hAnsi="Times New Roman" w:cs="Times New Roman" w:eastAsiaTheme="minorEastAsia"/>
                <w:sz w:val="24"/>
                <w:szCs w:val="24"/>
              </w:rPr>
            </w:pPr>
            <w:r>
              <w:rPr>
                <w:rFonts w:ascii="Times New Roman" w:cs="Times New Roman" w:hAnsiTheme="minorEastAsia" w:eastAsiaTheme="minorEastAsia"/>
                <w:sz w:val="24"/>
                <w:szCs w:val="24"/>
              </w:rPr>
              <w:t>建设项目性质</w:t>
            </w:r>
          </w:p>
        </w:tc>
        <w:tc>
          <w:tcPr>
            <w:tcW w:w="6996" w:type="dxa"/>
            <w:gridSpan w:val="3"/>
            <w:vAlign w:val="center"/>
          </w:tcPr>
          <w:p>
            <w:pPr>
              <w:spacing w:after="0"/>
              <w:jc w:val="center"/>
              <w:rPr>
                <w:rFonts w:ascii="Times New Roman" w:hAnsi="Times New Roman" w:cs="Times New Roman" w:eastAsiaTheme="minorEastAsia"/>
                <w:sz w:val="24"/>
                <w:szCs w:val="24"/>
              </w:rPr>
            </w:pPr>
            <w:r>
              <w:rPr>
                <w:rFonts w:hint="eastAsia" w:ascii="Times New Roman" w:hAnsi="Times New Roman" w:cs="Times New Roman" w:eastAsiaTheme="minorEastAsia"/>
                <w:sz w:val="24"/>
                <w:szCs w:val="24"/>
                <w:lang w:eastAsia="zh-CN"/>
              </w:rPr>
              <w:t>☑</w:t>
            </w:r>
            <w:r>
              <w:rPr>
                <w:rFonts w:ascii="Times New Roman" w:cs="Times New Roman" w:hAnsiTheme="minorEastAsia" w:eastAsiaTheme="minorEastAsia"/>
                <w:sz w:val="24"/>
                <w:szCs w:val="24"/>
              </w:rPr>
              <w:t>新建</w:t>
            </w:r>
            <w:r>
              <w:rPr>
                <w:rFonts w:ascii="Times New Roman" w:hAnsi="Times New Roman" w:cs="Times New Roman" w:eastAsiaTheme="minorEastAsia"/>
                <w:sz w:val="24"/>
                <w:szCs w:val="24"/>
              </w:rPr>
              <w:t xml:space="preserve"> </w:t>
            </w:r>
            <w:r>
              <w:rPr>
                <w:rFonts w:hint="eastAsia" w:ascii="Times New Roman" w:hAnsi="Times New Roman" w:cs="Times New Roman" w:eastAsiaTheme="minorEastAsia"/>
                <w:sz w:val="24"/>
                <w:szCs w:val="24"/>
              </w:rPr>
              <w:t xml:space="preserve">     </w:t>
            </w:r>
            <w:r>
              <w:rPr>
                <w:rFonts w:hint="eastAsia" w:ascii="Times New Roman" w:hAnsi="Times New Roman" w:cs="Times New Roman" w:eastAsiaTheme="minorEastAsia"/>
                <w:sz w:val="24"/>
                <w:szCs w:val="24"/>
                <w:lang w:eastAsia="zh-CN"/>
              </w:rPr>
              <w:t>□</w:t>
            </w:r>
            <w:r>
              <w:rPr>
                <w:rFonts w:ascii="Times New Roman" w:cs="Times New Roman" w:hAnsiTheme="minorEastAsia" w:eastAsiaTheme="minorEastAsia"/>
                <w:sz w:val="24"/>
                <w:szCs w:val="24"/>
              </w:rPr>
              <w:t>改扩建</w:t>
            </w:r>
            <w:r>
              <w:rPr>
                <w:rFonts w:hint="eastAsia" w:ascii="Times New Roman" w:cs="Times New Roman" w:hAnsiTheme="minorEastAsia" w:eastAsiaTheme="minorEastAsia"/>
                <w:sz w:val="24"/>
                <w:szCs w:val="24"/>
              </w:rPr>
              <w:t xml:space="preserve">  </w:t>
            </w:r>
            <w:r>
              <w:rPr>
                <w:rFonts w:ascii="Times New Roman" w:hAnsi="Times New Roman" w:cs="Times New Roman" w:eastAsiaTheme="minorEastAsia"/>
                <w:sz w:val="24"/>
                <w:szCs w:val="24"/>
              </w:rPr>
              <w:t xml:space="preserve"> </w:t>
            </w:r>
            <w:r>
              <w:rPr>
                <w:rFonts w:hint="eastAsia" w:ascii="Times New Roman" w:hAnsi="Times New Roman" w:cs="Times New Roman" w:eastAsiaTheme="minorEastAsia"/>
                <w:sz w:val="24"/>
                <w:szCs w:val="24"/>
              </w:rPr>
              <w:t xml:space="preserve">   </w:t>
            </w:r>
            <w:r>
              <w:rPr>
                <w:rFonts w:hint="eastAsia" w:ascii="Times New Roman" w:hAnsi="Times New Roman" w:cs="Times New Roman" w:eastAsiaTheme="minorEastAsia"/>
                <w:sz w:val="24"/>
                <w:szCs w:val="24"/>
                <w:lang w:eastAsia="zh-CN"/>
              </w:rPr>
              <w:t>□</w:t>
            </w:r>
            <w:r>
              <w:rPr>
                <w:rFonts w:ascii="Times New Roman" w:cs="Times New Roman" w:hAnsiTheme="minorEastAsia" w:eastAsiaTheme="minorEastAsia"/>
                <w:sz w:val="24"/>
                <w:szCs w:val="24"/>
              </w:rPr>
              <w:t>技改</w:t>
            </w:r>
            <w:r>
              <w:rPr>
                <w:rFonts w:hint="eastAsia" w:ascii="Times New Roman" w:cs="Times New Roman" w:hAnsiTheme="minorEastAsia" w:eastAsiaTheme="minorEastAsia"/>
                <w:sz w:val="24"/>
                <w:szCs w:val="24"/>
              </w:rPr>
              <w:t xml:space="preserve">     </w:t>
            </w:r>
            <w:r>
              <w:rPr>
                <w:rFonts w:ascii="Times New Roman" w:hAnsi="Times New Roman" w:cs="Times New Roman" w:eastAsiaTheme="minorEastAsia"/>
                <w:sz w:val="24"/>
                <w:szCs w:val="24"/>
              </w:rPr>
              <w:t xml:space="preserve"> </w:t>
            </w:r>
            <w:r>
              <w:rPr>
                <w:rFonts w:hint="eastAsia" w:ascii="Times New Roman" w:hAnsi="Times New Roman" w:cs="Times New Roman" w:eastAsiaTheme="minorEastAsia"/>
                <w:sz w:val="24"/>
                <w:szCs w:val="24"/>
                <w:lang w:eastAsia="zh-CN"/>
              </w:rPr>
              <w:t>□</w:t>
            </w:r>
            <w:r>
              <w:rPr>
                <w:rFonts w:ascii="Times New Roman" w:cs="Times New Roman" w:hAnsiTheme="minorEastAsia" w:eastAsiaTheme="minorEastAsia"/>
                <w:sz w:val="24"/>
                <w:szCs w:val="24"/>
              </w:rPr>
              <w:t>迁建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c>
          <w:tcPr>
            <w:tcW w:w="1702" w:type="dxa"/>
            <w:vAlign w:val="center"/>
          </w:tcPr>
          <w:p>
            <w:pPr>
              <w:spacing w:after="0"/>
              <w:jc w:val="center"/>
              <w:rPr>
                <w:rFonts w:ascii="Times New Roman" w:hAnsi="Times New Roman" w:cs="Times New Roman" w:eastAsiaTheme="minorEastAsia"/>
                <w:sz w:val="24"/>
                <w:szCs w:val="24"/>
              </w:rPr>
            </w:pPr>
            <w:r>
              <w:rPr>
                <w:rFonts w:ascii="Times New Roman" w:cs="Times New Roman" w:hAnsiTheme="minorEastAsia" w:eastAsiaTheme="minorEastAsia"/>
                <w:sz w:val="24"/>
                <w:szCs w:val="24"/>
              </w:rPr>
              <w:t>建设地点</w:t>
            </w:r>
          </w:p>
        </w:tc>
        <w:tc>
          <w:tcPr>
            <w:tcW w:w="6996" w:type="dxa"/>
            <w:gridSpan w:val="3"/>
            <w:vAlign w:val="center"/>
          </w:tcPr>
          <w:p>
            <w:pPr>
              <w:spacing w:after="0"/>
              <w:jc w:val="center"/>
              <w:rPr>
                <w:rFonts w:hint="eastAsia" w:ascii="Times New Roman" w:hAnsi="Times New Roman" w:cs="Times New Roman" w:eastAsiaTheme="minorEastAsia"/>
                <w:sz w:val="24"/>
                <w:szCs w:val="24"/>
                <w:lang w:val="en-US" w:eastAsia="zh-CN"/>
              </w:rPr>
            </w:pPr>
            <w:r>
              <w:rPr>
                <w:rFonts w:hint="eastAsia" w:asciiTheme="minorEastAsia" w:hAnsiTheme="minorEastAsia" w:eastAsiaTheme="minorEastAsia" w:cstheme="minorEastAsia"/>
                <w:kern w:val="0"/>
                <w:sz w:val="24"/>
                <w:szCs w:val="24"/>
                <w:u w:val="none"/>
                <w:lang w:val="en-US" w:eastAsia="zh-CN"/>
              </w:rPr>
              <w:t>安徽省六安市金寨县安徽金寨经济开发区（金寨现代产业园）南三东路与梅山湖路交叉口安徽新艺电子有限公司厂区内F区1F</w:t>
            </w:r>
            <w:r>
              <w:rPr>
                <w:rFonts w:hint="eastAsia" w:asciiTheme="minorEastAsia" w:hAnsiTheme="minorEastAsia" w:eastAsiaTheme="minorEastAsia" w:cstheme="minorEastAsia"/>
                <w:kern w:val="0"/>
                <w:sz w:val="24"/>
                <w:szCs w:val="24"/>
                <w:u w:val="none"/>
                <w:lang w:eastAsia="zh-CN"/>
              </w:rPr>
              <w:t>，</w:t>
            </w:r>
            <w:r>
              <w:rPr>
                <w:rFonts w:hint="eastAsia" w:asciiTheme="minorEastAsia" w:hAnsiTheme="minorEastAsia" w:eastAsiaTheme="minorEastAsia" w:cstheme="minorEastAsia"/>
                <w:kern w:val="0"/>
                <w:sz w:val="24"/>
                <w:szCs w:val="24"/>
                <w:u w:val="none"/>
                <w:lang w:val="en-US" w:eastAsia="zh-CN"/>
              </w:rPr>
              <w:t>地理坐标为</w:t>
            </w:r>
            <w:r>
              <w:rPr>
                <w:rFonts w:hint="default" w:ascii="Times New Roman" w:hAnsi="Times New Roman" w:cs="Times New Roman" w:eastAsiaTheme="minorEastAsia"/>
                <w:sz w:val="24"/>
                <w:u w:val="none"/>
              </w:rPr>
              <w:t>11</w:t>
            </w:r>
            <w:r>
              <w:rPr>
                <w:rFonts w:hint="eastAsia" w:ascii="Times New Roman" w:hAnsi="Times New Roman" w:cs="Times New Roman" w:eastAsiaTheme="minorEastAsia"/>
                <w:sz w:val="24"/>
                <w:u w:val="none"/>
                <w:lang w:val="en-US" w:eastAsia="zh-CN"/>
              </w:rPr>
              <w:t>5</w:t>
            </w:r>
            <w:r>
              <w:rPr>
                <w:rFonts w:hint="eastAsia" w:asciiTheme="minorEastAsia" w:hAnsiTheme="minorEastAsia" w:eastAsiaTheme="minorEastAsia" w:cstheme="minorEastAsia"/>
                <w:sz w:val="24"/>
                <w:u w:val="none"/>
              </w:rPr>
              <w:t>度</w:t>
            </w:r>
            <w:r>
              <w:rPr>
                <w:rFonts w:hint="eastAsia" w:ascii="Times New Roman" w:hAnsi="Times New Roman" w:cs="Times New Roman" w:eastAsiaTheme="minorEastAsia"/>
                <w:sz w:val="24"/>
                <w:u w:val="none"/>
                <w:lang w:val="en-US" w:eastAsia="zh-CN"/>
              </w:rPr>
              <w:t>55</w:t>
            </w:r>
            <w:r>
              <w:rPr>
                <w:rFonts w:hint="eastAsia" w:asciiTheme="minorEastAsia" w:hAnsiTheme="minorEastAsia" w:eastAsiaTheme="minorEastAsia" w:cstheme="minorEastAsia"/>
                <w:sz w:val="24"/>
                <w:u w:val="none"/>
              </w:rPr>
              <w:t>分</w:t>
            </w:r>
            <w:r>
              <w:rPr>
                <w:rFonts w:hint="default" w:ascii="Times New Roman" w:hAnsi="Times New Roman" w:cs="Times New Roman" w:eastAsiaTheme="minorEastAsia"/>
                <w:sz w:val="24"/>
                <w:u w:val="none"/>
              </w:rPr>
              <w:t>46.</w:t>
            </w:r>
            <w:r>
              <w:rPr>
                <w:rFonts w:hint="eastAsia" w:ascii="Times New Roman" w:hAnsi="Times New Roman" w:cs="Times New Roman" w:eastAsiaTheme="minorEastAsia"/>
                <w:sz w:val="24"/>
                <w:u w:val="none"/>
                <w:lang w:val="en-US" w:eastAsia="zh-CN"/>
              </w:rPr>
              <w:t>901</w:t>
            </w:r>
            <w:r>
              <w:rPr>
                <w:rFonts w:hint="eastAsia" w:asciiTheme="minorEastAsia" w:hAnsiTheme="minorEastAsia" w:eastAsiaTheme="minorEastAsia" w:cstheme="minorEastAsia"/>
                <w:sz w:val="24"/>
                <w:u w:val="none"/>
              </w:rPr>
              <w:t>秒，</w:t>
            </w:r>
            <w:r>
              <w:rPr>
                <w:rFonts w:hint="default" w:ascii="Times New Roman" w:hAnsi="Times New Roman" w:cs="Times New Roman" w:eastAsiaTheme="minorEastAsia"/>
                <w:sz w:val="24"/>
                <w:u w:val="none"/>
              </w:rPr>
              <w:t>31</w:t>
            </w:r>
            <w:r>
              <w:rPr>
                <w:rFonts w:hint="eastAsia" w:asciiTheme="minorEastAsia" w:hAnsiTheme="minorEastAsia" w:eastAsiaTheme="minorEastAsia" w:cstheme="minorEastAsia"/>
                <w:sz w:val="24"/>
                <w:u w:val="none"/>
              </w:rPr>
              <w:t>度</w:t>
            </w:r>
            <w:r>
              <w:rPr>
                <w:rFonts w:hint="eastAsia" w:ascii="Times New Roman" w:hAnsi="Times New Roman" w:cs="Times New Roman" w:eastAsiaTheme="minorEastAsia"/>
                <w:sz w:val="24"/>
                <w:u w:val="none"/>
                <w:lang w:val="en-US" w:eastAsia="zh-CN"/>
              </w:rPr>
              <w:t>44</w:t>
            </w:r>
            <w:r>
              <w:rPr>
                <w:rFonts w:hint="eastAsia" w:asciiTheme="minorEastAsia" w:hAnsiTheme="minorEastAsia" w:eastAsiaTheme="minorEastAsia" w:cstheme="minorEastAsia"/>
                <w:sz w:val="24"/>
                <w:u w:val="none"/>
              </w:rPr>
              <w:t>分</w:t>
            </w:r>
            <w:r>
              <w:rPr>
                <w:rFonts w:hint="eastAsia" w:ascii="Times New Roman" w:hAnsi="Times New Roman" w:cs="Times New Roman" w:eastAsiaTheme="minorEastAsia"/>
                <w:sz w:val="24"/>
                <w:u w:val="none"/>
                <w:lang w:val="en-US" w:eastAsia="zh-CN"/>
              </w:rPr>
              <w:t>41.129</w:t>
            </w:r>
            <w:r>
              <w:rPr>
                <w:rFonts w:hint="eastAsia" w:asciiTheme="minorEastAsia" w:hAnsiTheme="minorEastAsia" w:eastAsiaTheme="minorEastAsia" w:cstheme="minorEastAsia"/>
                <w:sz w:val="24"/>
                <w:u w:val="none"/>
              </w:rPr>
              <w:t>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c>
          <w:tcPr>
            <w:tcW w:w="1702" w:type="dxa"/>
            <w:vAlign w:val="center"/>
          </w:tcPr>
          <w:p>
            <w:pPr>
              <w:spacing w:after="0"/>
              <w:jc w:val="center"/>
              <w:rPr>
                <w:rFonts w:ascii="Times New Roman" w:hAnsi="Times New Roman" w:cs="Times New Roman" w:eastAsiaTheme="minorEastAsia"/>
                <w:sz w:val="24"/>
                <w:szCs w:val="24"/>
              </w:rPr>
            </w:pPr>
            <w:r>
              <w:rPr>
                <w:rFonts w:hint="eastAsia" w:asciiTheme="minorEastAsia" w:hAnsiTheme="minorEastAsia" w:eastAsiaTheme="minorEastAsia" w:cstheme="minorEastAsia"/>
                <w:sz w:val="24"/>
              </w:rPr>
              <w:t>国民经济行业类别</w:t>
            </w:r>
          </w:p>
        </w:tc>
        <w:tc>
          <w:tcPr>
            <w:tcW w:w="6996" w:type="dxa"/>
            <w:gridSpan w:val="3"/>
            <w:vAlign w:val="center"/>
          </w:tcPr>
          <w:p>
            <w:pPr>
              <w:spacing w:after="0"/>
              <w:jc w:val="center"/>
              <w:rPr>
                <w:rFonts w:ascii="Times New Roman" w:hAnsi="Times New Roman" w:cs="Times New Roman" w:eastAsiaTheme="minorEastAsia"/>
                <w:sz w:val="24"/>
                <w:szCs w:val="24"/>
              </w:rPr>
            </w:pPr>
            <w:r>
              <w:rPr>
                <w:rFonts w:hint="default" w:ascii="Times New Roman" w:hAnsi="Times New Roman" w:cs="Times New Roman"/>
                <w:sz w:val="24"/>
              </w:rPr>
              <w:t>C</w:t>
            </w:r>
            <w:r>
              <w:rPr>
                <w:rFonts w:hint="eastAsia" w:ascii="Times New Roman" w:hAnsi="Times New Roman" w:cs="Times New Roman"/>
                <w:sz w:val="24"/>
                <w:lang w:val="en-US" w:eastAsia="zh-CN"/>
              </w:rPr>
              <w:t>398</w:t>
            </w:r>
            <w:r>
              <w:rPr>
                <w:rFonts w:hint="eastAsia" w:asciiTheme="minorEastAsia" w:hAnsiTheme="minorEastAsia" w:eastAsiaTheme="minorEastAsia" w:cstheme="minorEastAsia"/>
                <w:sz w:val="24"/>
                <w:lang w:val="en-US" w:eastAsia="zh-CN"/>
              </w:rPr>
              <w:t>电子元件及电子专用材料制造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c>
          <w:tcPr>
            <w:tcW w:w="1702" w:type="dxa"/>
            <w:vAlign w:val="center"/>
          </w:tcPr>
          <w:p>
            <w:pPr>
              <w:spacing w:after="0"/>
              <w:jc w:val="center"/>
              <w:rPr>
                <w:rFonts w:ascii="Times New Roman" w:hAnsi="Times New Roman" w:cs="Times New Roman" w:eastAsiaTheme="minorEastAsia"/>
                <w:sz w:val="24"/>
                <w:szCs w:val="24"/>
              </w:rPr>
            </w:pPr>
            <w:r>
              <w:rPr>
                <w:rFonts w:ascii="Times New Roman" w:cs="Times New Roman" w:hAnsiTheme="minorEastAsia" w:eastAsiaTheme="minorEastAsia"/>
                <w:sz w:val="24"/>
                <w:szCs w:val="24"/>
              </w:rPr>
              <w:t>设计生产能力</w:t>
            </w:r>
          </w:p>
        </w:tc>
        <w:tc>
          <w:tcPr>
            <w:tcW w:w="6996" w:type="dxa"/>
            <w:gridSpan w:val="3"/>
            <w:vAlign w:val="center"/>
          </w:tcPr>
          <w:p>
            <w:pPr>
              <w:spacing w:after="0"/>
              <w:jc w:val="center"/>
              <w:rPr>
                <w:rFonts w:ascii="Times New Roman" w:hAnsi="Times New Roman" w:cs="Times New Roman" w:eastAsiaTheme="minorEastAsia"/>
                <w:sz w:val="24"/>
                <w:szCs w:val="24"/>
              </w:rPr>
            </w:pPr>
            <w:r>
              <w:rPr>
                <w:rFonts w:hint="eastAsia" w:ascii="Times New Roman" w:hAnsi="Times New Roman" w:cs="Times New Roman" w:eastAsiaTheme="minorEastAsia"/>
                <w:sz w:val="24"/>
                <w:szCs w:val="24"/>
                <w:lang w:val="en-US" w:eastAsia="zh-CN"/>
              </w:rPr>
              <w:t>氧化铝双面覆铜板324万片/年、氧化锆双面覆铜板36万片/年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c>
          <w:tcPr>
            <w:tcW w:w="1702" w:type="dxa"/>
            <w:vAlign w:val="center"/>
          </w:tcPr>
          <w:p>
            <w:pPr>
              <w:spacing w:after="0"/>
              <w:jc w:val="center"/>
              <w:rPr>
                <w:rFonts w:ascii="Times New Roman" w:hAnsi="Times New Roman" w:cs="Times New Roman" w:eastAsiaTheme="minorEastAsia"/>
                <w:sz w:val="24"/>
                <w:szCs w:val="24"/>
              </w:rPr>
            </w:pPr>
            <w:r>
              <w:rPr>
                <w:rFonts w:ascii="Times New Roman" w:cs="Times New Roman" w:hAnsiTheme="minorEastAsia" w:eastAsiaTheme="minorEastAsia"/>
                <w:sz w:val="24"/>
                <w:szCs w:val="24"/>
              </w:rPr>
              <w:t>实际生产能力</w:t>
            </w:r>
          </w:p>
        </w:tc>
        <w:tc>
          <w:tcPr>
            <w:tcW w:w="6996" w:type="dxa"/>
            <w:gridSpan w:val="3"/>
            <w:vAlign w:val="center"/>
          </w:tcPr>
          <w:p>
            <w:pPr>
              <w:spacing w:after="0"/>
              <w:jc w:val="center"/>
              <w:rPr>
                <w:rFonts w:ascii="Times New Roman" w:hAnsi="Times New Roman" w:cs="Times New Roman" w:eastAsiaTheme="minorEastAsia"/>
                <w:sz w:val="24"/>
                <w:szCs w:val="24"/>
              </w:rPr>
            </w:pPr>
            <w:r>
              <w:rPr>
                <w:rFonts w:hint="eastAsia" w:ascii="Times New Roman" w:hAnsi="Times New Roman" w:cs="Times New Roman" w:eastAsiaTheme="minorEastAsia"/>
                <w:sz w:val="24"/>
                <w:szCs w:val="24"/>
                <w:lang w:val="en-US" w:eastAsia="zh-CN"/>
              </w:rPr>
              <w:t>氧化铝双面覆铜板34万片/年、氧化锆双面覆铜板4万片/年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02" w:type="dxa"/>
            <w:vAlign w:val="center"/>
          </w:tcPr>
          <w:p>
            <w:pPr>
              <w:spacing w:after="0"/>
              <w:jc w:val="center"/>
              <w:rPr>
                <w:rFonts w:ascii="Times New Roman" w:hAnsi="Times New Roman" w:cs="Times New Roman" w:eastAsiaTheme="minorEastAsia"/>
                <w:sz w:val="24"/>
                <w:szCs w:val="24"/>
              </w:rPr>
            </w:pPr>
            <w:r>
              <w:rPr>
                <w:rFonts w:ascii="Times New Roman" w:cs="Times New Roman" w:hAnsiTheme="minorEastAsia" w:eastAsiaTheme="minorEastAsia"/>
                <w:sz w:val="24"/>
                <w:szCs w:val="24"/>
              </w:rPr>
              <w:t>建设项目环评时间</w:t>
            </w:r>
          </w:p>
        </w:tc>
        <w:tc>
          <w:tcPr>
            <w:tcW w:w="2149" w:type="dxa"/>
            <w:vAlign w:val="center"/>
          </w:tcPr>
          <w:p>
            <w:pPr>
              <w:spacing w:after="0"/>
              <w:jc w:val="center"/>
              <w:rPr>
                <w:rFonts w:hint="default"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2023.6.2</w:t>
            </w:r>
          </w:p>
        </w:tc>
        <w:tc>
          <w:tcPr>
            <w:tcW w:w="2516" w:type="dxa"/>
            <w:vAlign w:val="center"/>
          </w:tcPr>
          <w:p>
            <w:pPr>
              <w:spacing w:after="0"/>
              <w:jc w:val="center"/>
              <w:rPr>
                <w:rFonts w:ascii="Times New Roman" w:hAnsi="Times New Roman" w:cs="Times New Roman" w:eastAsiaTheme="minorEastAsia"/>
                <w:sz w:val="24"/>
                <w:szCs w:val="24"/>
              </w:rPr>
            </w:pPr>
            <w:r>
              <w:rPr>
                <w:rFonts w:ascii="Times New Roman" w:cs="Times New Roman" w:hAnsiTheme="minorEastAsia" w:eastAsiaTheme="minorEastAsia"/>
                <w:sz w:val="24"/>
                <w:szCs w:val="24"/>
              </w:rPr>
              <w:t>开工建设时间</w:t>
            </w:r>
          </w:p>
        </w:tc>
        <w:tc>
          <w:tcPr>
            <w:tcW w:w="2331" w:type="dxa"/>
            <w:vAlign w:val="center"/>
          </w:tcPr>
          <w:p>
            <w:pPr>
              <w:spacing w:after="0"/>
              <w:jc w:val="center"/>
              <w:rPr>
                <w:rFonts w:hint="default"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2023.5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c>
          <w:tcPr>
            <w:tcW w:w="1702" w:type="dxa"/>
            <w:vAlign w:val="center"/>
          </w:tcPr>
          <w:p>
            <w:pPr>
              <w:spacing w:after="0"/>
              <w:jc w:val="center"/>
              <w:rPr>
                <w:rFonts w:ascii="Times New Roman" w:hAnsi="Times New Roman" w:cs="Times New Roman" w:eastAsiaTheme="minorEastAsia"/>
                <w:sz w:val="24"/>
                <w:szCs w:val="24"/>
              </w:rPr>
            </w:pPr>
            <w:r>
              <w:rPr>
                <w:rFonts w:ascii="Times New Roman" w:cs="Times New Roman" w:hAnsiTheme="minorEastAsia" w:eastAsiaTheme="minorEastAsia"/>
                <w:sz w:val="24"/>
                <w:szCs w:val="24"/>
              </w:rPr>
              <w:t>调试时间</w:t>
            </w:r>
          </w:p>
        </w:tc>
        <w:tc>
          <w:tcPr>
            <w:tcW w:w="2149" w:type="dxa"/>
            <w:vAlign w:val="center"/>
          </w:tcPr>
          <w:p>
            <w:pPr>
              <w:spacing w:after="0"/>
              <w:jc w:val="center"/>
              <w:rPr>
                <w:rFonts w:hint="default" w:ascii="Times New Roman" w:hAnsi="Times New Roman" w:eastAsia="微软雅黑" w:cs="Times New Roman"/>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2023.</w:t>
            </w:r>
            <w:r>
              <w:rPr>
                <w:rFonts w:hint="eastAsia" w:ascii="Times New Roman" w:hAnsi="Times New Roman" w:cs="Times New Roman" w:eastAsiaTheme="minorEastAsia"/>
                <w:sz w:val="24"/>
                <w:szCs w:val="24"/>
                <w:highlight w:val="none"/>
                <w:lang w:val="en-US" w:eastAsia="zh-CN"/>
              </w:rPr>
              <w:t>5</w:t>
            </w:r>
            <w:r>
              <w:rPr>
                <w:rFonts w:hint="eastAsia" w:ascii="Times New Roman" w:hAnsi="Times New Roman" w:cs="Times New Roman"/>
                <w:sz w:val="24"/>
                <w:szCs w:val="24"/>
                <w:highlight w:val="none"/>
                <w:lang w:val="en-US" w:eastAsia="zh-CN"/>
              </w:rPr>
              <w:t>-2023.8</w:t>
            </w:r>
          </w:p>
        </w:tc>
        <w:tc>
          <w:tcPr>
            <w:tcW w:w="2516" w:type="dxa"/>
            <w:vAlign w:val="center"/>
          </w:tcPr>
          <w:p>
            <w:pPr>
              <w:spacing w:after="0"/>
              <w:jc w:val="center"/>
              <w:rPr>
                <w:rFonts w:ascii="Times New Roman" w:hAnsi="Times New Roman" w:cs="Times New Roman" w:eastAsiaTheme="minorEastAsia"/>
                <w:sz w:val="24"/>
                <w:szCs w:val="24"/>
                <w:highlight w:val="none"/>
              </w:rPr>
            </w:pPr>
            <w:r>
              <w:rPr>
                <w:rFonts w:ascii="Times New Roman" w:cs="Times New Roman" w:hAnsiTheme="minorEastAsia" w:eastAsiaTheme="minorEastAsia"/>
                <w:sz w:val="24"/>
                <w:szCs w:val="24"/>
                <w:highlight w:val="none"/>
              </w:rPr>
              <w:t>验收现场监测时间</w:t>
            </w:r>
          </w:p>
        </w:tc>
        <w:tc>
          <w:tcPr>
            <w:tcW w:w="2331" w:type="dxa"/>
            <w:vAlign w:val="center"/>
          </w:tcPr>
          <w:p>
            <w:pPr>
              <w:spacing w:after="0"/>
              <w:jc w:val="center"/>
              <w:rPr>
                <w:rFonts w:hint="default" w:ascii="Times New Roman" w:hAnsi="Times New Roman" w:eastAsia="微软雅黑" w:cs="Times New Roman"/>
                <w:sz w:val="24"/>
                <w:szCs w:val="24"/>
                <w:highlight w:val="none"/>
                <w:lang w:val="en-US" w:eastAsia="zh-CN"/>
              </w:rPr>
            </w:pPr>
            <w:r>
              <w:rPr>
                <w:rFonts w:hint="eastAsia" w:ascii="Times New Roman" w:hAnsi="Times New Roman" w:cs="Times New Roman"/>
                <w:sz w:val="24"/>
                <w:szCs w:val="24"/>
                <w:highlight w:val="none"/>
                <w:lang w:val="en-US" w:eastAsia="zh-CN"/>
              </w:rPr>
              <w:t>2023.5.31-2023.6.1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c>
          <w:tcPr>
            <w:tcW w:w="1702" w:type="dxa"/>
            <w:vAlign w:val="center"/>
          </w:tcPr>
          <w:p>
            <w:pPr>
              <w:spacing w:after="0"/>
              <w:jc w:val="center"/>
              <w:rPr>
                <w:rFonts w:ascii="Times New Roman" w:hAnsi="Times New Roman" w:cs="Times New Roman" w:eastAsiaTheme="minorEastAsia"/>
                <w:sz w:val="24"/>
                <w:szCs w:val="24"/>
              </w:rPr>
            </w:pPr>
            <w:r>
              <w:rPr>
                <w:rFonts w:ascii="Times New Roman" w:cs="Times New Roman" w:hAnsiTheme="minorEastAsia" w:eastAsiaTheme="minorEastAsia"/>
                <w:sz w:val="24"/>
                <w:szCs w:val="24"/>
              </w:rPr>
              <w:t>环评报告表审批部门</w:t>
            </w:r>
          </w:p>
        </w:tc>
        <w:tc>
          <w:tcPr>
            <w:tcW w:w="2149" w:type="dxa"/>
            <w:vAlign w:val="center"/>
          </w:tcPr>
          <w:p>
            <w:pPr>
              <w:spacing w:after="0"/>
              <w:jc w:val="center"/>
              <w:rPr>
                <w:rFonts w:hint="eastAsia"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rPr>
              <w:t>六安</w:t>
            </w:r>
            <w:r>
              <w:rPr>
                <w:rFonts w:hint="eastAsia" w:ascii="Times New Roman" w:hAnsi="Times New Roman" w:cs="Times New Roman" w:eastAsiaTheme="minorEastAsia"/>
                <w:sz w:val="24"/>
                <w:szCs w:val="24"/>
                <w:lang w:val="en-US" w:eastAsia="zh-CN"/>
              </w:rPr>
              <w:t>市金寨县</w:t>
            </w:r>
          </w:p>
          <w:p>
            <w:pPr>
              <w:spacing w:after="0"/>
              <w:jc w:val="center"/>
              <w:rPr>
                <w:rFonts w:ascii="Times New Roman" w:hAnsi="Times New Roman" w:cs="Times New Roman" w:eastAsiaTheme="minorEastAsia"/>
                <w:sz w:val="24"/>
                <w:szCs w:val="24"/>
              </w:rPr>
            </w:pPr>
            <w:r>
              <w:rPr>
                <w:rFonts w:hint="eastAsia" w:ascii="Times New Roman" w:hAnsi="Times New Roman" w:cs="Times New Roman" w:eastAsiaTheme="minorEastAsia"/>
                <w:sz w:val="24"/>
                <w:szCs w:val="24"/>
                <w:lang w:val="en-US" w:eastAsia="zh-CN"/>
              </w:rPr>
              <w:t>生态</w:t>
            </w:r>
            <w:r>
              <w:rPr>
                <w:rFonts w:hint="eastAsia" w:ascii="Times New Roman" w:hAnsi="Times New Roman" w:cs="Times New Roman" w:eastAsiaTheme="minorEastAsia"/>
                <w:sz w:val="24"/>
                <w:szCs w:val="24"/>
              </w:rPr>
              <w:t>环境分局</w:t>
            </w:r>
          </w:p>
        </w:tc>
        <w:tc>
          <w:tcPr>
            <w:tcW w:w="2516" w:type="dxa"/>
            <w:vAlign w:val="center"/>
          </w:tcPr>
          <w:p>
            <w:pPr>
              <w:spacing w:after="0"/>
              <w:jc w:val="center"/>
              <w:rPr>
                <w:rFonts w:ascii="Times New Roman" w:hAnsi="Times New Roman" w:cs="Times New Roman" w:eastAsiaTheme="minorEastAsia"/>
                <w:sz w:val="24"/>
                <w:szCs w:val="24"/>
              </w:rPr>
            </w:pPr>
            <w:r>
              <w:rPr>
                <w:rFonts w:ascii="Times New Roman" w:cs="Times New Roman" w:hAnsiTheme="minorEastAsia" w:eastAsiaTheme="minorEastAsia"/>
                <w:sz w:val="24"/>
                <w:szCs w:val="24"/>
              </w:rPr>
              <w:t>环评报告表编制单位</w:t>
            </w:r>
          </w:p>
        </w:tc>
        <w:tc>
          <w:tcPr>
            <w:tcW w:w="2331" w:type="dxa"/>
            <w:vAlign w:val="center"/>
          </w:tcPr>
          <w:p>
            <w:pPr>
              <w:spacing w:after="0"/>
              <w:jc w:val="center"/>
              <w:rPr>
                <w:rFonts w:hint="default"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安徽锦环环境科技有限公司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c>
          <w:tcPr>
            <w:tcW w:w="1702" w:type="dxa"/>
            <w:vAlign w:val="center"/>
          </w:tcPr>
          <w:p>
            <w:pPr>
              <w:spacing w:after="0"/>
              <w:jc w:val="center"/>
              <w:rPr>
                <w:rFonts w:ascii="Times New Roman" w:hAnsi="Times New Roman" w:cs="Times New Roman" w:eastAsiaTheme="minorEastAsia"/>
                <w:sz w:val="24"/>
                <w:szCs w:val="24"/>
              </w:rPr>
            </w:pPr>
            <w:r>
              <w:rPr>
                <w:rFonts w:ascii="Times New Roman" w:cs="Times New Roman" w:hAnsiTheme="minorEastAsia" w:eastAsiaTheme="minorEastAsia"/>
                <w:sz w:val="24"/>
                <w:szCs w:val="24"/>
              </w:rPr>
              <w:t>环保设施设计单位</w:t>
            </w:r>
          </w:p>
        </w:tc>
        <w:tc>
          <w:tcPr>
            <w:tcW w:w="2149" w:type="dxa"/>
            <w:vAlign w:val="center"/>
          </w:tcPr>
          <w:p>
            <w:pPr>
              <w:spacing w:after="0"/>
              <w:jc w:val="center"/>
              <w:rPr>
                <w:rFonts w:ascii="Times New Roman" w:hAnsi="Times New Roman" w:cs="Times New Roman" w:eastAsiaTheme="minorEastAsia"/>
                <w:sz w:val="24"/>
                <w:szCs w:val="24"/>
              </w:rPr>
            </w:pPr>
            <w:r>
              <w:rPr>
                <w:rFonts w:hint="eastAsia" w:ascii="Times New Roman" w:hAnsi="Times New Roman" w:cs="Times New Roman" w:eastAsiaTheme="minorEastAsia"/>
                <w:sz w:val="24"/>
                <w:szCs w:val="24"/>
              </w:rPr>
              <w:t>/</w:t>
            </w:r>
          </w:p>
        </w:tc>
        <w:tc>
          <w:tcPr>
            <w:tcW w:w="2516" w:type="dxa"/>
            <w:vAlign w:val="center"/>
          </w:tcPr>
          <w:p>
            <w:pPr>
              <w:spacing w:after="0"/>
              <w:jc w:val="center"/>
              <w:rPr>
                <w:rFonts w:ascii="Times New Roman" w:hAnsi="Times New Roman" w:cs="Times New Roman" w:eastAsiaTheme="minorEastAsia"/>
                <w:sz w:val="24"/>
                <w:szCs w:val="24"/>
              </w:rPr>
            </w:pPr>
            <w:r>
              <w:rPr>
                <w:rFonts w:ascii="Times New Roman" w:cs="Times New Roman" w:hAnsiTheme="minorEastAsia" w:eastAsiaTheme="minorEastAsia"/>
                <w:sz w:val="24"/>
                <w:szCs w:val="24"/>
              </w:rPr>
              <w:t>环保设施施工单位</w:t>
            </w:r>
          </w:p>
        </w:tc>
        <w:tc>
          <w:tcPr>
            <w:tcW w:w="2331" w:type="dxa"/>
            <w:vAlign w:val="center"/>
          </w:tcPr>
          <w:p>
            <w:pPr>
              <w:spacing w:after="0"/>
              <w:jc w:val="center"/>
              <w:rPr>
                <w:rFonts w:ascii="Times New Roman" w:hAnsi="Times New Roman" w:cs="Times New Roman" w:eastAsiaTheme="minorEastAsia"/>
                <w:sz w:val="24"/>
                <w:szCs w:val="24"/>
              </w:rPr>
            </w:pPr>
            <w:r>
              <w:rPr>
                <w:rFonts w:hint="eastAsia" w:ascii="Times New Roman" w:hAnsi="Times New Roman" w:cs="Times New Roman" w:eastAsia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c>
          <w:tcPr>
            <w:tcW w:w="1702" w:type="dxa"/>
            <w:vAlign w:val="center"/>
          </w:tcPr>
          <w:p>
            <w:pPr>
              <w:spacing w:after="0"/>
              <w:jc w:val="center"/>
              <w:rPr>
                <w:rFonts w:ascii="Times New Roman" w:hAnsi="Times New Roman" w:cs="Times New Roman" w:eastAsiaTheme="minorEastAsia"/>
                <w:sz w:val="24"/>
                <w:szCs w:val="24"/>
              </w:rPr>
            </w:pPr>
            <w:r>
              <w:rPr>
                <w:rFonts w:ascii="Times New Roman" w:cs="Times New Roman" w:hAnsiTheme="minorEastAsia" w:eastAsiaTheme="minorEastAsia"/>
                <w:sz w:val="24"/>
                <w:szCs w:val="24"/>
              </w:rPr>
              <w:t>投资总概算</w:t>
            </w:r>
          </w:p>
        </w:tc>
        <w:tc>
          <w:tcPr>
            <w:tcW w:w="2149" w:type="dxa"/>
            <w:vAlign w:val="center"/>
          </w:tcPr>
          <w:p>
            <w:pPr>
              <w:spacing w:after="0"/>
              <w:jc w:val="center"/>
              <w:rPr>
                <w:rFonts w:hint="default"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51000</w:t>
            </w:r>
          </w:p>
        </w:tc>
        <w:tc>
          <w:tcPr>
            <w:tcW w:w="2516" w:type="dxa"/>
            <w:vAlign w:val="center"/>
          </w:tcPr>
          <w:p>
            <w:pPr>
              <w:spacing w:after="0"/>
              <w:jc w:val="center"/>
              <w:rPr>
                <w:rFonts w:ascii="Times New Roman" w:hAnsi="Times New Roman" w:cs="Times New Roman" w:eastAsiaTheme="minorEastAsia"/>
                <w:sz w:val="24"/>
                <w:szCs w:val="24"/>
              </w:rPr>
            </w:pPr>
            <w:r>
              <w:rPr>
                <w:rFonts w:ascii="Times New Roman" w:cs="Times New Roman" w:hAnsiTheme="minorEastAsia" w:eastAsiaTheme="minorEastAsia"/>
                <w:sz w:val="24"/>
                <w:szCs w:val="24"/>
              </w:rPr>
              <w:t>环保投资总概算</w:t>
            </w:r>
          </w:p>
        </w:tc>
        <w:tc>
          <w:tcPr>
            <w:tcW w:w="2331" w:type="dxa"/>
            <w:vAlign w:val="center"/>
          </w:tcPr>
          <w:p>
            <w:pPr>
              <w:spacing w:after="0"/>
              <w:jc w:val="center"/>
              <w:rPr>
                <w:rFonts w:hint="default"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c>
          <w:tcPr>
            <w:tcW w:w="1702" w:type="dxa"/>
            <w:vAlign w:val="center"/>
          </w:tcPr>
          <w:p>
            <w:pPr>
              <w:spacing w:after="0"/>
              <w:jc w:val="center"/>
              <w:rPr>
                <w:rFonts w:ascii="Times New Roman" w:hAnsi="Times New Roman" w:cs="Times New Roman" w:eastAsiaTheme="minorEastAsia"/>
                <w:sz w:val="24"/>
                <w:szCs w:val="24"/>
              </w:rPr>
            </w:pPr>
            <w:r>
              <w:rPr>
                <w:rFonts w:ascii="Times New Roman" w:cs="Times New Roman" w:hAnsiTheme="minorEastAsia" w:eastAsiaTheme="minorEastAsia"/>
                <w:sz w:val="24"/>
                <w:szCs w:val="24"/>
              </w:rPr>
              <w:t>实际总概算</w:t>
            </w:r>
          </w:p>
        </w:tc>
        <w:tc>
          <w:tcPr>
            <w:tcW w:w="2149" w:type="dxa"/>
            <w:vAlign w:val="center"/>
          </w:tcPr>
          <w:p>
            <w:pPr>
              <w:spacing w:after="0"/>
              <w:jc w:val="center"/>
              <w:rPr>
                <w:rFonts w:hint="default"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19000</w:t>
            </w:r>
          </w:p>
        </w:tc>
        <w:tc>
          <w:tcPr>
            <w:tcW w:w="2516" w:type="dxa"/>
            <w:vAlign w:val="center"/>
          </w:tcPr>
          <w:p>
            <w:pPr>
              <w:spacing w:after="0"/>
              <w:jc w:val="center"/>
              <w:rPr>
                <w:rFonts w:ascii="Times New Roman" w:hAnsi="Times New Roman" w:cs="Times New Roman" w:eastAsiaTheme="minorEastAsia"/>
                <w:sz w:val="24"/>
                <w:szCs w:val="24"/>
              </w:rPr>
            </w:pPr>
            <w:r>
              <w:rPr>
                <w:rFonts w:ascii="Times New Roman" w:cs="Times New Roman" w:hAnsiTheme="minorEastAsia" w:eastAsiaTheme="minorEastAsia"/>
                <w:sz w:val="24"/>
                <w:szCs w:val="24"/>
              </w:rPr>
              <w:t>环保投资</w:t>
            </w:r>
          </w:p>
        </w:tc>
        <w:tc>
          <w:tcPr>
            <w:tcW w:w="2331" w:type="dxa"/>
            <w:vAlign w:val="center"/>
          </w:tcPr>
          <w:p>
            <w:pPr>
              <w:spacing w:after="0"/>
              <w:jc w:val="center"/>
              <w:rPr>
                <w:rFonts w:hint="default"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c>
          <w:tcPr>
            <w:tcW w:w="1702" w:type="dxa"/>
            <w:vAlign w:val="center"/>
          </w:tcPr>
          <w:p>
            <w:pPr>
              <w:spacing w:after="0"/>
              <w:rPr>
                <w:rFonts w:ascii="Times New Roman" w:cs="Times New Roman" w:hAnsiTheme="minorEastAsia" w:eastAsiaTheme="minorEastAsia"/>
                <w:sz w:val="24"/>
                <w:szCs w:val="24"/>
              </w:rPr>
            </w:pPr>
            <w:r>
              <w:rPr>
                <w:rFonts w:hint="eastAsia" w:ascii="Times New Roman" w:cs="Times New Roman" w:hAnsiTheme="minorEastAsia" w:eastAsiaTheme="minorEastAsia"/>
                <w:sz w:val="24"/>
                <w:szCs w:val="24"/>
              </w:rPr>
              <w:t>验收监测依据</w:t>
            </w:r>
          </w:p>
        </w:tc>
        <w:tc>
          <w:tcPr>
            <w:tcW w:w="6996" w:type="dxa"/>
            <w:gridSpan w:val="3"/>
            <w:vAlign w:val="center"/>
          </w:tcPr>
          <w:p>
            <w:pPr>
              <w:spacing w:after="0" w:line="360" w:lineRule="auto"/>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1、相关法律、法规</w:t>
            </w:r>
          </w:p>
          <w:p>
            <w:pPr>
              <w:spacing w:after="0"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（1）《中华人民共和国大气污染防治法》；</w:t>
            </w:r>
          </w:p>
          <w:p>
            <w:pPr>
              <w:spacing w:after="0"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（2）《中华人民共和国水污染防治法》；</w:t>
            </w:r>
          </w:p>
          <w:p>
            <w:pPr>
              <w:spacing w:after="0"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（3）《中华人民共和国噪声污染防治法》；</w:t>
            </w:r>
          </w:p>
          <w:p>
            <w:pPr>
              <w:spacing w:after="0"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（4）《中华人民共和国固体废物污染环境防治法》。</w:t>
            </w:r>
          </w:p>
          <w:p>
            <w:pPr>
              <w:spacing w:after="0" w:line="360" w:lineRule="auto"/>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2、验收相关文件、条例</w:t>
            </w:r>
          </w:p>
          <w:p>
            <w:pPr>
              <w:spacing w:after="0"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（1）国务院第682号令《建设项目环境保护管理条例》；</w:t>
            </w:r>
          </w:p>
          <w:p>
            <w:pPr>
              <w:spacing w:after="0"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（2）环境保护部文件国环规环评[2017]4号《关于发布建设项目竣工环境保护验收暂行办法》；</w:t>
            </w:r>
          </w:p>
          <w:p>
            <w:pPr>
              <w:spacing w:after="0"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（3）《建设项目竣工环境保护验收技术指南 污染影响类》（生态环境部2018年第9号公告）。</w:t>
            </w:r>
          </w:p>
          <w:p>
            <w:pPr>
              <w:spacing w:after="0" w:line="360" w:lineRule="auto"/>
              <w:jc w:val="both"/>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3、开展验收工作相关文件</w:t>
            </w:r>
          </w:p>
          <w:p>
            <w:pPr>
              <w:spacing w:after="0" w:line="360" w:lineRule="auto"/>
              <w:ind w:firstLine="480" w:firstLineChars="200"/>
              <w:jc w:val="both"/>
              <w:rPr>
                <w:rFonts w:ascii="Times New Roman" w:hAnsi="Times New Roman" w:cs="Times New Roman" w:eastAsiaTheme="minorEastAsia"/>
                <w:sz w:val="24"/>
                <w:szCs w:val="24"/>
              </w:rPr>
            </w:pPr>
            <w:r>
              <w:rPr>
                <w:rFonts w:ascii="Times New Roman" w:hAnsi="Times New Roman" w:cs="Times New Roman" w:eastAsiaTheme="minorEastAsia"/>
                <w:sz w:val="24"/>
                <w:szCs w:val="24"/>
              </w:rPr>
              <w:t>（1）</w:t>
            </w:r>
            <w:r>
              <w:rPr>
                <w:rFonts w:hint="eastAsia" w:ascii="Times New Roman" w:hAnsi="Times New Roman" w:cs="Times New Roman" w:eastAsiaTheme="minorEastAsia"/>
                <w:sz w:val="24"/>
                <w:szCs w:val="24"/>
                <w:lang w:val="en-US" w:eastAsia="zh-CN"/>
              </w:rPr>
              <w:t>安徽锦环环境科技有限公司编制的《安徽思睿辰新材料有限公司陶瓷覆铜板项目环境影响报告表》，2023.06</w:t>
            </w:r>
            <w:r>
              <w:rPr>
                <w:rFonts w:ascii="Times New Roman" w:hAnsi="Times New Roman" w:cs="Times New Roman" w:eastAsiaTheme="minorEastAsia"/>
                <w:sz w:val="24"/>
                <w:szCs w:val="24"/>
              </w:rPr>
              <w:t>；</w:t>
            </w:r>
          </w:p>
          <w:p>
            <w:pPr>
              <w:spacing w:after="0" w:line="360" w:lineRule="auto"/>
              <w:ind w:firstLine="480" w:firstLineChars="200"/>
              <w:jc w:val="both"/>
              <w:rPr>
                <w:rFonts w:ascii="Times New Roman" w:hAnsi="Times New Roman" w:cs="Times New Roman" w:eastAsiaTheme="minorEastAsia"/>
                <w:sz w:val="24"/>
                <w:szCs w:val="24"/>
              </w:rPr>
            </w:pPr>
            <w:r>
              <w:rPr>
                <w:rFonts w:hint="eastAsia" w:ascii="Times New Roman" w:hAnsi="Times New Roman" w:cs="Times New Roman" w:eastAsiaTheme="minorEastAsia"/>
                <w:sz w:val="24"/>
                <w:szCs w:val="24"/>
              </w:rPr>
              <w:t>（2）</w:t>
            </w:r>
            <w:r>
              <w:rPr>
                <w:rFonts w:hint="eastAsia" w:ascii="Times New Roman" w:hAnsi="Times New Roman" w:cs="Times New Roman" w:eastAsiaTheme="minorEastAsia"/>
                <w:sz w:val="24"/>
                <w:szCs w:val="24"/>
                <w:lang w:val="en-US" w:eastAsia="zh-CN"/>
              </w:rPr>
              <w:t>六安市金寨县生态环境分</w:t>
            </w:r>
            <w:r>
              <w:rPr>
                <w:rFonts w:hint="eastAsia" w:ascii="Times New Roman" w:hAnsi="Times New Roman" w:cs="Times New Roman" w:eastAsiaTheme="minorEastAsia"/>
                <w:sz w:val="24"/>
                <w:szCs w:val="24"/>
              </w:rPr>
              <w:t>局《</w:t>
            </w:r>
            <w:r>
              <w:rPr>
                <w:rFonts w:hint="eastAsia" w:ascii="Times New Roman" w:hAnsi="Times New Roman" w:cs="Times New Roman" w:eastAsiaTheme="minorEastAsia"/>
                <w:sz w:val="24"/>
                <w:szCs w:val="24"/>
                <w:lang w:val="en-US" w:eastAsia="zh-CN"/>
              </w:rPr>
              <w:t>安徽思睿辰新材料有限公司陶瓷覆铜板项目环境影响报告表的</w:t>
            </w:r>
            <w:r>
              <w:rPr>
                <w:rFonts w:hint="eastAsia" w:ascii="Times New Roman" w:hAnsi="Times New Roman" w:cs="Times New Roman" w:eastAsiaTheme="minorEastAsia"/>
                <w:sz w:val="24"/>
                <w:szCs w:val="24"/>
              </w:rPr>
              <w:t>批复》（</w:t>
            </w:r>
            <w:r>
              <w:rPr>
                <w:rFonts w:hint="eastAsia" w:ascii="Times New Roman" w:hAnsi="Times New Roman" w:cs="Times New Roman" w:eastAsiaTheme="minorEastAsia"/>
                <w:sz w:val="24"/>
                <w:szCs w:val="24"/>
                <w:lang w:val="en-US" w:eastAsia="zh-CN"/>
              </w:rPr>
              <w:t>金环审</w:t>
            </w:r>
            <w:r>
              <w:rPr>
                <w:rFonts w:hint="eastAsia" w:ascii="Times New Roman" w:hAnsi="Times New Roman" w:cs="Times New Roman" w:eastAsiaTheme="minorEastAsia"/>
                <w:sz w:val="24"/>
                <w:szCs w:val="24"/>
              </w:rPr>
              <w:t>[20</w:t>
            </w:r>
            <w:r>
              <w:rPr>
                <w:rFonts w:hint="eastAsia" w:ascii="Times New Roman" w:hAnsi="Times New Roman" w:cs="Times New Roman" w:eastAsiaTheme="minorEastAsia"/>
                <w:sz w:val="24"/>
                <w:szCs w:val="24"/>
                <w:lang w:val="en-US" w:eastAsia="zh-CN"/>
              </w:rPr>
              <w:t>23</w:t>
            </w:r>
            <w:r>
              <w:rPr>
                <w:rFonts w:hint="eastAsia" w:ascii="Times New Roman" w:hAnsi="Times New Roman" w:cs="Times New Roman" w:eastAsiaTheme="minorEastAsia"/>
                <w:sz w:val="24"/>
                <w:szCs w:val="24"/>
              </w:rPr>
              <w:t>]</w:t>
            </w:r>
            <w:r>
              <w:rPr>
                <w:rFonts w:hint="eastAsia" w:ascii="Times New Roman" w:hAnsi="Times New Roman" w:cs="Times New Roman" w:eastAsiaTheme="minorEastAsia"/>
                <w:sz w:val="24"/>
                <w:szCs w:val="24"/>
                <w:lang w:val="en-US" w:eastAsia="zh-CN"/>
              </w:rPr>
              <w:t>38</w:t>
            </w:r>
            <w:r>
              <w:rPr>
                <w:rFonts w:hint="eastAsia" w:ascii="Times New Roman" w:hAnsi="Times New Roman" w:cs="Times New Roman" w:eastAsiaTheme="minorEastAsia"/>
                <w:sz w:val="24"/>
                <w:szCs w:val="24"/>
              </w:rPr>
              <w:t>号）</w:t>
            </w:r>
            <w:r>
              <w:rPr>
                <w:rFonts w:ascii="Times New Roman" w:hAnsi="Times New Roman" w:cs="Times New Roman" w:eastAsiaTheme="minorEastAsia"/>
                <w:sz w:val="24"/>
                <w:szCs w:val="24"/>
              </w:rPr>
              <w:t>；</w:t>
            </w:r>
          </w:p>
          <w:p>
            <w:pPr>
              <w:spacing w:after="0"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w:t>
            </w:r>
            <w:r>
              <w:rPr>
                <w:rFonts w:hint="eastAsia" w:ascii="Times New Roman" w:hAnsi="Times New Roman" w:cs="Times New Roman" w:eastAsiaTheme="minorEastAsia"/>
                <w:sz w:val="24"/>
                <w:szCs w:val="24"/>
                <w:lang w:val="en-US" w:eastAsia="zh-CN"/>
              </w:rPr>
              <w:t>3</w:t>
            </w:r>
            <w:r>
              <w:rPr>
                <w:rFonts w:ascii="Times New Roman" w:hAnsi="Times New Roman" w:cs="Times New Roman" w:eastAsiaTheme="minorEastAsia"/>
                <w:sz w:val="24"/>
                <w:szCs w:val="24"/>
              </w:rPr>
              <w:t>）验收监测方案</w:t>
            </w:r>
            <w:r>
              <w:rPr>
                <w:rFonts w:hint="eastAsia" w:ascii="Times New Roman" w:hAnsi="Times New Roman" w:cs="Times New Roman" w:eastAsiaTheme="minorEastAsia"/>
                <w:sz w:val="24"/>
                <w:szCs w:val="24"/>
              </w:rPr>
              <w:t>；</w:t>
            </w:r>
          </w:p>
          <w:p>
            <w:pPr>
              <w:spacing w:after="0" w:line="360" w:lineRule="auto"/>
              <w:ind w:firstLine="480" w:firstLineChars="200"/>
              <w:rPr>
                <w:rFonts w:hint="eastAsia" w:ascii="Times New Roman" w:hAnsi="Times New Roman" w:cs="Times New Roman" w:eastAsiaTheme="minorEastAsia"/>
                <w:sz w:val="24"/>
                <w:szCs w:val="24"/>
                <w:lang w:eastAsia="zh-CN"/>
              </w:rPr>
            </w:pPr>
            <w:r>
              <w:rPr>
                <w:rFonts w:hint="eastAsia" w:ascii="Times New Roman" w:hAnsi="Times New Roman" w:cs="Times New Roman" w:eastAsiaTheme="minorEastAsia"/>
                <w:sz w:val="24"/>
                <w:szCs w:val="24"/>
              </w:rPr>
              <w:t>（</w:t>
            </w:r>
            <w:r>
              <w:rPr>
                <w:rFonts w:hint="eastAsia" w:ascii="Times New Roman" w:hAnsi="Times New Roman" w:cs="Times New Roman" w:eastAsiaTheme="minorEastAsia"/>
                <w:sz w:val="24"/>
                <w:szCs w:val="24"/>
                <w:lang w:val="en-US" w:eastAsia="zh-CN"/>
              </w:rPr>
              <w:t>4</w:t>
            </w:r>
            <w:r>
              <w:rPr>
                <w:rFonts w:hint="eastAsia" w:ascii="Times New Roman" w:hAnsi="Times New Roman" w:cs="Times New Roman" w:eastAsiaTheme="minorEastAsia"/>
                <w:sz w:val="24"/>
                <w:szCs w:val="24"/>
              </w:rPr>
              <w:t>）验收检测报告——噪声</w:t>
            </w:r>
            <w:r>
              <w:rPr>
                <w:rFonts w:hint="eastAsia" w:ascii="Times New Roman" w:hAnsi="Times New Roman" w:cs="Times New Roman" w:eastAsiaTheme="minorEastAsia"/>
                <w:sz w:val="24"/>
                <w:szCs w:val="24"/>
                <w:lang w:eastAsia="zh-CN"/>
              </w:rPr>
              <w:t>。</w:t>
            </w: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rPr>
                <w:rFonts w:hint="eastAsia" w:ascii="Times New Roman" w:hAnsi="Times New Roman" w:cs="Times New Roman" w:eastAsiaTheme="minorEastAsia"/>
                <w:sz w:val="24"/>
                <w:szCs w:val="24"/>
                <w:lang w:val="en-US" w:eastAsia="zh-CN"/>
              </w:rPr>
            </w:pPr>
            <w:bookmarkStart w:id="16" w:name="_GoBack"/>
            <w:bookmarkEnd w:id="1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c>
          <w:tcPr>
            <w:tcW w:w="1702" w:type="dxa"/>
            <w:vAlign w:val="center"/>
          </w:tcPr>
          <w:p>
            <w:pPr>
              <w:spacing w:after="0"/>
              <w:rPr>
                <w:rFonts w:ascii="Times New Roman" w:cs="Times New Roman" w:hAnsiTheme="minorEastAsia" w:eastAsiaTheme="minorEastAsia"/>
                <w:sz w:val="24"/>
                <w:szCs w:val="24"/>
              </w:rPr>
            </w:pPr>
            <w:r>
              <w:rPr>
                <w:rFonts w:hint="eastAsia" w:ascii="Times New Roman" w:cs="Times New Roman" w:hAnsiTheme="minorEastAsia" w:eastAsiaTheme="minorEastAsia"/>
                <w:sz w:val="24"/>
                <w:szCs w:val="24"/>
              </w:rPr>
              <w:t>验收监测</w:t>
            </w:r>
            <w:r>
              <w:rPr>
                <w:rFonts w:ascii="Times New Roman" w:cs="Times New Roman" w:hAnsiTheme="minorEastAsia" w:eastAsiaTheme="minorEastAsia"/>
                <w:sz w:val="24"/>
                <w:szCs w:val="24"/>
              </w:rPr>
              <w:t>评价标准、标号、级别、限值</w:t>
            </w:r>
          </w:p>
        </w:tc>
        <w:tc>
          <w:tcPr>
            <w:tcW w:w="6996" w:type="dxa"/>
            <w:gridSpan w:val="3"/>
            <w:vAlign w:val="center"/>
          </w:tcPr>
          <w:p>
            <w:pPr>
              <w:spacing w:after="0" w:line="360" w:lineRule="auto"/>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1、环境质量标准</w:t>
            </w:r>
          </w:p>
          <w:p>
            <w:pPr>
              <w:spacing w:after="0" w:line="360" w:lineRule="auto"/>
              <w:ind w:firstLine="480" w:firstLineChars="200"/>
              <w:rPr>
                <w:rFonts w:ascii="Times New Roman" w:hAnsi="Times New Roman" w:cs="Times New Roman" w:eastAsiaTheme="minorEastAsia"/>
                <w:sz w:val="24"/>
                <w:szCs w:val="24"/>
              </w:rPr>
            </w:pPr>
            <w:r>
              <w:rPr>
                <w:rFonts w:hint="eastAsia" w:ascii="Times New Roman" w:hAnsi="Times New Roman" w:cs="Times New Roman" w:eastAsiaTheme="minorEastAsia"/>
                <w:sz w:val="24"/>
                <w:szCs w:val="24"/>
              </w:rPr>
              <w:t>（1）大气环境</w:t>
            </w:r>
          </w:p>
          <w:p>
            <w:pPr>
              <w:spacing w:after="0" w:line="360" w:lineRule="auto"/>
              <w:ind w:firstLine="480" w:firstLineChars="200"/>
              <w:jc w:val="both"/>
              <w:rPr>
                <w:rFonts w:ascii="Times New Roman" w:hAnsi="Times New Roman" w:cs="Times New Roman" w:eastAsiaTheme="minorEastAsia"/>
                <w:sz w:val="24"/>
                <w:szCs w:val="24"/>
              </w:rPr>
            </w:pPr>
            <w:r>
              <w:rPr>
                <w:rFonts w:ascii="Times New Roman" w:hAnsi="Times New Roman" w:cs="Times New Roman" w:eastAsiaTheme="minorEastAsia"/>
                <w:sz w:val="24"/>
                <w:szCs w:val="24"/>
              </w:rPr>
              <w:t>项目所在地环境空气质量执行《环境空气质量标准》（GB3095-2012）</w:t>
            </w:r>
            <w:r>
              <w:rPr>
                <w:rFonts w:hint="eastAsia" w:ascii="Times New Roman" w:hAnsi="Times New Roman" w:cs="Times New Roman" w:eastAsiaTheme="minorEastAsia"/>
                <w:sz w:val="24"/>
                <w:szCs w:val="24"/>
              </w:rPr>
              <w:t>及2018年修改单</w:t>
            </w:r>
            <w:r>
              <w:rPr>
                <w:rFonts w:ascii="Times New Roman" w:hAnsi="Times New Roman" w:cs="Times New Roman" w:eastAsiaTheme="minorEastAsia"/>
                <w:sz w:val="24"/>
                <w:szCs w:val="24"/>
              </w:rPr>
              <w:t>中的二级标准，各污染物具体标准值浓度限值见表1.</w:t>
            </w:r>
            <w:r>
              <w:rPr>
                <w:rFonts w:hint="eastAsia" w:ascii="Times New Roman" w:hAnsi="Times New Roman" w:cs="Times New Roman" w:eastAsiaTheme="minorEastAsia"/>
                <w:sz w:val="24"/>
                <w:szCs w:val="24"/>
              </w:rPr>
              <w:t>1。</w:t>
            </w:r>
          </w:p>
          <w:p>
            <w:pPr>
              <w:wordWrap w:val="0"/>
              <w:spacing w:after="0"/>
              <w:jc w:val="right"/>
              <w:rPr>
                <w:rFonts w:ascii="Times New Roman" w:hAnsi="Times New Roman" w:cs="Times New Roman" w:eastAsiaTheme="minorEastAsia"/>
                <w:b/>
                <w:sz w:val="24"/>
                <w:szCs w:val="24"/>
              </w:rPr>
            </w:pPr>
            <w:r>
              <w:rPr>
                <w:rFonts w:ascii="Times New Roman" w:cs="Times New Roman" w:hAnsiTheme="minorEastAsia" w:eastAsiaTheme="minorEastAsia"/>
                <w:b/>
                <w:sz w:val="24"/>
                <w:szCs w:val="24"/>
              </w:rPr>
              <w:t>表</w:t>
            </w:r>
            <w:r>
              <w:rPr>
                <w:rFonts w:ascii="Times New Roman" w:hAnsi="Times New Roman" w:cs="Times New Roman" w:eastAsiaTheme="minorEastAsia"/>
                <w:b/>
                <w:sz w:val="24"/>
                <w:szCs w:val="24"/>
              </w:rPr>
              <w:t>1.</w:t>
            </w:r>
            <w:r>
              <w:rPr>
                <w:rFonts w:hint="eastAsia" w:ascii="Times New Roman" w:hAnsi="Times New Roman" w:cs="Times New Roman" w:eastAsiaTheme="minorEastAsia"/>
                <w:b/>
                <w:sz w:val="24"/>
                <w:szCs w:val="24"/>
              </w:rPr>
              <w:t xml:space="preserve">1 </w:t>
            </w:r>
            <w:r>
              <w:rPr>
                <w:rFonts w:ascii="Times New Roman" w:hAnsi="Times New Roman" w:cs="Times New Roman" w:eastAsiaTheme="minorEastAsia"/>
                <w:b/>
                <w:sz w:val="24"/>
                <w:szCs w:val="24"/>
              </w:rPr>
              <w:t xml:space="preserve">  </w:t>
            </w:r>
            <w:r>
              <w:rPr>
                <w:rFonts w:ascii="Times New Roman" w:cs="Times New Roman" w:hAnsiTheme="minorEastAsia" w:eastAsiaTheme="minorEastAsia"/>
                <w:b/>
                <w:sz w:val="24"/>
                <w:szCs w:val="24"/>
              </w:rPr>
              <w:t>环境空气质量标准</w:t>
            </w:r>
            <w:r>
              <w:rPr>
                <w:rFonts w:ascii="Times New Roman" w:hAnsi="Times New Roman" w:cs="Times New Roman" w:eastAsiaTheme="minorEastAsia"/>
                <w:b/>
                <w:sz w:val="24"/>
                <w:szCs w:val="24"/>
              </w:rPr>
              <w:t xml:space="preserve">  </w:t>
            </w:r>
            <w:r>
              <w:rPr>
                <w:rFonts w:hint="eastAsia" w:ascii="Times New Roman" w:hAnsi="Times New Roman" w:cs="Times New Roman" w:eastAsiaTheme="minorEastAsia"/>
                <w:b/>
                <w:sz w:val="24"/>
                <w:szCs w:val="24"/>
              </w:rPr>
              <w:t xml:space="preserve">      </w:t>
            </w:r>
            <w:r>
              <w:rPr>
                <w:rFonts w:ascii="Times New Roman" w:hAnsi="Times New Roman" w:cs="Times New Roman" w:eastAsiaTheme="minorEastAsia"/>
                <w:b/>
                <w:sz w:val="24"/>
                <w:szCs w:val="24"/>
              </w:rPr>
              <w:t xml:space="preserve">        </w:t>
            </w:r>
            <w:r>
              <w:rPr>
                <w:rFonts w:ascii="Times New Roman" w:cs="Times New Roman" w:hAnsiTheme="minorEastAsia" w:eastAsiaTheme="minorEastAsia"/>
                <w:b/>
                <w:sz w:val="24"/>
                <w:szCs w:val="24"/>
              </w:rPr>
              <w:t>单位：</w:t>
            </w:r>
            <w:r>
              <w:rPr>
                <w:rFonts w:ascii="Times New Roman" w:hAnsi="Times New Roman" w:cs="Times New Roman" w:eastAsiaTheme="minorEastAsia"/>
                <w:b/>
                <w:sz w:val="24"/>
                <w:szCs w:val="24"/>
              </w:rPr>
              <w:t>μg/m</w:t>
            </w:r>
            <w:r>
              <w:rPr>
                <w:rFonts w:ascii="Times New Roman" w:hAnsi="Times New Roman" w:cs="Times New Roman" w:eastAsiaTheme="minorEastAsia"/>
                <w:b/>
                <w:sz w:val="24"/>
                <w:szCs w:val="24"/>
                <w:vertAlign w:val="superscript"/>
              </w:rPr>
              <w:t>3</w:t>
            </w:r>
          </w:p>
          <w:tbl>
            <w:tblPr>
              <w:tblStyle w:val="14"/>
              <w:tblW w:w="66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79"/>
              <w:gridCol w:w="1414"/>
              <w:gridCol w:w="1247"/>
              <w:gridCol w:w="22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1781"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b/>
                      <w:sz w:val="21"/>
                      <w:szCs w:val="21"/>
                    </w:rPr>
                  </w:pPr>
                  <w:r>
                    <w:rPr>
                      <w:rFonts w:ascii="Times New Roman" w:cs="Times New Roman" w:hAnsiTheme="minorEastAsia" w:eastAsiaTheme="minorEastAsia"/>
                      <w:b/>
                      <w:sz w:val="21"/>
                      <w:szCs w:val="21"/>
                    </w:rPr>
                    <w:t>污染物名称</w:t>
                  </w:r>
                </w:p>
              </w:tc>
              <w:tc>
                <w:tcPr>
                  <w:tcW w:w="1416"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b/>
                      <w:sz w:val="21"/>
                      <w:szCs w:val="21"/>
                    </w:rPr>
                  </w:pPr>
                  <w:r>
                    <w:rPr>
                      <w:rFonts w:ascii="Times New Roman" w:cs="Times New Roman" w:hAnsiTheme="minorEastAsia" w:eastAsiaTheme="minorEastAsia"/>
                      <w:b/>
                      <w:sz w:val="21"/>
                      <w:szCs w:val="21"/>
                    </w:rPr>
                    <w:t>取值时间</w:t>
                  </w:r>
                </w:p>
              </w:tc>
              <w:tc>
                <w:tcPr>
                  <w:tcW w:w="1243"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b/>
                      <w:sz w:val="21"/>
                      <w:szCs w:val="21"/>
                    </w:rPr>
                  </w:pPr>
                  <w:r>
                    <w:rPr>
                      <w:rFonts w:ascii="Times New Roman" w:cs="Times New Roman" w:hAnsiTheme="minorEastAsia" w:eastAsiaTheme="minorEastAsia"/>
                      <w:b/>
                      <w:sz w:val="21"/>
                      <w:szCs w:val="21"/>
                    </w:rPr>
                    <w:t>浓度限值</w:t>
                  </w:r>
                </w:p>
              </w:tc>
              <w:tc>
                <w:tcPr>
                  <w:tcW w:w="2219"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b/>
                      <w:sz w:val="21"/>
                      <w:szCs w:val="21"/>
                    </w:rPr>
                  </w:pPr>
                  <w:r>
                    <w:rPr>
                      <w:rFonts w:ascii="Times New Roman" w:cs="Times New Roman" w:hAnsiTheme="minorEastAsia" w:eastAsiaTheme="minorEastAsia"/>
                      <w:b/>
                      <w:sz w:val="21"/>
                      <w:szCs w:val="21"/>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1781" w:type="dxa"/>
                  <w:vMerge w:val="restart"/>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ascii="Times New Roman" w:hAnsi="Times New Roman" w:cs="Times New Roman" w:eastAsiaTheme="minorEastAsia"/>
                      <w:sz w:val="21"/>
                      <w:szCs w:val="21"/>
                    </w:rPr>
                    <w:t>SO</w:t>
                  </w:r>
                  <w:r>
                    <w:rPr>
                      <w:rFonts w:ascii="Times New Roman" w:hAnsi="Times New Roman" w:cs="Times New Roman" w:eastAsiaTheme="minorEastAsia"/>
                      <w:sz w:val="21"/>
                      <w:szCs w:val="21"/>
                      <w:vertAlign w:val="subscript"/>
                    </w:rPr>
                    <w:t>2</w:t>
                  </w:r>
                </w:p>
              </w:tc>
              <w:tc>
                <w:tcPr>
                  <w:tcW w:w="1416"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ascii="Times New Roman" w:hAnsi="Times New Roman" w:cs="Times New Roman" w:eastAsiaTheme="minorEastAsia"/>
                      <w:sz w:val="21"/>
                      <w:szCs w:val="21"/>
                    </w:rPr>
                    <w:t>24</w:t>
                  </w:r>
                  <w:r>
                    <w:rPr>
                      <w:rFonts w:ascii="Times New Roman" w:cs="Times New Roman" w:hAnsiTheme="minorEastAsia" w:eastAsiaTheme="minorEastAsia"/>
                      <w:sz w:val="21"/>
                      <w:szCs w:val="21"/>
                    </w:rPr>
                    <w:t>小时平均</w:t>
                  </w:r>
                </w:p>
              </w:tc>
              <w:tc>
                <w:tcPr>
                  <w:tcW w:w="1243"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hint="eastAsia" w:ascii="Times New Roman" w:hAnsi="Times New Roman" w:cs="Times New Roman" w:eastAsiaTheme="minorEastAsia"/>
                      <w:sz w:val="21"/>
                      <w:szCs w:val="21"/>
                    </w:rPr>
                    <w:t>150</w:t>
                  </w:r>
                </w:p>
              </w:tc>
              <w:tc>
                <w:tcPr>
                  <w:tcW w:w="2219" w:type="dxa"/>
                  <w:vMerge w:val="restart"/>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ascii="Times New Roman" w:cs="Times New Roman" w:hAnsiTheme="minorEastAsia" w:eastAsiaTheme="minorEastAsia"/>
                      <w:sz w:val="21"/>
                      <w:szCs w:val="21"/>
                    </w:rPr>
                    <w:t>《环境空气质量标准》（</w:t>
                  </w:r>
                  <w:r>
                    <w:rPr>
                      <w:rFonts w:ascii="Times New Roman" w:hAnsi="Times New Roman" w:cs="Times New Roman" w:eastAsiaTheme="minorEastAsia"/>
                      <w:sz w:val="21"/>
                      <w:szCs w:val="21"/>
                    </w:rPr>
                    <w:t>GB3095-2012</w:t>
                  </w:r>
                  <w:r>
                    <w:rPr>
                      <w:rFonts w:ascii="Times New Roman" w:cs="Times New Roman" w:hAnsiTheme="minorEastAsia" w:eastAsiaTheme="minorEastAsia"/>
                      <w:sz w:val="21"/>
                      <w:szCs w:val="21"/>
                    </w:rPr>
                    <w:t>）</w:t>
                  </w:r>
                  <w:r>
                    <w:rPr>
                      <w:rFonts w:hint="eastAsia" w:ascii="Times New Roman" w:cs="Times New Roman" w:hAnsiTheme="minorEastAsia" w:eastAsiaTheme="minorEastAsia"/>
                      <w:sz w:val="21"/>
                      <w:szCs w:val="21"/>
                    </w:rPr>
                    <w:t>及2018年修改单</w:t>
                  </w:r>
                  <w:r>
                    <w:rPr>
                      <w:rFonts w:ascii="Times New Roman" w:cs="Times New Roman" w:hAnsiTheme="minorEastAsia" w:eastAsiaTheme="minorEastAsia"/>
                      <w:sz w:val="21"/>
                      <w:szCs w:val="21"/>
                    </w:rPr>
                    <w:t>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2" w:hRule="atLeast"/>
                <w:jc w:val="center"/>
              </w:trPr>
              <w:tc>
                <w:tcPr>
                  <w:tcW w:w="1781" w:type="dxa"/>
                  <w:vMerge w:val="continue"/>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p>
              </w:tc>
              <w:tc>
                <w:tcPr>
                  <w:tcW w:w="1416"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ascii="Times New Roman" w:hAnsi="Times New Roman" w:cs="Times New Roman" w:eastAsiaTheme="minorEastAsia"/>
                      <w:sz w:val="21"/>
                      <w:szCs w:val="21"/>
                    </w:rPr>
                    <w:t>1</w:t>
                  </w:r>
                  <w:r>
                    <w:rPr>
                      <w:rFonts w:ascii="Times New Roman" w:cs="Times New Roman" w:hAnsiTheme="minorEastAsia" w:eastAsiaTheme="minorEastAsia"/>
                      <w:sz w:val="21"/>
                      <w:szCs w:val="21"/>
                    </w:rPr>
                    <w:t>小时平均</w:t>
                  </w:r>
                </w:p>
              </w:tc>
              <w:tc>
                <w:tcPr>
                  <w:tcW w:w="1243"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hint="eastAsia" w:ascii="Times New Roman" w:hAnsi="Times New Roman" w:cs="Times New Roman" w:eastAsiaTheme="minorEastAsia"/>
                      <w:sz w:val="21"/>
                      <w:szCs w:val="21"/>
                    </w:rPr>
                    <w:t>500</w:t>
                  </w:r>
                </w:p>
              </w:tc>
              <w:tc>
                <w:tcPr>
                  <w:tcW w:w="2219" w:type="dxa"/>
                  <w:vMerge w:val="continue"/>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1781" w:type="dxa"/>
                  <w:vMerge w:val="restart"/>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ascii="Times New Roman" w:hAnsi="Times New Roman" w:cs="Times New Roman" w:eastAsiaTheme="minorEastAsia"/>
                      <w:sz w:val="21"/>
                      <w:szCs w:val="21"/>
                    </w:rPr>
                    <w:t>NO</w:t>
                  </w:r>
                  <w:r>
                    <w:rPr>
                      <w:rFonts w:ascii="Times New Roman" w:hAnsi="Times New Roman" w:cs="Times New Roman" w:eastAsiaTheme="minorEastAsia"/>
                      <w:sz w:val="21"/>
                      <w:szCs w:val="21"/>
                      <w:vertAlign w:val="subscript"/>
                    </w:rPr>
                    <w:t>2</w:t>
                  </w:r>
                </w:p>
              </w:tc>
              <w:tc>
                <w:tcPr>
                  <w:tcW w:w="1416"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ascii="Times New Roman" w:hAnsi="Times New Roman" w:cs="Times New Roman" w:eastAsiaTheme="minorEastAsia"/>
                      <w:sz w:val="21"/>
                      <w:szCs w:val="21"/>
                    </w:rPr>
                    <w:t>24</w:t>
                  </w:r>
                  <w:r>
                    <w:rPr>
                      <w:rFonts w:ascii="Times New Roman" w:cs="Times New Roman" w:hAnsiTheme="minorEastAsia" w:eastAsiaTheme="minorEastAsia"/>
                      <w:sz w:val="21"/>
                      <w:szCs w:val="21"/>
                    </w:rPr>
                    <w:t>小时平均</w:t>
                  </w:r>
                </w:p>
              </w:tc>
              <w:tc>
                <w:tcPr>
                  <w:tcW w:w="1243"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hint="eastAsia" w:ascii="Times New Roman" w:hAnsi="Times New Roman" w:cs="Times New Roman" w:eastAsiaTheme="minorEastAsia"/>
                      <w:sz w:val="21"/>
                      <w:szCs w:val="21"/>
                    </w:rPr>
                    <w:t>80</w:t>
                  </w:r>
                </w:p>
              </w:tc>
              <w:tc>
                <w:tcPr>
                  <w:tcW w:w="2219" w:type="dxa"/>
                  <w:vMerge w:val="continue"/>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1781" w:type="dxa"/>
                  <w:vMerge w:val="continue"/>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p>
              </w:tc>
              <w:tc>
                <w:tcPr>
                  <w:tcW w:w="1416"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ascii="Times New Roman" w:hAnsi="Times New Roman" w:cs="Times New Roman" w:eastAsiaTheme="minorEastAsia"/>
                      <w:sz w:val="21"/>
                      <w:szCs w:val="21"/>
                    </w:rPr>
                    <w:t>1</w:t>
                  </w:r>
                  <w:r>
                    <w:rPr>
                      <w:rFonts w:ascii="Times New Roman" w:cs="Times New Roman" w:hAnsiTheme="minorEastAsia" w:eastAsiaTheme="minorEastAsia"/>
                      <w:sz w:val="21"/>
                      <w:szCs w:val="21"/>
                    </w:rPr>
                    <w:t>小时平均</w:t>
                  </w:r>
                </w:p>
              </w:tc>
              <w:tc>
                <w:tcPr>
                  <w:tcW w:w="1243"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hint="eastAsia" w:ascii="Times New Roman" w:hAnsi="Times New Roman" w:cs="Times New Roman" w:eastAsiaTheme="minorEastAsia"/>
                      <w:sz w:val="21"/>
                      <w:szCs w:val="21"/>
                    </w:rPr>
                    <w:t>200</w:t>
                  </w:r>
                </w:p>
              </w:tc>
              <w:tc>
                <w:tcPr>
                  <w:tcW w:w="2219" w:type="dxa"/>
                  <w:vMerge w:val="continue"/>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1781" w:type="dxa"/>
                  <w:vMerge w:val="restart"/>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ascii="Times New Roman" w:hAnsi="Times New Roman" w:cs="Times New Roman" w:eastAsiaTheme="minorEastAsia"/>
                      <w:sz w:val="21"/>
                      <w:szCs w:val="21"/>
                    </w:rPr>
                    <w:t>PM</w:t>
                  </w:r>
                  <w:r>
                    <w:rPr>
                      <w:rFonts w:ascii="Times New Roman" w:hAnsi="Times New Roman" w:cs="Times New Roman" w:eastAsiaTheme="minorEastAsia"/>
                      <w:sz w:val="21"/>
                      <w:szCs w:val="21"/>
                      <w:vertAlign w:val="subscript"/>
                    </w:rPr>
                    <w:t>10</w:t>
                  </w:r>
                </w:p>
              </w:tc>
              <w:tc>
                <w:tcPr>
                  <w:tcW w:w="1416"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ascii="Times New Roman" w:hAnsi="Times New Roman" w:cs="Times New Roman" w:eastAsiaTheme="minorEastAsia"/>
                      <w:sz w:val="21"/>
                      <w:szCs w:val="21"/>
                    </w:rPr>
                    <w:t>24</w:t>
                  </w:r>
                  <w:r>
                    <w:rPr>
                      <w:rFonts w:ascii="Times New Roman" w:cs="Times New Roman" w:hAnsiTheme="minorEastAsia" w:eastAsiaTheme="minorEastAsia"/>
                      <w:sz w:val="21"/>
                      <w:szCs w:val="21"/>
                    </w:rPr>
                    <w:t>小时平均</w:t>
                  </w:r>
                </w:p>
              </w:tc>
              <w:tc>
                <w:tcPr>
                  <w:tcW w:w="1243"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hint="eastAsia" w:ascii="Times New Roman" w:hAnsi="Times New Roman" w:cs="Times New Roman" w:eastAsiaTheme="minorEastAsia"/>
                      <w:sz w:val="21"/>
                      <w:szCs w:val="21"/>
                    </w:rPr>
                    <w:t>150</w:t>
                  </w:r>
                </w:p>
              </w:tc>
              <w:tc>
                <w:tcPr>
                  <w:tcW w:w="2219" w:type="dxa"/>
                  <w:vMerge w:val="continue"/>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1781" w:type="dxa"/>
                  <w:vMerge w:val="continue"/>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p>
              </w:tc>
              <w:tc>
                <w:tcPr>
                  <w:tcW w:w="1416"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ascii="Times New Roman" w:cs="Times New Roman" w:hAnsiTheme="minorEastAsia" w:eastAsiaTheme="minorEastAsia"/>
                      <w:sz w:val="21"/>
                      <w:szCs w:val="21"/>
                    </w:rPr>
                    <w:t>年平均</w:t>
                  </w:r>
                </w:p>
              </w:tc>
              <w:tc>
                <w:tcPr>
                  <w:tcW w:w="1243"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hint="eastAsia" w:ascii="Times New Roman" w:hAnsi="Times New Roman" w:cs="Times New Roman" w:eastAsiaTheme="minorEastAsia"/>
                      <w:sz w:val="21"/>
                      <w:szCs w:val="21"/>
                    </w:rPr>
                    <w:t>70</w:t>
                  </w:r>
                </w:p>
              </w:tc>
              <w:tc>
                <w:tcPr>
                  <w:tcW w:w="2219" w:type="dxa"/>
                  <w:vMerge w:val="continue"/>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1781" w:type="dxa"/>
                  <w:vMerge w:val="restart"/>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ascii="Times New Roman" w:hAnsi="Times New Roman" w:cs="Times New Roman" w:eastAsiaTheme="minorEastAsia"/>
                      <w:sz w:val="21"/>
                      <w:szCs w:val="21"/>
                    </w:rPr>
                    <w:t>PM</w:t>
                  </w:r>
                  <w:r>
                    <w:rPr>
                      <w:rFonts w:hint="eastAsia" w:ascii="Times New Roman" w:hAnsi="Times New Roman" w:cs="Times New Roman" w:eastAsiaTheme="minorEastAsia"/>
                      <w:sz w:val="21"/>
                      <w:szCs w:val="21"/>
                      <w:vertAlign w:val="subscript"/>
                      <w:lang w:val="en-US" w:eastAsia="zh-CN"/>
                    </w:rPr>
                    <w:t>2.5</w:t>
                  </w:r>
                </w:p>
              </w:tc>
              <w:tc>
                <w:tcPr>
                  <w:tcW w:w="1416"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ascii="Times New Roman" w:hAnsi="Times New Roman" w:cs="Times New Roman" w:eastAsiaTheme="minorEastAsia"/>
                      <w:sz w:val="21"/>
                      <w:szCs w:val="21"/>
                    </w:rPr>
                    <w:t>24</w:t>
                  </w:r>
                  <w:r>
                    <w:rPr>
                      <w:rFonts w:ascii="Times New Roman" w:cs="Times New Roman" w:hAnsiTheme="minorEastAsia" w:eastAsiaTheme="minorEastAsia"/>
                      <w:sz w:val="21"/>
                      <w:szCs w:val="21"/>
                    </w:rPr>
                    <w:t>小时平均</w:t>
                  </w:r>
                </w:p>
              </w:tc>
              <w:tc>
                <w:tcPr>
                  <w:tcW w:w="1243"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hint="eastAsia" w:ascii="Times New Roman" w:hAnsi="Times New Roman" w:cs="Times New Roman" w:eastAsiaTheme="minorEastAsia"/>
                      <w:sz w:val="21"/>
                      <w:szCs w:val="21"/>
                    </w:rPr>
                    <w:t>300</w:t>
                  </w:r>
                </w:p>
              </w:tc>
              <w:tc>
                <w:tcPr>
                  <w:tcW w:w="2219" w:type="dxa"/>
                  <w:vMerge w:val="continue"/>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1781" w:type="dxa"/>
                  <w:vMerge w:val="continue"/>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p>
              </w:tc>
              <w:tc>
                <w:tcPr>
                  <w:tcW w:w="1416"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ascii="Times New Roman" w:cs="Times New Roman" w:hAnsiTheme="minorEastAsia" w:eastAsiaTheme="minorEastAsia"/>
                      <w:sz w:val="21"/>
                      <w:szCs w:val="21"/>
                    </w:rPr>
                    <w:t>年平均</w:t>
                  </w:r>
                </w:p>
              </w:tc>
              <w:tc>
                <w:tcPr>
                  <w:tcW w:w="1243"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hint="eastAsia" w:ascii="Times New Roman" w:hAnsi="Times New Roman" w:cs="Times New Roman" w:eastAsiaTheme="minorEastAsia"/>
                      <w:sz w:val="21"/>
                      <w:szCs w:val="21"/>
                    </w:rPr>
                    <w:t>200</w:t>
                  </w:r>
                </w:p>
              </w:tc>
              <w:tc>
                <w:tcPr>
                  <w:tcW w:w="2219" w:type="dxa"/>
                  <w:vMerge w:val="continue"/>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1781" w:type="dxa"/>
                  <w:vMerge w:val="restart"/>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sz w:val="21"/>
                      <w:szCs w:val="21"/>
                      <w:lang w:val="en-US" w:eastAsia="zh-CN"/>
                    </w:rPr>
                  </w:pPr>
                  <w:r>
                    <w:rPr>
                      <w:rFonts w:hint="default" w:ascii="Times New Roman" w:hAnsi="Times New Roman" w:cs="Times New Roman"/>
                      <w:sz w:val="21"/>
                      <w:szCs w:val="21"/>
                    </w:rPr>
                    <w:t>CO</w:t>
                  </w:r>
                </w:p>
              </w:tc>
              <w:tc>
                <w:tcPr>
                  <w:tcW w:w="1416"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cs="Times New Roman" w:hAnsiTheme="minorEastAsia" w:eastAsiaTheme="minorEastAsia"/>
                      <w:sz w:val="21"/>
                      <w:szCs w:val="21"/>
                    </w:rPr>
                  </w:pPr>
                  <w:r>
                    <w:rPr>
                      <w:rFonts w:ascii="Times New Roman" w:hAnsi="Times New Roman" w:cs="Times New Roman" w:eastAsiaTheme="minorEastAsia"/>
                      <w:sz w:val="21"/>
                      <w:szCs w:val="21"/>
                    </w:rPr>
                    <w:t>24</w:t>
                  </w:r>
                  <w:r>
                    <w:rPr>
                      <w:rFonts w:ascii="Times New Roman" w:cs="Times New Roman" w:hAnsiTheme="minorEastAsia" w:eastAsiaTheme="minorEastAsia"/>
                      <w:sz w:val="21"/>
                      <w:szCs w:val="21"/>
                    </w:rPr>
                    <w:t>小时平均</w:t>
                  </w:r>
                </w:p>
              </w:tc>
              <w:tc>
                <w:tcPr>
                  <w:tcW w:w="1243"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4.00m</w:t>
                  </w:r>
                  <w:r>
                    <w:rPr>
                      <w:rFonts w:hint="default" w:ascii="Times New Roman" w:hAnsi="Times New Roman" w:cs="Times New Roman"/>
                      <w:sz w:val="21"/>
                      <w:szCs w:val="21"/>
                      <w:lang w:val="en-US" w:eastAsia="zh-CN"/>
                    </w:rPr>
                    <w:t>g/m</w:t>
                  </w:r>
                  <w:r>
                    <w:rPr>
                      <w:rFonts w:hint="default" w:ascii="Times New Roman" w:hAnsi="Times New Roman" w:cs="Times New Roman"/>
                      <w:sz w:val="21"/>
                      <w:szCs w:val="21"/>
                      <w:vertAlign w:val="superscript"/>
                      <w:lang w:val="en-US" w:eastAsia="zh-CN"/>
                    </w:rPr>
                    <w:t>3</w:t>
                  </w:r>
                </w:p>
              </w:tc>
              <w:tc>
                <w:tcPr>
                  <w:tcW w:w="2219" w:type="dxa"/>
                  <w:vMerge w:val="restart"/>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ascii="Times New Roman" w:cs="Times New Roman" w:hAnsiTheme="minorEastAsia" w:eastAsiaTheme="minorEastAsia"/>
                      <w:sz w:val="21"/>
                      <w:szCs w:val="21"/>
                    </w:rPr>
                    <w:t>《环境空气质量标准》（</w:t>
                  </w:r>
                  <w:r>
                    <w:rPr>
                      <w:rFonts w:ascii="Times New Roman" w:hAnsi="Times New Roman" w:cs="Times New Roman" w:eastAsiaTheme="minorEastAsia"/>
                      <w:sz w:val="21"/>
                      <w:szCs w:val="21"/>
                    </w:rPr>
                    <w:t>GB3095-2012</w:t>
                  </w:r>
                  <w:r>
                    <w:rPr>
                      <w:rFonts w:ascii="Times New Roman" w:cs="Times New Roman" w:hAnsiTheme="minorEastAsia" w:eastAsiaTheme="minorEastAsia"/>
                      <w:sz w:val="21"/>
                      <w:szCs w:val="21"/>
                    </w:rPr>
                    <w:t>）</w:t>
                  </w:r>
                  <w:r>
                    <w:rPr>
                      <w:rFonts w:hint="eastAsia" w:ascii="Times New Roman" w:cs="Times New Roman" w:hAnsiTheme="minorEastAsia" w:eastAsiaTheme="minorEastAsia"/>
                      <w:sz w:val="21"/>
                      <w:szCs w:val="21"/>
                    </w:rPr>
                    <w:t>及2018年修改单</w:t>
                  </w:r>
                  <w:r>
                    <w:rPr>
                      <w:rFonts w:ascii="Times New Roman" w:cs="Times New Roman" w:hAnsiTheme="minorEastAsia" w:eastAsiaTheme="minorEastAsia"/>
                      <w:sz w:val="21"/>
                      <w:szCs w:val="21"/>
                    </w:rPr>
                    <w:t>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1781" w:type="dxa"/>
                  <w:vMerge w:val="continue"/>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p>
              </w:tc>
              <w:tc>
                <w:tcPr>
                  <w:tcW w:w="1416"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cs="Times New Roman" w:hAnsiTheme="minorEastAsia" w:eastAsiaTheme="minorEastAsia"/>
                      <w:sz w:val="21"/>
                      <w:szCs w:val="21"/>
                    </w:rPr>
                  </w:pPr>
                  <w:r>
                    <w:rPr>
                      <w:rFonts w:ascii="Times New Roman" w:hAnsi="Times New Roman" w:cs="Times New Roman" w:eastAsiaTheme="minorEastAsia"/>
                      <w:sz w:val="21"/>
                      <w:szCs w:val="21"/>
                    </w:rPr>
                    <w:t>1</w:t>
                  </w:r>
                  <w:r>
                    <w:rPr>
                      <w:rFonts w:ascii="Times New Roman" w:cs="Times New Roman" w:hAnsiTheme="minorEastAsia" w:eastAsiaTheme="minorEastAsia"/>
                      <w:sz w:val="21"/>
                      <w:szCs w:val="21"/>
                    </w:rPr>
                    <w:t>小时平均</w:t>
                  </w:r>
                </w:p>
              </w:tc>
              <w:tc>
                <w:tcPr>
                  <w:tcW w:w="1243"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10.00m</w:t>
                  </w:r>
                  <w:r>
                    <w:rPr>
                      <w:rFonts w:hint="default" w:ascii="Times New Roman" w:hAnsi="Times New Roman" w:cs="Times New Roman"/>
                      <w:sz w:val="21"/>
                      <w:szCs w:val="21"/>
                      <w:lang w:val="en-US" w:eastAsia="zh-CN"/>
                    </w:rPr>
                    <w:t>g/m</w:t>
                  </w:r>
                  <w:r>
                    <w:rPr>
                      <w:rFonts w:hint="default" w:ascii="Times New Roman" w:hAnsi="Times New Roman" w:cs="Times New Roman"/>
                      <w:sz w:val="21"/>
                      <w:szCs w:val="21"/>
                      <w:vertAlign w:val="superscript"/>
                      <w:lang w:val="en-US" w:eastAsia="zh-CN"/>
                    </w:rPr>
                    <w:t>3</w:t>
                  </w:r>
                </w:p>
              </w:tc>
              <w:tc>
                <w:tcPr>
                  <w:tcW w:w="2219" w:type="dxa"/>
                  <w:vMerge w:val="continue"/>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1781" w:type="dxa"/>
                  <w:vMerge w:val="restart"/>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hint="default" w:ascii="Times New Roman" w:hAnsi="Times New Roman" w:cs="Times New Roman"/>
                      <w:sz w:val="21"/>
                      <w:szCs w:val="21"/>
                    </w:rPr>
                    <w:t>O</w:t>
                  </w:r>
                  <w:r>
                    <w:rPr>
                      <w:rFonts w:hint="default" w:ascii="Times New Roman" w:hAnsi="Times New Roman" w:cs="Times New Roman"/>
                      <w:sz w:val="21"/>
                      <w:szCs w:val="21"/>
                      <w:vertAlign w:val="subscript"/>
                    </w:rPr>
                    <w:t>3</w:t>
                  </w:r>
                </w:p>
              </w:tc>
              <w:tc>
                <w:tcPr>
                  <w:tcW w:w="1416"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cs="Times New Roman" w:hAnsiTheme="minorEastAsia" w:eastAsiaTheme="minorEastAsia"/>
                      <w:sz w:val="21"/>
                      <w:szCs w:val="21"/>
                      <w:lang w:val="en-US" w:eastAsia="zh-CN"/>
                    </w:rPr>
                  </w:pPr>
                  <w:r>
                    <w:rPr>
                      <w:rFonts w:hint="eastAsia" w:ascii="Times New Roman" w:cs="Times New Roman" w:hAnsiTheme="minorEastAsia" w:eastAsiaTheme="minorEastAsia"/>
                      <w:sz w:val="21"/>
                      <w:szCs w:val="21"/>
                      <w:lang w:val="en-US" w:eastAsia="zh-CN"/>
                    </w:rPr>
                    <w:t>日最大8小时平均</w:t>
                  </w:r>
                </w:p>
              </w:tc>
              <w:tc>
                <w:tcPr>
                  <w:tcW w:w="1243"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160</w:t>
                  </w:r>
                </w:p>
              </w:tc>
              <w:tc>
                <w:tcPr>
                  <w:tcW w:w="2219" w:type="dxa"/>
                  <w:vMerge w:val="continue"/>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2" w:hRule="atLeast"/>
                <w:jc w:val="center"/>
              </w:trPr>
              <w:tc>
                <w:tcPr>
                  <w:tcW w:w="1781" w:type="dxa"/>
                  <w:vMerge w:val="continue"/>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p>
              </w:tc>
              <w:tc>
                <w:tcPr>
                  <w:tcW w:w="1416"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cs="Times New Roman" w:hAnsiTheme="minorEastAsia" w:eastAsiaTheme="minorEastAsia"/>
                      <w:sz w:val="21"/>
                      <w:szCs w:val="21"/>
                    </w:rPr>
                  </w:pPr>
                  <w:r>
                    <w:rPr>
                      <w:rFonts w:ascii="Times New Roman" w:hAnsi="Times New Roman" w:cs="Times New Roman" w:eastAsiaTheme="minorEastAsia"/>
                      <w:sz w:val="21"/>
                      <w:szCs w:val="21"/>
                    </w:rPr>
                    <w:t>1</w:t>
                  </w:r>
                  <w:r>
                    <w:rPr>
                      <w:rFonts w:ascii="Times New Roman" w:cs="Times New Roman" w:hAnsiTheme="minorEastAsia" w:eastAsiaTheme="minorEastAsia"/>
                      <w:sz w:val="21"/>
                      <w:szCs w:val="21"/>
                    </w:rPr>
                    <w:t>小时平均</w:t>
                  </w:r>
                </w:p>
              </w:tc>
              <w:tc>
                <w:tcPr>
                  <w:tcW w:w="1243"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200</w:t>
                  </w:r>
                </w:p>
              </w:tc>
              <w:tc>
                <w:tcPr>
                  <w:tcW w:w="2219" w:type="dxa"/>
                  <w:vMerge w:val="continue"/>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6659" w:type="dxa"/>
                  <w:gridSpan w:val="4"/>
                  <w:vAlign w:val="center"/>
                </w:tcPr>
                <w:p>
                  <w:pPr>
                    <w:spacing w:after="0"/>
                    <w:rPr>
                      <w:rFonts w:ascii="Times New Roman" w:hAnsi="Times New Roman" w:cs="Times New Roman" w:eastAsiaTheme="minorEastAsia"/>
                      <w:sz w:val="18"/>
                      <w:szCs w:val="18"/>
                    </w:rPr>
                  </w:pPr>
                  <w:r>
                    <w:rPr>
                      <w:rFonts w:hint="eastAsia" w:ascii="Times New Roman" w:hAnsi="Times New Roman" w:cs="Times New Roman" w:eastAsiaTheme="minorEastAsia"/>
                      <w:sz w:val="18"/>
                      <w:szCs w:val="18"/>
                    </w:rPr>
                    <w:t>GB3095-2012修改单内容：标准中的二氧化硫、二氧化氮、一氧化碳、臭氧、氮氧化物等气态污染物浓度为参比状态下的浓度。</w:t>
                  </w:r>
                  <w:r>
                    <w:rPr>
                      <w:rFonts w:ascii="Times New Roman" w:hAnsi="Times New Roman" w:cs="Times New Roman" w:eastAsiaTheme="minorEastAsia"/>
                      <w:sz w:val="18"/>
                      <w:szCs w:val="18"/>
                    </w:rPr>
                    <w:t>颗粒物（粒径小于等于10μm）</w:t>
                  </w:r>
                  <w:r>
                    <w:rPr>
                      <w:rFonts w:hint="eastAsia" w:ascii="Times New Roman" w:hAnsi="Times New Roman" w:cs="Times New Roman" w:eastAsiaTheme="minorEastAsia"/>
                      <w:sz w:val="18"/>
                      <w:szCs w:val="18"/>
                    </w:rPr>
                    <w:t>、</w:t>
                  </w:r>
                  <w:r>
                    <w:rPr>
                      <w:rFonts w:ascii="Times New Roman" w:hAnsi="Times New Roman" w:cs="Times New Roman" w:eastAsiaTheme="minorEastAsia"/>
                      <w:sz w:val="18"/>
                      <w:szCs w:val="18"/>
                    </w:rPr>
                    <w:t>颗粒物（粒径小于等于</w:t>
                  </w:r>
                  <w:r>
                    <w:rPr>
                      <w:rFonts w:hint="eastAsia" w:ascii="Times New Roman" w:hAnsi="Times New Roman" w:cs="Times New Roman" w:eastAsiaTheme="minorEastAsia"/>
                      <w:sz w:val="18"/>
                      <w:szCs w:val="18"/>
                    </w:rPr>
                    <w:t>2.5</w:t>
                  </w:r>
                  <w:r>
                    <w:rPr>
                      <w:rFonts w:ascii="Times New Roman" w:hAnsi="Times New Roman" w:cs="Times New Roman" w:eastAsiaTheme="minorEastAsia"/>
                      <w:sz w:val="18"/>
                      <w:szCs w:val="18"/>
                    </w:rPr>
                    <w:t>μm）</w:t>
                  </w:r>
                  <w:r>
                    <w:rPr>
                      <w:rFonts w:hint="eastAsia" w:ascii="Times New Roman" w:hAnsi="Times New Roman" w:cs="Times New Roman" w:eastAsiaTheme="minorEastAsia"/>
                      <w:sz w:val="18"/>
                      <w:szCs w:val="18"/>
                    </w:rPr>
                    <w:t>、总悬浮颗粒物及其组分铅、苯并[α]芘等浓度为监测时大气温度和压力下的浓度。</w:t>
                  </w:r>
                </w:p>
              </w:tc>
            </w:tr>
          </w:tbl>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ascii="Times New Roman" w:hAnsi="Times New Roman" w:cs="Times New Roman" w:eastAsiaTheme="minorEastAsia"/>
                <w:sz w:val="24"/>
                <w:szCs w:val="24"/>
                <w:highlight w:val="none"/>
              </w:rPr>
            </w:pPr>
            <w:r>
              <w:rPr>
                <w:rFonts w:hint="eastAsia" w:ascii="Times New Roman" w:hAnsi="Times New Roman" w:cs="Times New Roman" w:eastAsiaTheme="minorEastAsia"/>
                <w:sz w:val="24"/>
                <w:szCs w:val="24"/>
                <w:highlight w:val="none"/>
              </w:rPr>
              <w:t>（2）地表水环境</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jc w:val="both"/>
              <w:textAlignment w:val="auto"/>
              <w:rPr>
                <w:rFonts w:ascii="Times New Roman" w:hAnsi="Times New Roman" w:cs="Times New Roman" w:eastAsiaTheme="minorEastAsia"/>
                <w:sz w:val="24"/>
                <w:szCs w:val="24"/>
                <w:highlight w:val="yellow"/>
              </w:rPr>
            </w:pPr>
            <w:r>
              <w:rPr>
                <w:rFonts w:hint="eastAsia" w:ascii="Times New Roman" w:hAnsi="Times New Roman" w:cs="Times New Roman" w:eastAsiaTheme="minorEastAsia"/>
                <w:sz w:val="24"/>
                <w:szCs w:val="24"/>
                <w:highlight w:val="none"/>
                <w:lang w:val="en-US" w:eastAsia="zh-CN"/>
              </w:rPr>
              <w:t>地表水史河区域河段水质执行</w:t>
            </w:r>
            <w:r>
              <w:rPr>
                <w:rFonts w:hint="eastAsia" w:ascii="Times New Roman" w:hAnsi="Times New Roman" w:cs="Times New Roman" w:eastAsiaTheme="minorEastAsia"/>
                <w:sz w:val="24"/>
                <w:szCs w:val="24"/>
                <w:highlight w:val="none"/>
              </w:rPr>
              <w:t>《地表水环境质量标准》（</w:t>
            </w:r>
            <w:r>
              <w:rPr>
                <w:rFonts w:ascii="Times New Roman" w:hAnsi="Times New Roman" w:cs="Times New Roman" w:eastAsiaTheme="minorEastAsia"/>
                <w:sz w:val="24"/>
                <w:szCs w:val="24"/>
                <w:highlight w:val="none"/>
              </w:rPr>
              <w:t>GB3838-2002</w:t>
            </w:r>
            <w:r>
              <w:rPr>
                <w:rFonts w:hint="eastAsia" w:ascii="Times New Roman" w:hAnsi="Times New Roman" w:cs="Times New Roman" w:eastAsiaTheme="minorEastAsia"/>
                <w:sz w:val="24"/>
                <w:szCs w:val="24"/>
                <w:highlight w:val="none"/>
              </w:rPr>
              <w:t>）Ⅲ类水质标准，</w:t>
            </w:r>
            <w:r>
              <w:rPr>
                <w:rFonts w:hint="eastAsia" w:ascii="Times New Roman" w:hAnsi="Times New Roman" w:cs="Times New Roman" w:eastAsiaTheme="minorEastAsia"/>
                <w:sz w:val="24"/>
                <w:szCs w:val="24"/>
                <w:highlight w:val="none"/>
                <w:lang w:val="en-US" w:eastAsia="zh-CN"/>
              </w:rPr>
              <w:t>其标准见下表</w:t>
            </w:r>
            <w:r>
              <w:rPr>
                <w:rFonts w:hint="eastAsia" w:ascii="Times New Roman" w:hAnsi="Times New Roman" w:cs="Times New Roman" w:eastAsiaTheme="minorEastAsia"/>
                <w:sz w:val="24"/>
                <w:szCs w:val="24"/>
                <w:highlight w:val="none"/>
              </w:rPr>
              <w:t>。</w:t>
            </w:r>
          </w:p>
          <w:p>
            <w:pPr>
              <w:keepNext w:val="0"/>
              <w:keepLines w:val="0"/>
              <w:pageBreakBefore w:val="0"/>
              <w:widowControl/>
              <w:kinsoku/>
              <w:wordWrap/>
              <w:overflowPunct/>
              <w:topLinePunct w:val="0"/>
              <w:autoSpaceDE/>
              <w:autoSpaceDN/>
              <w:bidi w:val="0"/>
              <w:adjustRightInd w:val="0"/>
              <w:snapToGrid w:val="0"/>
              <w:spacing w:after="0" w:line="360" w:lineRule="auto"/>
              <w:ind w:firstLine="482" w:firstLineChars="200"/>
              <w:jc w:val="right"/>
              <w:textAlignment w:val="auto"/>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表</w:t>
            </w:r>
            <w:r>
              <w:rPr>
                <w:rFonts w:hint="eastAsia" w:ascii="Times New Roman" w:hAnsi="Times New Roman" w:cs="Times New Roman" w:eastAsiaTheme="minorEastAsia"/>
                <w:b/>
                <w:sz w:val="24"/>
                <w:szCs w:val="24"/>
                <w:lang w:val="en-US" w:eastAsia="zh-CN"/>
              </w:rPr>
              <w:t>1</w:t>
            </w:r>
            <w:r>
              <w:rPr>
                <w:rFonts w:hint="eastAsia" w:ascii="Times New Roman" w:hAnsi="Times New Roman" w:cs="Times New Roman" w:eastAsiaTheme="minorEastAsia"/>
                <w:b/>
                <w:sz w:val="24"/>
                <w:szCs w:val="24"/>
              </w:rPr>
              <w:t xml:space="preserve">.2 </w:t>
            </w:r>
            <w:r>
              <w:rPr>
                <w:rFonts w:ascii="Times New Roman" w:hAnsi="Times New Roman" w:cs="Times New Roman" w:eastAsiaTheme="minorEastAsia"/>
                <w:b/>
                <w:sz w:val="24"/>
                <w:szCs w:val="24"/>
              </w:rPr>
              <w:t xml:space="preserve">地表水环境质量标准 </w:t>
            </w:r>
            <w:r>
              <w:rPr>
                <w:rFonts w:hint="eastAsia" w:ascii="Times New Roman" w:hAnsi="Times New Roman" w:cs="Times New Roman" w:eastAsiaTheme="minorEastAsia"/>
                <w:b/>
                <w:sz w:val="24"/>
                <w:szCs w:val="24"/>
              </w:rPr>
              <w:t xml:space="preserve">  </w:t>
            </w:r>
            <w:r>
              <w:rPr>
                <w:rFonts w:ascii="Times New Roman" w:hAnsi="Times New Roman" w:cs="Times New Roman" w:eastAsiaTheme="minorEastAsia"/>
                <w:b/>
                <w:sz w:val="24"/>
                <w:szCs w:val="24"/>
              </w:rPr>
              <w:t xml:space="preserve">         </w:t>
            </w:r>
            <w:r>
              <w:rPr>
                <w:rFonts w:ascii="Times New Roman" w:hAnsi="Times New Roman" w:cs="Times New Roman" w:eastAsiaTheme="minorEastAsia"/>
                <w:sz w:val="24"/>
                <w:szCs w:val="24"/>
              </w:rPr>
              <w:t>单位：mg/</w:t>
            </w:r>
            <w:r>
              <w:rPr>
                <w:rFonts w:hint="eastAsia" w:ascii="Times New Roman" w:hAnsi="Times New Roman" w:cs="Times New Roman" w:eastAsiaTheme="minorEastAsia"/>
                <w:sz w:val="24"/>
                <w:szCs w:val="24"/>
              </w:rPr>
              <w:t>L</w:t>
            </w:r>
          </w:p>
          <w:tbl>
            <w:tblPr>
              <w:tblStyle w:val="14"/>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2"/>
              <w:gridCol w:w="2989"/>
              <w:gridCol w:w="2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910"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序号</w:t>
                  </w:r>
                </w:p>
              </w:tc>
              <w:tc>
                <w:tcPr>
                  <w:tcW w:w="2207"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污染因子</w:t>
                  </w:r>
                </w:p>
              </w:tc>
              <w:tc>
                <w:tcPr>
                  <w:tcW w:w="1881"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Ⅲ类标准限值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910"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2207"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pH（无量纲）</w:t>
                  </w:r>
                </w:p>
              </w:tc>
              <w:tc>
                <w:tcPr>
                  <w:tcW w:w="1881"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910"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2207"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COD</w:t>
                  </w:r>
                </w:p>
              </w:tc>
              <w:tc>
                <w:tcPr>
                  <w:tcW w:w="1881"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910"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2207"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BOD</w:t>
                  </w:r>
                  <w:r>
                    <w:rPr>
                      <w:rFonts w:hint="default" w:ascii="Times New Roman" w:hAnsi="Times New Roman" w:eastAsia="宋体" w:cs="Times New Roman"/>
                      <w:sz w:val="21"/>
                      <w:szCs w:val="21"/>
                      <w:vertAlign w:val="subscript"/>
                    </w:rPr>
                    <w:t>5</w:t>
                  </w:r>
                </w:p>
              </w:tc>
              <w:tc>
                <w:tcPr>
                  <w:tcW w:w="1881"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910"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2207"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NH</w:t>
                  </w:r>
                  <w:r>
                    <w:rPr>
                      <w:rFonts w:hint="default" w:ascii="Times New Roman" w:hAnsi="Times New Roman" w:eastAsia="宋体" w:cs="Times New Roman"/>
                      <w:sz w:val="21"/>
                      <w:szCs w:val="21"/>
                      <w:vertAlign w:val="subscript"/>
                    </w:rPr>
                    <w:t>3</w:t>
                  </w:r>
                  <w:r>
                    <w:rPr>
                      <w:rFonts w:hint="default" w:ascii="Times New Roman" w:hAnsi="Times New Roman" w:eastAsia="宋体" w:cs="Times New Roman"/>
                      <w:sz w:val="21"/>
                      <w:szCs w:val="21"/>
                    </w:rPr>
                    <w:t>-N</w:t>
                  </w:r>
                </w:p>
              </w:tc>
              <w:tc>
                <w:tcPr>
                  <w:tcW w:w="1881"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910"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2207"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石油类</w:t>
                  </w:r>
                </w:p>
              </w:tc>
              <w:tc>
                <w:tcPr>
                  <w:tcW w:w="1881"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910"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2207"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TN</w:t>
                  </w:r>
                </w:p>
              </w:tc>
              <w:tc>
                <w:tcPr>
                  <w:tcW w:w="1881"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jc w:val="center"/>
              </w:trPr>
              <w:tc>
                <w:tcPr>
                  <w:tcW w:w="910"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w:t>
                  </w:r>
                </w:p>
              </w:tc>
              <w:tc>
                <w:tcPr>
                  <w:tcW w:w="2207"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TP</w:t>
                  </w:r>
                </w:p>
              </w:tc>
              <w:tc>
                <w:tcPr>
                  <w:tcW w:w="1881"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≤0.2</w:t>
                  </w:r>
                </w:p>
              </w:tc>
            </w:tr>
          </w:tbl>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ascii="Times New Roman" w:hAnsi="Times New Roman" w:cs="Times New Roman" w:eastAsiaTheme="minorEastAsia"/>
                <w:sz w:val="24"/>
                <w:szCs w:val="24"/>
              </w:rPr>
            </w:pPr>
            <w:r>
              <w:rPr>
                <w:rFonts w:hint="eastAsia" w:ascii="Times New Roman" w:hAnsi="Times New Roman" w:cs="Times New Roman" w:eastAsiaTheme="minorEastAsia"/>
                <w:sz w:val="24"/>
                <w:szCs w:val="24"/>
              </w:rPr>
              <w:t>（3）声环境</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ascii="Times New Roman" w:hAnsi="Times New Roman" w:cs="Times New Roman" w:eastAsiaTheme="minorEastAsia"/>
                <w:sz w:val="24"/>
                <w:szCs w:val="24"/>
              </w:rPr>
            </w:pPr>
            <w:r>
              <w:rPr>
                <w:rFonts w:hint="eastAsia" w:ascii="Times New Roman" w:hAnsi="Times New Roman" w:cs="Times New Roman" w:eastAsiaTheme="minorEastAsia"/>
                <w:sz w:val="24"/>
                <w:szCs w:val="24"/>
              </w:rPr>
              <w:t>项目区声环境执行《声环境质量标准》（GB3096-2008）中</w:t>
            </w:r>
            <w:r>
              <w:rPr>
                <w:rFonts w:hint="eastAsia" w:ascii="Times New Roman" w:hAnsi="Times New Roman" w:cs="Times New Roman" w:eastAsiaTheme="minorEastAsia"/>
                <w:sz w:val="24"/>
                <w:szCs w:val="24"/>
                <w:lang w:val="en-US" w:eastAsia="zh-CN"/>
              </w:rPr>
              <w:t>2</w:t>
            </w:r>
            <w:r>
              <w:rPr>
                <w:rFonts w:hint="eastAsia" w:ascii="Times New Roman" w:hAnsi="Times New Roman" w:cs="Times New Roman" w:eastAsiaTheme="minorEastAsia"/>
                <w:sz w:val="24"/>
                <w:szCs w:val="24"/>
              </w:rPr>
              <w:t>类区标准。</w:t>
            </w:r>
          </w:p>
          <w:p>
            <w:pPr>
              <w:keepNext w:val="0"/>
              <w:keepLines w:val="0"/>
              <w:pageBreakBefore w:val="0"/>
              <w:widowControl/>
              <w:kinsoku/>
              <w:wordWrap/>
              <w:overflowPunct/>
              <w:topLinePunct w:val="0"/>
              <w:autoSpaceDE/>
              <w:autoSpaceDN/>
              <w:bidi w:val="0"/>
              <w:adjustRightInd w:val="0"/>
              <w:snapToGrid w:val="0"/>
              <w:spacing w:after="0" w:line="360" w:lineRule="auto"/>
              <w:ind w:firstLine="440" w:firstLineChars="200"/>
              <w:jc w:val="right"/>
              <w:textAlignment w:val="auto"/>
              <w:rPr>
                <w:rFonts w:ascii="Times New Roman" w:hAnsi="Times New Roman" w:cs="Times New Roman" w:eastAsiaTheme="minorEastAsia"/>
                <w:b/>
                <w:sz w:val="24"/>
                <w:szCs w:val="24"/>
              </w:rPr>
            </w:pPr>
            <w:r>
              <w:rPr>
                <w:rFonts w:hint="eastAsia" w:hAnsi="宋体"/>
                <w:b/>
              </w:rPr>
              <w:t xml:space="preserve">  </w:t>
            </w:r>
            <w:r>
              <w:rPr>
                <w:rFonts w:ascii="Times New Roman" w:hAnsi="Times New Roman" w:cs="Times New Roman" w:eastAsiaTheme="minorEastAsia"/>
                <w:b/>
                <w:sz w:val="24"/>
                <w:szCs w:val="24"/>
              </w:rPr>
              <w:t xml:space="preserve"> </w:t>
            </w:r>
            <w:r>
              <w:rPr>
                <w:rFonts w:ascii="Times New Roman" w:cs="Times New Roman" w:hAnsiTheme="minorEastAsia" w:eastAsiaTheme="minorEastAsia"/>
                <w:b/>
                <w:sz w:val="24"/>
                <w:szCs w:val="24"/>
              </w:rPr>
              <w:t>表</w:t>
            </w:r>
            <w:r>
              <w:rPr>
                <w:rFonts w:ascii="Times New Roman" w:hAnsi="Times New Roman" w:cs="Times New Roman" w:eastAsiaTheme="minorEastAsia"/>
                <w:b/>
                <w:sz w:val="24"/>
                <w:szCs w:val="24"/>
              </w:rPr>
              <w:t xml:space="preserve">1.3    </w:t>
            </w:r>
            <w:r>
              <w:rPr>
                <w:rFonts w:ascii="Times New Roman" w:cs="Times New Roman" w:hAnsiTheme="minorEastAsia" w:eastAsiaTheme="minorEastAsia"/>
                <w:b/>
                <w:sz w:val="24"/>
                <w:szCs w:val="24"/>
              </w:rPr>
              <w:t>声环境评价执行标准</w:t>
            </w:r>
            <w:r>
              <w:rPr>
                <w:rFonts w:ascii="Times New Roman" w:hAnsi="Times New Roman" w:cs="Times New Roman" w:eastAsiaTheme="minorEastAsia"/>
                <w:b/>
                <w:sz w:val="24"/>
                <w:szCs w:val="24"/>
              </w:rPr>
              <w:t xml:space="preserve">            </w:t>
            </w:r>
            <w:r>
              <w:rPr>
                <w:rFonts w:ascii="Times New Roman" w:cs="Times New Roman" w:hAnsiTheme="minorEastAsia" w:eastAsiaTheme="minorEastAsia"/>
                <w:b/>
                <w:sz w:val="24"/>
                <w:szCs w:val="24"/>
              </w:rPr>
              <w:t>单位：</w:t>
            </w:r>
            <w:r>
              <w:rPr>
                <w:rFonts w:ascii="Times New Roman" w:hAnsi="Times New Roman" w:cs="Times New Roman" w:eastAsiaTheme="minorEastAsia"/>
                <w:b/>
                <w:sz w:val="24"/>
                <w:szCs w:val="24"/>
              </w:rPr>
              <w:t>dB(A)</w:t>
            </w:r>
          </w:p>
          <w:tbl>
            <w:tblPr>
              <w:tblStyle w:val="14"/>
              <w:tblW w:w="65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47"/>
              <w:gridCol w:w="1256"/>
              <w:gridCol w:w="12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0" w:hRule="atLeast"/>
                <w:jc w:val="center"/>
              </w:trPr>
              <w:tc>
                <w:tcPr>
                  <w:tcW w:w="4047"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标准类别</w:t>
                  </w:r>
                </w:p>
              </w:tc>
              <w:tc>
                <w:tcPr>
                  <w:tcW w:w="1256"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昼间</w:t>
                  </w:r>
                </w:p>
              </w:tc>
              <w:tc>
                <w:tcPr>
                  <w:tcW w:w="1256"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9" w:hRule="atLeast"/>
                <w:jc w:val="center"/>
              </w:trPr>
              <w:tc>
                <w:tcPr>
                  <w:tcW w:w="4047"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GB3096-2008《声环境质量标准》</w:t>
                  </w:r>
                </w:p>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中3类区标准</w:t>
                  </w:r>
                </w:p>
              </w:tc>
              <w:tc>
                <w:tcPr>
                  <w:tcW w:w="1256"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6</w:t>
                  </w:r>
                  <w:r>
                    <w:rPr>
                      <w:rFonts w:hint="default" w:ascii="Times New Roman" w:hAnsi="Times New Roman" w:eastAsia="宋体" w:cs="Times New Roman"/>
                      <w:sz w:val="21"/>
                      <w:szCs w:val="21"/>
                      <w:lang w:val="en-US" w:eastAsia="zh-CN"/>
                    </w:rPr>
                    <w:t>0</w:t>
                  </w:r>
                </w:p>
              </w:tc>
              <w:tc>
                <w:tcPr>
                  <w:tcW w:w="1256"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5</w:t>
                  </w:r>
                  <w:r>
                    <w:rPr>
                      <w:rFonts w:hint="default" w:ascii="Times New Roman" w:hAnsi="Times New Roman" w:eastAsia="宋体" w:cs="Times New Roman"/>
                      <w:sz w:val="21"/>
                      <w:szCs w:val="21"/>
                      <w:lang w:val="en-US" w:eastAsia="zh-CN"/>
                    </w:rPr>
                    <w:t>0</w:t>
                  </w:r>
                </w:p>
              </w:tc>
            </w:tr>
          </w:tbl>
          <w:p>
            <w:pPr>
              <w:keepNext w:val="0"/>
              <w:keepLines w:val="0"/>
              <w:pageBreakBefore w:val="0"/>
              <w:kinsoku/>
              <w:wordWrap/>
              <w:overflowPunct/>
              <w:topLinePunct w:val="0"/>
              <w:autoSpaceDE/>
              <w:autoSpaceDN/>
              <w:bidi w:val="0"/>
              <w:spacing w:after="0" w:line="360" w:lineRule="auto"/>
              <w:textAlignment w:val="auto"/>
              <w:rPr>
                <w:rFonts w:ascii="Times New Roman" w:hAnsi="Times New Roman" w:cs="Times New Roman" w:eastAsiaTheme="minorEastAsia"/>
                <w:b/>
                <w:sz w:val="24"/>
                <w:szCs w:val="24"/>
              </w:rPr>
            </w:pPr>
            <w:r>
              <w:rPr>
                <w:rFonts w:hint="eastAsia" w:ascii="Times New Roman" w:hAnsi="Times New Roman" w:cs="Times New Roman" w:eastAsiaTheme="minorEastAsia"/>
                <w:b/>
                <w:sz w:val="24"/>
                <w:szCs w:val="24"/>
              </w:rPr>
              <w:t>2、污染物排放标准</w:t>
            </w:r>
          </w:p>
          <w:p>
            <w:pPr>
              <w:keepNext w:val="0"/>
              <w:keepLines w:val="0"/>
              <w:pageBreakBefore w:val="0"/>
              <w:kinsoku/>
              <w:wordWrap/>
              <w:overflowPunct/>
              <w:topLinePunct w:val="0"/>
              <w:autoSpaceDE/>
              <w:autoSpaceDN/>
              <w:bidi w:val="0"/>
              <w:spacing w:after="0" w:line="360" w:lineRule="auto"/>
              <w:ind w:firstLine="480" w:firstLineChars="200"/>
              <w:textAlignment w:val="auto"/>
              <w:rPr>
                <w:rFonts w:hint="eastAsia" w:ascii="Times New Roman" w:hAnsi="Times New Roman" w:cs="Times New Roman" w:eastAsiaTheme="minorEastAsia"/>
                <w:sz w:val="24"/>
                <w:szCs w:val="24"/>
              </w:rPr>
            </w:pPr>
            <w:r>
              <w:rPr>
                <w:rFonts w:hint="eastAsia" w:ascii="Times New Roman" w:hAnsi="Times New Roman" w:cs="Times New Roman" w:eastAsiaTheme="minorEastAsia"/>
                <w:sz w:val="24"/>
                <w:szCs w:val="24"/>
              </w:rPr>
              <w:t>（1）废气</w:t>
            </w:r>
          </w:p>
          <w:p>
            <w:pPr>
              <w:pStyle w:val="18"/>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color w:val="auto"/>
                <w:sz w:val="24"/>
                <w:szCs w:val="24"/>
                <w:lang w:val="en-US" w:eastAsia="zh-CN" w:bidi="ar"/>
              </w:rPr>
            </w:pPr>
            <w:r>
              <w:rPr>
                <w:rFonts w:hint="eastAsia" w:ascii="宋体" w:hAnsi="宋体" w:eastAsia="宋体" w:cs="宋体"/>
                <w:color w:val="auto"/>
                <w:sz w:val="24"/>
                <w:szCs w:val="24"/>
                <w:lang w:val="en-US" w:eastAsia="zh-CN" w:bidi="ar"/>
              </w:rPr>
              <w:t>本项目仅做陶瓷覆铜板生产的烧结工序，烧结工序不产生废气，故不对废气排放标准做分析。</w:t>
            </w:r>
          </w:p>
          <w:p>
            <w:pPr>
              <w:keepNext w:val="0"/>
              <w:keepLines w:val="0"/>
              <w:pageBreakBefore w:val="0"/>
              <w:numPr>
                <w:ilvl w:val="0"/>
                <w:numId w:val="0"/>
              </w:numPr>
              <w:kinsoku/>
              <w:wordWrap/>
              <w:overflowPunct/>
              <w:topLinePunct w:val="0"/>
              <w:autoSpaceDE/>
              <w:autoSpaceDN/>
              <w:bidi w:val="0"/>
              <w:spacing w:after="0" w:line="360" w:lineRule="auto"/>
              <w:ind w:firstLine="480" w:firstLineChars="200"/>
              <w:textAlignment w:val="auto"/>
              <w:rPr>
                <w:rFonts w:hint="eastAsia" w:ascii="Times New Roman" w:hAnsi="Times New Roman" w:cs="Times New Roman" w:eastAsiaTheme="minorEastAsia"/>
                <w:sz w:val="24"/>
                <w:szCs w:val="24"/>
              </w:rPr>
            </w:pPr>
            <w:r>
              <w:rPr>
                <w:rFonts w:hint="eastAsia" w:ascii="Times New Roman" w:hAnsi="Times New Roman" w:cs="Times New Roman" w:eastAsiaTheme="minorEastAsia"/>
                <w:sz w:val="24"/>
                <w:szCs w:val="24"/>
                <w:lang w:val="en-US" w:eastAsia="zh-CN" w:bidi="ar-SA"/>
              </w:rPr>
              <w:t>（2）</w:t>
            </w:r>
            <w:r>
              <w:rPr>
                <w:rFonts w:hint="eastAsia" w:ascii="Times New Roman" w:hAnsi="Times New Roman" w:cs="Times New Roman" w:eastAsiaTheme="minorEastAsia"/>
                <w:sz w:val="24"/>
                <w:szCs w:val="24"/>
              </w:rPr>
              <w:t>废水</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执行金寨县污水处理厂接管标准。</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center"/>
              <w:textAlignment w:val="auto"/>
              <w:rPr>
                <w:rFonts w:hint="eastAsia" w:ascii="宋体" w:hAnsi="宋体" w:eastAsia="宋体" w:cs="宋体"/>
                <w:color w:val="auto"/>
                <w:sz w:val="24"/>
                <w:szCs w:val="24"/>
                <w:lang w:eastAsia="zh-CN"/>
              </w:rPr>
            </w:pPr>
            <w:r>
              <w:rPr>
                <w:rFonts w:hint="eastAsia" w:ascii="宋体" w:hAnsi="宋体" w:eastAsia="宋体" w:cs="宋体"/>
                <w:b/>
                <w:bCs/>
                <w:color w:val="auto"/>
                <w:sz w:val="24"/>
                <w:szCs w:val="24"/>
                <w:lang w:eastAsia="zh-CN"/>
              </w:rPr>
              <w:t>表</w:t>
            </w:r>
            <w:r>
              <w:rPr>
                <w:rFonts w:hint="eastAsia" w:ascii="宋体" w:hAnsi="宋体" w:eastAsia="宋体" w:cs="宋体"/>
                <w:b/>
                <w:bCs/>
                <w:color w:val="auto"/>
                <w:sz w:val="24"/>
                <w:szCs w:val="24"/>
                <w:lang w:val="en-US" w:eastAsia="zh-CN"/>
              </w:rPr>
              <w:t>2.1</w:t>
            </w:r>
            <w:r>
              <w:rPr>
                <w:rFonts w:hint="eastAsia" w:ascii="宋体" w:hAnsi="宋体" w:eastAsia="宋体" w:cs="宋体"/>
                <w:b/>
                <w:bCs/>
                <w:color w:val="auto"/>
                <w:sz w:val="24"/>
                <w:szCs w:val="24"/>
                <w:lang w:eastAsia="zh-CN"/>
              </w:rPr>
              <w:t xml:space="preserve">  废水排放标准</w:t>
            </w:r>
            <w:r>
              <w:rPr>
                <w:rFonts w:hint="eastAsia" w:ascii="宋体" w:hAnsi="宋体" w:eastAsia="宋体" w:cs="宋体"/>
                <w:color w:val="auto"/>
                <w:sz w:val="24"/>
                <w:szCs w:val="24"/>
                <w:lang w:eastAsia="zh-CN"/>
              </w:rPr>
              <w:t xml:space="preserve">   单位：mg/L(pH除外)</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98"/>
              <w:gridCol w:w="1975"/>
              <w:gridCol w:w="17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98" w:type="dxa"/>
                  <w:vAlign w:val="center"/>
                </w:tcPr>
                <w:p>
                  <w:pPr>
                    <w:pStyle w:val="4"/>
                    <w:keepNext w:val="0"/>
                    <w:keepLines w:val="0"/>
                    <w:pageBreakBefore w:val="0"/>
                    <w:widowControl w:val="0"/>
                    <w:kinsoku/>
                    <w:wordWrap/>
                    <w:overflowPunct/>
                    <w:topLinePunct w:val="0"/>
                    <w:autoSpaceDE/>
                    <w:autoSpaceDN/>
                    <w:bidi w:val="0"/>
                    <w:adjustRightInd/>
                    <w:spacing w:after="0" w:line="240" w:lineRule="auto"/>
                    <w:ind w:left="0" w:leftChars="0" w:firstLine="0" w:firstLineChars="0"/>
                    <w:jc w:val="center"/>
                    <w:textAlignment w:val="auto"/>
                    <w:rPr>
                      <w:rFonts w:hint="default" w:ascii="Times New Roman" w:hAnsi="Times New Roman" w:eastAsia="宋体" w:cs="Times New Roman"/>
                      <w:b/>
                      <w:bCs/>
                      <w:color w:val="000000"/>
                      <w:kern w:val="2"/>
                      <w:sz w:val="21"/>
                      <w:szCs w:val="21"/>
                      <w:highlight w:val="none"/>
                      <w:lang w:val="en-US" w:eastAsia="zh-CN" w:bidi="ar-SA"/>
                    </w:rPr>
                  </w:pPr>
                  <w:r>
                    <w:rPr>
                      <w:rFonts w:hint="default" w:ascii="Times New Roman" w:hAnsi="Times New Roman" w:eastAsia="宋体" w:cs="Times New Roman"/>
                      <w:b/>
                      <w:bCs/>
                      <w:color w:val="000000"/>
                      <w:szCs w:val="21"/>
                      <w:highlight w:val="none"/>
                    </w:rPr>
                    <w:t>标准来源</w:t>
                  </w:r>
                </w:p>
              </w:tc>
              <w:tc>
                <w:tcPr>
                  <w:tcW w:w="1975"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污染物名称</w:t>
                  </w:r>
                </w:p>
              </w:tc>
              <w:tc>
                <w:tcPr>
                  <w:tcW w:w="1797"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标准值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98" w:type="dxa"/>
                  <w:vMerge w:val="restart"/>
                  <w:vAlign w:val="center"/>
                </w:tcPr>
                <w:p>
                  <w:pPr>
                    <w:pStyle w:val="4"/>
                    <w:keepNext w:val="0"/>
                    <w:keepLines w:val="0"/>
                    <w:pageBreakBefore w:val="0"/>
                    <w:widowControl w:val="0"/>
                    <w:kinsoku/>
                    <w:wordWrap/>
                    <w:overflowPunct/>
                    <w:topLinePunct w:val="0"/>
                    <w:autoSpaceDE/>
                    <w:autoSpaceDN/>
                    <w:bidi w:val="0"/>
                    <w:adjustRightInd/>
                    <w:spacing w:after="0" w:line="240" w:lineRule="auto"/>
                    <w:ind w:left="0" w:leftChars="0" w:firstLine="0" w:firstLineChars="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Cs w:val="21"/>
                      <w:highlight w:val="none"/>
                    </w:rPr>
                    <w:t>金寨县污水处理厂接管标准</w:t>
                  </w:r>
                </w:p>
              </w:tc>
              <w:tc>
                <w:tcPr>
                  <w:tcW w:w="1975"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pH</w:t>
                  </w:r>
                </w:p>
              </w:tc>
              <w:tc>
                <w:tcPr>
                  <w:tcW w:w="1797"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6.0~9.0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98" w:type="dxa"/>
                  <w:vMerge w:val="continue"/>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rPr>
                      <w:rFonts w:hint="default" w:ascii="Times New Roman" w:hAnsi="Times New Roman" w:eastAsia="宋体" w:cs="Times New Roman"/>
                      <w:color w:val="auto"/>
                      <w:sz w:val="21"/>
                      <w:szCs w:val="21"/>
                      <w:vertAlign w:val="baseline"/>
                      <w:lang w:eastAsia="zh-CN"/>
                    </w:rPr>
                  </w:pPr>
                </w:p>
              </w:tc>
              <w:tc>
                <w:tcPr>
                  <w:tcW w:w="1975"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COD</w:t>
                  </w:r>
                </w:p>
              </w:tc>
              <w:tc>
                <w:tcPr>
                  <w:tcW w:w="1797"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320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98" w:type="dxa"/>
                  <w:vMerge w:val="continue"/>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rPr>
                      <w:rFonts w:hint="default" w:ascii="Times New Roman" w:hAnsi="Times New Roman" w:eastAsia="宋体" w:cs="Times New Roman"/>
                      <w:color w:val="auto"/>
                      <w:sz w:val="21"/>
                      <w:szCs w:val="21"/>
                      <w:vertAlign w:val="baseline"/>
                      <w:lang w:eastAsia="zh-CN"/>
                    </w:rPr>
                  </w:pPr>
                </w:p>
              </w:tc>
              <w:tc>
                <w:tcPr>
                  <w:tcW w:w="1975"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BOD</w:t>
                  </w:r>
                  <w:r>
                    <w:rPr>
                      <w:rFonts w:hint="default" w:ascii="Times New Roman" w:hAnsi="Times New Roman" w:eastAsia="宋体" w:cs="Times New Roman"/>
                      <w:color w:val="auto"/>
                      <w:sz w:val="21"/>
                      <w:szCs w:val="21"/>
                      <w:vertAlign w:val="subscript"/>
                      <w:lang w:val="en-US" w:eastAsia="zh-CN"/>
                    </w:rPr>
                    <w:t>5</w:t>
                  </w:r>
                </w:p>
              </w:tc>
              <w:tc>
                <w:tcPr>
                  <w:tcW w:w="1797"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98" w:type="dxa"/>
                  <w:vMerge w:val="continue"/>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rPr>
                      <w:rFonts w:hint="default" w:ascii="Times New Roman" w:hAnsi="Times New Roman" w:eastAsia="宋体" w:cs="Times New Roman"/>
                      <w:color w:val="auto"/>
                      <w:sz w:val="21"/>
                      <w:szCs w:val="21"/>
                      <w:vertAlign w:val="baseline"/>
                      <w:lang w:eastAsia="zh-CN"/>
                    </w:rPr>
                  </w:pPr>
                </w:p>
              </w:tc>
              <w:tc>
                <w:tcPr>
                  <w:tcW w:w="1975"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SS</w:t>
                  </w:r>
                </w:p>
              </w:tc>
              <w:tc>
                <w:tcPr>
                  <w:tcW w:w="1797"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98" w:type="dxa"/>
                  <w:vMerge w:val="continue"/>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rPr>
                      <w:rFonts w:hint="default" w:ascii="Times New Roman" w:hAnsi="Times New Roman" w:eastAsia="宋体" w:cs="Times New Roman"/>
                      <w:color w:val="auto"/>
                      <w:sz w:val="21"/>
                      <w:szCs w:val="21"/>
                      <w:vertAlign w:val="baseline"/>
                      <w:lang w:eastAsia="zh-CN"/>
                    </w:rPr>
                  </w:pPr>
                </w:p>
              </w:tc>
              <w:tc>
                <w:tcPr>
                  <w:tcW w:w="1975"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氨氮</w:t>
                  </w:r>
                </w:p>
              </w:tc>
              <w:tc>
                <w:tcPr>
                  <w:tcW w:w="1797"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35</w:t>
                  </w:r>
                </w:p>
              </w:tc>
            </w:tr>
          </w:tbl>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ascii="Times New Roman" w:hAnsi="Times New Roman" w:cs="Times New Roman" w:eastAsiaTheme="minorEastAsia"/>
                <w:sz w:val="24"/>
                <w:szCs w:val="24"/>
              </w:rPr>
            </w:pPr>
            <w:r>
              <w:rPr>
                <w:rFonts w:hint="eastAsia" w:ascii="Times New Roman" w:hAnsi="Times New Roman" w:cs="Times New Roman" w:eastAsiaTheme="minorEastAsia"/>
                <w:sz w:val="24"/>
                <w:szCs w:val="24"/>
              </w:rPr>
              <w:t>（3）噪声排放标准</w:t>
            </w:r>
          </w:p>
          <w:p>
            <w:pPr>
              <w:spacing w:after="0" w:line="360" w:lineRule="auto"/>
              <w:ind w:firstLine="480" w:firstLineChars="200"/>
              <w:jc w:val="both"/>
              <w:rPr>
                <w:rFonts w:ascii="Times New Roman" w:cs="Times New Roman" w:hAnsiTheme="minorEastAsia" w:eastAsiaTheme="minorEastAsia"/>
                <w:b/>
                <w:spacing w:val="-10"/>
                <w:sz w:val="24"/>
                <w:szCs w:val="24"/>
              </w:rPr>
            </w:pPr>
            <w:r>
              <w:rPr>
                <w:rFonts w:ascii="Times New Roman" w:hAnsi="Times New Roman" w:cs="Times New Roman" w:eastAsiaTheme="minorEastAsia"/>
                <w:sz w:val="24"/>
                <w:szCs w:val="24"/>
              </w:rPr>
              <w:t>厂界噪声执行《工业企业厂界环境噪声排放标准》（GB12348-2008）中的</w:t>
            </w:r>
            <w:r>
              <w:rPr>
                <w:rFonts w:hint="eastAsia" w:ascii="Times New Roman" w:hAnsi="Times New Roman" w:cs="Times New Roman" w:eastAsiaTheme="minorEastAsia"/>
                <w:sz w:val="24"/>
                <w:szCs w:val="24"/>
                <w:lang w:val="en-US" w:eastAsia="zh-CN"/>
              </w:rPr>
              <w:t>2</w:t>
            </w:r>
            <w:r>
              <w:rPr>
                <w:rFonts w:ascii="Times New Roman" w:hAnsi="Times New Roman" w:cs="Times New Roman" w:eastAsiaTheme="minorEastAsia"/>
                <w:sz w:val="24"/>
                <w:szCs w:val="24"/>
              </w:rPr>
              <w:t>类</w:t>
            </w:r>
            <w:r>
              <w:rPr>
                <w:rFonts w:hint="eastAsia" w:ascii="Times New Roman" w:hAnsi="Times New Roman" w:cs="Times New Roman" w:eastAsiaTheme="minorEastAsia"/>
                <w:sz w:val="24"/>
                <w:szCs w:val="24"/>
              </w:rPr>
              <w:t>区</w:t>
            </w:r>
            <w:r>
              <w:rPr>
                <w:rFonts w:ascii="Times New Roman" w:hAnsi="Times New Roman" w:cs="Times New Roman" w:eastAsiaTheme="minorEastAsia"/>
                <w:sz w:val="24"/>
                <w:szCs w:val="24"/>
              </w:rPr>
              <w:t>标准</w:t>
            </w:r>
            <w:r>
              <w:rPr>
                <w:rFonts w:ascii="Times New Roman" w:cs="Times New Roman" w:hAnsiTheme="minorEastAsia" w:eastAsiaTheme="minorEastAsia"/>
                <w:sz w:val="24"/>
                <w:szCs w:val="24"/>
              </w:rPr>
              <w:t>。</w:t>
            </w:r>
          </w:p>
          <w:p>
            <w:pPr>
              <w:spacing w:after="0" w:line="360" w:lineRule="auto"/>
              <w:jc w:val="center"/>
              <w:rPr>
                <w:rFonts w:ascii="Times New Roman" w:hAnsi="Times New Roman" w:cs="Times New Roman" w:eastAsiaTheme="minorEastAsia"/>
                <w:b/>
                <w:spacing w:val="-10"/>
                <w:sz w:val="24"/>
                <w:szCs w:val="24"/>
              </w:rPr>
            </w:pPr>
            <w:r>
              <w:rPr>
                <w:rFonts w:ascii="Times New Roman" w:cs="Times New Roman" w:hAnsiTheme="minorEastAsia" w:eastAsiaTheme="minorEastAsia"/>
                <w:b/>
                <w:spacing w:val="-10"/>
                <w:sz w:val="24"/>
                <w:szCs w:val="24"/>
              </w:rPr>
              <w:t>表</w:t>
            </w:r>
            <w:r>
              <w:rPr>
                <w:rFonts w:hint="eastAsia" w:ascii="Times New Roman" w:hAnsi="Times New Roman" w:cs="Times New Roman" w:eastAsiaTheme="minorEastAsia"/>
                <w:b/>
                <w:spacing w:val="-10"/>
                <w:sz w:val="24"/>
                <w:szCs w:val="24"/>
                <w:lang w:val="en-US" w:eastAsia="zh-CN"/>
              </w:rPr>
              <w:t>2.2</w:t>
            </w:r>
            <w:r>
              <w:rPr>
                <w:rFonts w:ascii="Times New Roman" w:hAnsi="Times New Roman" w:cs="Times New Roman" w:eastAsiaTheme="minorEastAsia"/>
                <w:b/>
                <w:spacing w:val="-10"/>
                <w:sz w:val="24"/>
                <w:szCs w:val="24"/>
              </w:rPr>
              <w:t xml:space="preserve"> </w:t>
            </w:r>
            <w:r>
              <w:rPr>
                <w:rFonts w:ascii="Times New Roman" w:cs="Times New Roman" w:hAnsiTheme="minorEastAsia" w:eastAsiaTheme="minorEastAsia"/>
                <w:b/>
                <w:sz w:val="24"/>
                <w:szCs w:val="24"/>
              </w:rPr>
              <w:t>《工业企业厂界环境噪声排放标准》</w:t>
            </w:r>
            <w:r>
              <w:rPr>
                <w:rFonts w:ascii="Times New Roman" w:hAnsi="Times New Roman" w:cs="Times New Roman" w:eastAsiaTheme="minorEastAsia"/>
                <w:b/>
                <w:sz w:val="24"/>
                <w:szCs w:val="24"/>
              </w:rPr>
              <w:t>(GB12348-2008)</w:t>
            </w:r>
          </w:p>
          <w:tbl>
            <w:tblPr>
              <w:tblStyle w:val="14"/>
              <w:tblW w:w="66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55"/>
              <w:gridCol w:w="1589"/>
              <w:gridCol w:w="2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2955" w:type="dxa"/>
                  <w:vAlign w:val="center"/>
                </w:tcPr>
                <w:p>
                  <w:pPr>
                    <w:spacing w:after="0"/>
                    <w:jc w:val="center"/>
                    <w:rPr>
                      <w:rFonts w:ascii="Times New Roman" w:hAnsi="Times New Roman" w:cs="Times New Roman" w:eastAsiaTheme="minorEastAsia"/>
                      <w:sz w:val="21"/>
                      <w:szCs w:val="21"/>
                    </w:rPr>
                  </w:pPr>
                  <w:r>
                    <w:rPr>
                      <w:rFonts w:ascii="Times New Roman" w:cs="Times New Roman" w:hAnsiTheme="minorEastAsia" w:eastAsiaTheme="minorEastAsia"/>
                      <w:sz w:val="21"/>
                      <w:szCs w:val="21"/>
                    </w:rPr>
                    <w:t>标准</w:t>
                  </w:r>
                </w:p>
              </w:tc>
              <w:tc>
                <w:tcPr>
                  <w:tcW w:w="1589" w:type="dxa"/>
                  <w:vAlign w:val="center"/>
                </w:tcPr>
                <w:p>
                  <w:pPr>
                    <w:spacing w:after="0"/>
                    <w:jc w:val="center"/>
                    <w:rPr>
                      <w:rFonts w:ascii="Times New Roman" w:hAnsi="Times New Roman" w:cs="Times New Roman" w:eastAsiaTheme="minorEastAsia"/>
                      <w:sz w:val="21"/>
                      <w:szCs w:val="21"/>
                    </w:rPr>
                  </w:pPr>
                  <w:r>
                    <w:rPr>
                      <w:rFonts w:ascii="Times New Roman" w:cs="Times New Roman" w:hAnsiTheme="minorEastAsia" w:eastAsiaTheme="minorEastAsia"/>
                      <w:sz w:val="21"/>
                      <w:szCs w:val="21"/>
                    </w:rPr>
                    <w:t>昼间</w:t>
                  </w:r>
                </w:p>
              </w:tc>
              <w:tc>
                <w:tcPr>
                  <w:tcW w:w="2125" w:type="dxa"/>
                  <w:vAlign w:val="center"/>
                </w:tcPr>
                <w:p>
                  <w:pPr>
                    <w:spacing w:after="0"/>
                    <w:jc w:val="center"/>
                    <w:rPr>
                      <w:rFonts w:ascii="Times New Roman" w:hAnsi="Times New Roman" w:cs="Times New Roman" w:eastAsiaTheme="minorEastAsia"/>
                      <w:sz w:val="21"/>
                      <w:szCs w:val="21"/>
                    </w:rPr>
                  </w:pPr>
                  <w:r>
                    <w:rPr>
                      <w:rFonts w:ascii="Times New Roman" w:cs="Times New Roman" w:hAnsiTheme="minorEastAsia" w:eastAsiaTheme="minorEastAsia"/>
                      <w:sz w:val="21"/>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jc w:val="center"/>
              </w:trPr>
              <w:tc>
                <w:tcPr>
                  <w:tcW w:w="2955" w:type="dxa"/>
                  <w:vAlign w:val="center"/>
                </w:tcPr>
                <w:p>
                  <w:pPr>
                    <w:spacing w:after="0"/>
                    <w:jc w:val="center"/>
                    <w:rPr>
                      <w:rFonts w:ascii="Times New Roman" w:hAnsi="Times New Roman" w:cs="Times New Roman" w:eastAsiaTheme="minorEastAsia"/>
                      <w:sz w:val="21"/>
                      <w:szCs w:val="21"/>
                    </w:rPr>
                  </w:pPr>
                  <w:r>
                    <w:rPr>
                      <w:rFonts w:ascii="Times New Roman" w:hAnsi="Times New Roman" w:cs="Times New Roman" w:eastAsiaTheme="minorEastAsia"/>
                      <w:sz w:val="21"/>
                      <w:szCs w:val="21"/>
                    </w:rPr>
                    <w:t>GB12348-2008</w:t>
                  </w:r>
                  <w:r>
                    <w:rPr>
                      <w:rFonts w:ascii="Times New Roman" w:cs="Times New Roman" w:hAnsiTheme="minorEastAsia" w:eastAsiaTheme="minorEastAsia"/>
                      <w:sz w:val="21"/>
                      <w:szCs w:val="21"/>
                    </w:rPr>
                    <w:t>中</w:t>
                  </w:r>
                  <w:r>
                    <w:rPr>
                      <w:rFonts w:hint="eastAsia" w:ascii="Times New Roman" w:hAnsi="Times New Roman" w:cs="Times New Roman" w:eastAsiaTheme="minorEastAsia"/>
                      <w:sz w:val="21"/>
                      <w:szCs w:val="21"/>
                    </w:rPr>
                    <w:t>3</w:t>
                  </w:r>
                  <w:r>
                    <w:rPr>
                      <w:rFonts w:ascii="Times New Roman" w:cs="Times New Roman" w:hAnsiTheme="minorEastAsia" w:eastAsiaTheme="minorEastAsia"/>
                      <w:sz w:val="21"/>
                      <w:szCs w:val="21"/>
                    </w:rPr>
                    <w:t>类</w:t>
                  </w:r>
                  <w:r>
                    <w:rPr>
                      <w:rFonts w:hint="eastAsia" w:ascii="Times New Roman" w:cs="Times New Roman" w:hAnsiTheme="minorEastAsia" w:eastAsiaTheme="minorEastAsia"/>
                      <w:sz w:val="21"/>
                      <w:szCs w:val="21"/>
                    </w:rPr>
                    <w:t>区</w:t>
                  </w:r>
                  <w:r>
                    <w:rPr>
                      <w:rFonts w:ascii="Times New Roman" w:cs="Times New Roman" w:hAnsiTheme="minorEastAsia" w:eastAsiaTheme="minorEastAsia"/>
                      <w:sz w:val="21"/>
                      <w:szCs w:val="21"/>
                    </w:rPr>
                    <w:t>标准</w:t>
                  </w:r>
                </w:p>
              </w:tc>
              <w:tc>
                <w:tcPr>
                  <w:tcW w:w="1589" w:type="dxa"/>
                  <w:vAlign w:val="center"/>
                </w:tcPr>
                <w:p>
                  <w:pPr>
                    <w:spacing w:after="0"/>
                    <w:jc w:val="center"/>
                    <w:rPr>
                      <w:rFonts w:hint="eastAsia" w:ascii="Times New Roman" w:hAnsi="Times New Roman" w:cs="Times New Roman" w:eastAsiaTheme="minorEastAsia"/>
                      <w:sz w:val="21"/>
                      <w:szCs w:val="21"/>
                      <w:lang w:eastAsia="zh-CN"/>
                    </w:rPr>
                  </w:pPr>
                  <w:r>
                    <w:rPr>
                      <w:rFonts w:hint="eastAsia" w:ascii="Times New Roman" w:hAnsi="Times New Roman" w:cs="Times New Roman" w:eastAsiaTheme="minorEastAsia"/>
                      <w:sz w:val="21"/>
                      <w:szCs w:val="21"/>
                    </w:rPr>
                    <w:t>6</w:t>
                  </w:r>
                  <w:r>
                    <w:rPr>
                      <w:rFonts w:hint="eastAsia" w:ascii="Times New Roman" w:hAnsi="Times New Roman" w:cs="Times New Roman" w:eastAsiaTheme="minorEastAsia"/>
                      <w:sz w:val="21"/>
                      <w:szCs w:val="21"/>
                      <w:lang w:val="en-US" w:eastAsia="zh-CN"/>
                    </w:rPr>
                    <w:t>0</w:t>
                  </w:r>
                </w:p>
              </w:tc>
              <w:tc>
                <w:tcPr>
                  <w:tcW w:w="2125" w:type="dxa"/>
                  <w:vAlign w:val="center"/>
                </w:tcPr>
                <w:p>
                  <w:pPr>
                    <w:spacing w:after="0"/>
                    <w:jc w:val="center"/>
                    <w:rPr>
                      <w:rFonts w:hint="eastAsia" w:ascii="Times New Roman" w:hAnsi="Times New Roman" w:cs="Times New Roman" w:eastAsiaTheme="minorEastAsia"/>
                      <w:sz w:val="21"/>
                      <w:szCs w:val="21"/>
                      <w:lang w:eastAsia="zh-CN"/>
                    </w:rPr>
                  </w:pPr>
                  <w:r>
                    <w:rPr>
                      <w:rFonts w:hint="eastAsia" w:ascii="Times New Roman" w:hAnsi="Times New Roman" w:cs="Times New Roman" w:eastAsiaTheme="minorEastAsia"/>
                      <w:sz w:val="21"/>
                      <w:szCs w:val="21"/>
                    </w:rPr>
                    <w:t>5</w:t>
                  </w:r>
                  <w:r>
                    <w:rPr>
                      <w:rFonts w:hint="eastAsia" w:ascii="Times New Roman" w:hAnsi="Times New Roman" w:cs="Times New Roman" w:eastAsiaTheme="minorEastAsia"/>
                      <w:sz w:val="21"/>
                      <w:szCs w:val="21"/>
                      <w:lang w:val="en-US" w:eastAsia="zh-CN"/>
                    </w:rPr>
                    <w:t>0</w:t>
                  </w:r>
                </w:p>
              </w:tc>
            </w:tr>
          </w:tbl>
          <w:p>
            <w:pPr>
              <w:spacing w:after="0" w:line="360" w:lineRule="auto"/>
              <w:ind w:firstLine="480" w:firstLineChars="200"/>
              <w:rPr>
                <w:rFonts w:ascii="Times New Roman" w:hAnsi="Times New Roman" w:cs="Times New Roman" w:eastAsiaTheme="minorEastAsia"/>
                <w:sz w:val="24"/>
                <w:szCs w:val="24"/>
              </w:rPr>
            </w:pPr>
            <w:r>
              <w:rPr>
                <w:rFonts w:hint="eastAsia" w:ascii="Times New Roman" w:hAnsi="Times New Roman" w:cs="Times New Roman" w:eastAsiaTheme="minorEastAsia"/>
                <w:sz w:val="24"/>
                <w:szCs w:val="24"/>
              </w:rPr>
              <w:t>（4）固废污染控制标准</w:t>
            </w:r>
          </w:p>
          <w:p>
            <w:pPr>
              <w:spacing w:after="0" w:line="360" w:lineRule="auto"/>
              <w:ind w:firstLine="480" w:firstLineChars="200"/>
              <w:jc w:val="both"/>
              <w:rPr>
                <w:rFonts w:hint="eastAsia" w:ascii="宋体" w:hAnsi="宋体" w:eastAsia="宋体" w:cs="宋体"/>
                <w:sz w:val="24"/>
                <w:szCs w:val="24"/>
              </w:rPr>
            </w:pPr>
            <w:r>
              <w:rPr>
                <w:rFonts w:hint="eastAsia" w:ascii="宋体" w:hAnsi="宋体" w:eastAsia="宋体" w:cs="宋体"/>
                <w:bCs/>
                <w:kern w:val="0"/>
                <w:sz w:val="24"/>
                <w:szCs w:val="24"/>
              </w:rPr>
              <w:t>一般固废执行</w:t>
            </w:r>
            <w:r>
              <w:rPr>
                <w:rFonts w:hint="eastAsia" w:ascii="宋体" w:hAnsi="宋体" w:eastAsia="宋体" w:cs="宋体"/>
                <w:bCs/>
                <w:spacing w:val="-8"/>
                <w:kern w:val="0"/>
                <w:sz w:val="24"/>
                <w:szCs w:val="24"/>
              </w:rPr>
              <w:t>《一般工业固体废物贮存</w:t>
            </w:r>
            <w:r>
              <w:rPr>
                <w:rFonts w:hint="eastAsia" w:ascii="宋体" w:hAnsi="宋体" w:eastAsia="宋体" w:cs="宋体"/>
                <w:bCs/>
                <w:spacing w:val="-8"/>
                <w:kern w:val="0"/>
                <w:sz w:val="24"/>
                <w:szCs w:val="24"/>
                <w:lang w:eastAsia="zh-CN"/>
              </w:rPr>
              <w:t>和填埋</w:t>
            </w:r>
            <w:r>
              <w:rPr>
                <w:rFonts w:hint="eastAsia" w:ascii="宋体" w:hAnsi="宋体" w:eastAsia="宋体" w:cs="宋体"/>
                <w:bCs/>
                <w:spacing w:val="-8"/>
                <w:kern w:val="0"/>
                <w:sz w:val="24"/>
                <w:szCs w:val="24"/>
              </w:rPr>
              <w:t>污染控制标准》（</w:t>
            </w:r>
            <w:r>
              <w:rPr>
                <w:rFonts w:hint="default" w:ascii="Times New Roman" w:hAnsi="Times New Roman" w:eastAsia="宋体" w:cs="Times New Roman"/>
                <w:bCs/>
                <w:spacing w:val="-8"/>
                <w:kern w:val="0"/>
                <w:sz w:val="24"/>
                <w:szCs w:val="24"/>
              </w:rPr>
              <w:t>GB18599-20</w:t>
            </w:r>
            <w:r>
              <w:rPr>
                <w:rFonts w:hint="default" w:ascii="Times New Roman" w:hAnsi="Times New Roman" w:eastAsia="宋体" w:cs="Times New Roman"/>
                <w:bCs/>
                <w:spacing w:val="-8"/>
                <w:kern w:val="0"/>
                <w:sz w:val="24"/>
                <w:szCs w:val="24"/>
                <w:lang w:val="en-US" w:eastAsia="zh-CN"/>
              </w:rPr>
              <w:t>20</w:t>
            </w:r>
            <w:r>
              <w:rPr>
                <w:rFonts w:hint="eastAsia" w:ascii="宋体" w:hAnsi="宋体" w:eastAsia="宋体" w:cs="宋体"/>
                <w:bCs/>
                <w:spacing w:val="-8"/>
                <w:kern w:val="0"/>
                <w:sz w:val="24"/>
                <w:szCs w:val="24"/>
              </w:rPr>
              <w:t>）中相应标准</w:t>
            </w:r>
            <w:r>
              <w:rPr>
                <w:rFonts w:hint="eastAsia" w:ascii="宋体" w:hAnsi="宋体" w:eastAsia="宋体" w:cs="宋体"/>
                <w:color w:val="000000"/>
                <w:kern w:val="0"/>
                <w:sz w:val="24"/>
                <w:szCs w:val="24"/>
              </w:rPr>
              <w:t>，</w:t>
            </w:r>
            <w:r>
              <w:rPr>
                <w:rFonts w:hint="eastAsia" w:ascii="宋体" w:hAnsi="宋体" w:eastAsia="宋体" w:cs="宋体"/>
                <w:color w:val="000000" w:themeColor="text1"/>
                <w:kern w:val="0"/>
                <w:sz w:val="24"/>
                <w:szCs w:val="24"/>
                <w14:textFill>
                  <w14:solidFill>
                    <w14:schemeClr w14:val="tx1"/>
                  </w14:solidFill>
                </w14:textFill>
              </w:rPr>
              <w:t>危险废物执行《危险废物贮存污染控制标准》（</w:t>
            </w:r>
            <w:r>
              <w:rPr>
                <w:rFonts w:hint="default" w:ascii="Times New Roman" w:hAnsi="Times New Roman" w:eastAsia="宋体" w:cs="Times New Roman"/>
                <w:color w:val="000000" w:themeColor="text1"/>
                <w:kern w:val="0"/>
                <w:sz w:val="24"/>
                <w:szCs w:val="24"/>
                <w14:textFill>
                  <w14:solidFill>
                    <w14:schemeClr w14:val="tx1"/>
                  </w14:solidFill>
                </w14:textFill>
              </w:rPr>
              <w:t>GB18597-20</w:t>
            </w:r>
            <w:r>
              <w:rPr>
                <w:rFonts w:hint="eastAsia" w:ascii="Times New Roman" w:hAnsi="Times New Roman" w:eastAsia="宋体" w:cs="Times New Roman"/>
                <w:color w:val="000000" w:themeColor="text1"/>
                <w:kern w:val="0"/>
                <w:sz w:val="24"/>
                <w:szCs w:val="24"/>
                <w:lang w:val="en-US" w:eastAsia="zh-CN"/>
                <w14:textFill>
                  <w14:solidFill>
                    <w14:schemeClr w14:val="tx1"/>
                  </w14:solidFill>
                </w14:textFill>
              </w:rPr>
              <w:t>23</w:t>
            </w:r>
            <w:r>
              <w:rPr>
                <w:rFonts w:hint="eastAsia" w:ascii="宋体" w:hAnsi="宋体" w:eastAsia="宋体" w:cs="宋体"/>
                <w:color w:val="000000" w:themeColor="text1"/>
                <w:kern w:val="0"/>
                <w:sz w:val="24"/>
                <w:szCs w:val="24"/>
                <w14:textFill>
                  <w14:solidFill>
                    <w14:schemeClr w14:val="tx1"/>
                  </w14:solidFill>
                </w14:textFill>
              </w:rPr>
              <w:t>）</w:t>
            </w:r>
            <w:r>
              <w:rPr>
                <w:rFonts w:hint="eastAsia" w:ascii="宋体" w:hAnsi="宋体" w:eastAsia="宋体" w:cs="宋体"/>
                <w:kern w:val="0"/>
                <w:sz w:val="24"/>
                <w:szCs w:val="24"/>
              </w:rPr>
              <w:t>。</w:t>
            </w:r>
          </w:p>
          <w:p>
            <w:pPr>
              <w:spacing w:after="0" w:line="360" w:lineRule="auto"/>
              <w:rPr>
                <w:rFonts w:ascii="Times New Roman" w:hAnsi="Times New Roman" w:cs="Times New Roman" w:eastAsiaTheme="minorEastAsia"/>
                <w:b/>
                <w:sz w:val="24"/>
                <w:szCs w:val="24"/>
              </w:rPr>
            </w:pPr>
            <w:r>
              <w:rPr>
                <w:rFonts w:hint="eastAsia" w:ascii="Times New Roman" w:hAnsi="Times New Roman" w:cs="Times New Roman" w:eastAsiaTheme="minorEastAsia"/>
                <w:b/>
                <w:sz w:val="24"/>
                <w:szCs w:val="24"/>
              </w:rPr>
              <w:t>3、总量控制标准</w:t>
            </w:r>
          </w:p>
          <w:p>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Times New Roman" w:hAnsi="Times New Roman" w:eastAsia="宋体" w:cs="Times New Roman"/>
                <w:color w:val="auto"/>
                <w:kern w:val="2"/>
                <w:sz w:val="24"/>
                <w:szCs w:val="24"/>
                <w:lang w:val="en-US" w:eastAsia="zh-CN"/>
              </w:rPr>
            </w:pPr>
            <w:r>
              <w:rPr>
                <w:rFonts w:hint="default" w:ascii="Times New Roman" w:hAnsi="Times New Roman" w:eastAsia="宋体" w:cs="Times New Roman"/>
                <w:color w:val="auto"/>
                <w:sz w:val="24"/>
                <w:szCs w:val="24"/>
                <w:lang w:eastAsia="zh-CN"/>
              </w:rPr>
              <w:t>项目</w:t>
            </w:r>
            <w:r>
              <w:rPr>
                <w:rFonts w:hint="default" w:ascii="Times New Roman" w:hAnsi="Times New Roman" w:eastAsia="宋体" w:cs="Times New Roman"/>
                <w:color w:val="auto"/>
                <w:sz w:val="24"/>
                <w:szCs w:val="24"/>
                <w:lang w:val="en-US" w:eastAsia="zh-CN"/>
              </w:rPr>
              <w:t>不产生废气，</w:t>
            </w:r>
            <w:r>
              <w:rPr>
                <w:rFonts w:hint="default" w:ascii="Times New Roman" w:hAnsi="Times New Roman" w:eastAsia="宋体" w:cs="Times New Roman"/>
                <w:color w:val="auto"/>
                <w:sz w:val="24"/>
                <w:szCs w:val="24"/>
                <w:lang w:eastAsia="zh-CN"/>
              </w:rPr>
              <w:t>废水接入市政污水管网纳入</w:t>
            </w:r>
            <w:r>
              <w:rPr>
                <w:rFonts w:hint="default" w:ascii="Times New Roman" w:hAnsi="Times New Roman" w:eastAsia="宋体" w:cs="Times New Roman"/>
                <w:color w:val="auto"/>
                <w:sz w:val="24"/>
                <w:szCs w:val="24"/>
                <w:lang w:val="en-US" w:eastAsia="zh-CN"/>
              </w:rPr>
              <w:t>金寨县</w:t>
            </w:r>
            <w:r>
              <w:rPr>
                <w:rFonts w:hint="default" w:ascii="Times New Roman" w:hAnsi="Times New Roman" w:eastAsia="宋体" w:cs="Times New Roman"/>
                <w:color w:val="auto"/>
                <w:sz w:val="24"/>
                <w:szCs w:val="24"/>
                <w:lang w:eastAsia="zh-CN"/>
              </w:rPr>
              <w:t>污水处理厂处理，</w:t>
            </w:r>
            <w:r>
              <w:rPr>
                <w:rFonts w:hint="default" w:ascii="Times New Roman" w:hAnsi="Times New Roman" w:eastAsia="宋体" w:cs="Times New Roman"/>
                <w:color w:val="auto"/>
                <w:sz w:val="24"/>
                <w:szCs w:val="24"/>
                <w:lang w:val="en-US" w:eastAsia="zh-CN"/>
              </w:rPr>
              <w:t>COD、NH</w:t>
            </w:r>
            <w:r>
              <w:rPr>
                <w:rFonts w:hint="default" w:ascii="Times New Roman" w:hAnsi="Times New Roman" w:eastAsia="宋体" w:cs="Times New Roman"/>
                <w:color w:val="auto"/>
                <w:sz w:val="24"/>
                <w:szCs w:val="24"/>
                <w:vertAlign w:val="subscript"/>
                <w:lang w:val="en-US" w:eastAsia="zh-CN"/>
              </w:rPr>
              <w:t>3</w:t>
            </w:r>
            <w:r>
              <w:rPr>
                <w:rFonts w:hint="default" w:ascii="Times New Roman" w:hAnsi="Times New Roman" w:eastAsia="宋体" w:cs="Times New Roman"/>
                <w:color w:val="auto"/>
                <w:sz w:val="24"/>
                <w:szCs w:val="24"/>
                <w:lang w:val="en-US" w:eastAsia="zh-CN"/>
              </w:rPr>
              <w:t>-H纳入金寨县</w:t>
            </w:r>
            <w:r>
              <w:rPr>
                <w:rFonts w:hint="default" w:ascii="Times New Roman" w:hAnsi="Times New Roman" w:eastAsia="宋体" w:cs="Times New Roman"/>
                <w:color w:val="auto"/>
                <w:sz w:val="24"/>
                <w:szCs w:val="24"/>
                <w:lang w:eastAsia="zh-CN"/>
              </w:rPr>
              <w:t>污水处理厂处理总量指标，</w:t>
            </w:r>
            <w:r>
              <w:rPr>
                <w:rFonts w:hint="default" w:ascii="Times New Roman" w:hAnsi="Times New Roman" w:eastAsia="宋体" w:cs="Times New Roman"/>
                <w:color w:val="auto"/>
                <w:sz w:val="24"/>
                <w:szCs w:val="24"/>
                <w:lang w:val="en-US" w:eastAsia="zh-CN"/>
              </w:rPr>
              <w:t>不需要</w:t>
            </w:r>
            <w:r>
              <w:rPr>
                <w:rFonts w:hint="default" w:ascii="Times New Roman" w:hAnsi="Times New Roman" w:eastAsia="宋体" w:cs="Times New Roman"/>
                <w:color w:val="auto"/>
                <w:sz w:val="24"/>
                <w:szCs w:val="24"/>
                <w:lang w:eastAsia="zh-CN"/>
              </w:rPr>
              <w:t>申请总量指标</w:t>
            </w:r>
            <w:r>
              <w:rPr>
                <w:rFonts w:hint="default" w:ascii="Times New Roman" w:hAnsi="Times New Roman" w:eastAsia="宋体" w:cs="Times New Roman"/>
                <w:color w:val="auto"/>
                <w:sz w:val="24"/>
                <w:szCs w:val="24"/>
              </w:rPr>
              <w:t>。</w:t>
            </w:r>
            <w:r>
              <w:commentReference w:id="2"/>
            </w:r>
          </w:p>
          <w:p>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Times New Roman" w:hAnsi="Times New Roman" w:cs="Times New Roman" w:eastAsiaTheme="minorEastAsia"/>
                <w:sz w:val="24"/>
                <w:szCs w:val="24"/>
                <w:lang w:eastAsia="zh-CN"/>
              </w:rPr>
            </w:pPr>
          </w:p>
        </w:tc>
      </w:tr>
    </w:tbl>
    <w:p>
      <w:pPr>
        <w:spacing w:after="0"/>
        <w:rPr>
          <w:sz w:val="24"/>
          <w:szCs w:val="24"/>
        </w:rPr>
        <w:sectPr>
          <w:footerReference r:id="rId9" w:type="default"/>
          <w:pgSz w:w="11906" w:h="16838"/>
          <w:pgMar w:top="1440" w:right="1800" w:bottom="1440" w:left="1800" w:header="708" w:footer="708" w:gutter="0"/>
          <w:pgBorders>
            <w:top w:val="none" w:sz="0" w:space="0"/>
            <w:left w:val="none" w:sz="0" w:space="0"/>
            <w:bottom w:val="none" w:sz="0" w:space="0"/>
            <w:right w:val="none" w:sz="0" w:space="0"/>
          </w:pgBorders>
          <w:pgNumType w:start="1"/>
          <w:cols w:space="708" w:num="1"/>
          <w:docGrid w:linePitch="360" w:charSpace="0"/>
        </w:sectPr>
      </w:pPr>
    </w:p>
    <w:p>
      <w:pPr>
        <w:spacing w:after="0"/>
        <w:rPr>
          <w:sz w:val="24"/>
          <w:szCs w:val="24"/>
        </w:rPr>
      </w:pPr>
      <w:r>
        <w:rPr>
          <w:rFonts w:hint="eastAsia" w:ascii="宋体" w:hAnsi="宋体" w:eastAsia="宋体" w:cs="宋体"/>
          <w:b/>
          <w:bCs/>
          <w:sz w:val="28"/>
          <w:szCs w:val="28"/>
        </w:rPr>
        <w:t>表二</w:t>
      </w:r>
      <w:r>
        <w:rPr>
          <w:rFonts w:hint="eastAsia" w:ascii="宋体" w:hAnsi="宋体" w:eastAsia="宋体" w:cs="宋体"/>
          <w:sz w:val="28"/>
          <w:szCs w:val="28"/>
        </w:rPr>
        <w:t xml:space="preserve"> </w:t>
      </w:r>
      <w:r>
        <w:rPr>
          <w:rFonts w:hint="eastAsia"/>
          <w:sz w:val="28"/>
          <w:szCs w:val="28"/>
        </w:rPr>
        <w:t xml:space="preserve"> </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01" w:hRule="atLeast"/>
        </w:trPr>
        <w:tc>
          <w:tcPr>
            <w:tcW w:w="8522" w:type="dxa"/>
            <w:vAlign w:val="top"/>
          </w:tcPr>
          <w:p>
            <w:pPr>
              <w:pStyle w:val="9"/>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leftChars="0"/>
              <w:textAlignment w:val="auto"/>
              <w:rPr>
                <w:rFonts w:hint="default" w:ascii="Times New Roman" w:hAnsi="Times New Roman" w:eastAsia="宋体" w:cs="Times New Roman"/>
                <w:b/>
                <w:bCs/>
                <w:highlight w:val="none"/>
                <w:lang w:val="en-US" w:eastAsia="zh-CN"/>
              </w:rPr>
            </w:pPr>
            <w:r>
              <w:rPr>
                <w:rFonts w:hint="default" w:ascii="Times New Roman" w:hAnsi="Times New Roman" w:eastAsia="宋体" w:cs="Times New Roman"/>
                <w:b/>
                <w:bCs/>
                <w:highlight w:val="none"/>
                <w:lang w:val="en-US" w:eastAsia="zh-CN"/>
              </w:rPr>
              <w:t>工程建设内容：</w:t>
            </w:r>
          </w:p>
          <w:p>
            <w:pPr>
              <w:pStyle w:val="9"/>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leftChars="0"/>
              <w:textAlignment w:val="auto"/>
              <w:rPr>
                <w:rFonts w:hint="default" w:ascii="Times New Roman" w:hAnsi="Times New Roman" w:eastAsia="宋体" w:cs="Times New Roman"/>
                <w:highlight w:val="yellow"/>
                <w:lang w:val="en-US" w:eastAsia="zh-CN"/>
              </w:rPr>
            </w:pPr>
            <w:r>
              <w:rPr>
                <w:rFonts w:hint="default" w:ascii="Times New Roman" w:hAnsi="Times New Roman" w:eastAsia="宋体" w:cs="Times New Roman"/>
                <w:b/>
                <w:bCs/>
                <w:highlight w:val="none"/>
                <w:lang w:val="en-US" w:eastAsia="zh-CN"/>
              </w:rPr>
              <w:t>1、项目背景及由来</w:t>
            </w:r>
          </w:p>
          <w:p>
            <w:pPr>
              <w:keepNext w:val="0"/>
              <w:keepLines w:val="0"/>
              <w:pageBreakBefore w:val="0"/>
              <w:widowControl w:val="0"/>
              <w:kinsoku/>
              <w:wordWrap/>
              <w:overflowPunct/>
              <w:topLinePunct w:val="0"/>
              <w:autoSpaceDE/>
              <w:autoSpaceDN/>
              <w:bidi w:val="0"/>
              <w:adjustRightInd/>
              <w:snapToGrid/>
              <w:spacing w:after="0" w:line="360" w:lineRule="auto"/>
              <w:ind w:left="0" w:firstLine="480" w:firstLineChars="200"/>
              <w:jc w:val="both"/>
              <w:textAlignment w:val="auto"/>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（1）背景</w:t>
            </w:r>
          </w:p>
          <w:p>
            <w:pPr>
              <w:keepNext w:val="0"/>
              <w:keepLines w:val="0"/>
              <w:pageBreakBefore w:val="0"/>
              <w:widowControl w:val="0"/>
              <w:kinsoku/>
              <w:wordWrap/>
              <w:overflowPunct/>
              <w:topLinePunct w:val="0"/>
              <w:autoSpaceDE/>
              <w:autoSpaceDN/>
              <w:bidi w:val="0"/>
              <w:adjustRightInd/>
              <w:snapToGrid/>
              <w:spacing w:after="0" w:line="360" w:lineRule="auto"/>
              <w:ind w:left="0" w:firstLine="480" w:firstLineChars="200"/>
              <w:jc w:val="both"/>
              <w:textAlignment w:val="auto"/>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2023年5月，安徽思睿辰新材料有限公司委托安徽锦环环境科技有限公司开展安徽思睿辰新材料有限公司陶瓷覆铜板项目环保工作并编制了《安徽思睿辰新材料有限公司陶瓷覆铜板项目环境影响报告表》；</w:t>
            </w:r>
          </w:p>
          <w:p>
            <w:pPr>
              <w:keepNext w:val="0"/>
              <w:keepLines w:val="0"/>
              <w:pageBreakBefore w:val="0"/>
              <w:widowControl w:val="0"/>
              <w:kinsoku/>
              <w:wordWrap/>
              <w:overflowPunct/>
              <w:topLinePunct w:val="0"/>
              <w:autoSpaceDE/>
              <w:autoSpaceDN/>
              <w:bidi w:val="0"/>
              <w:adjustRightInd/>
              <w:snapToGrid/>
              <w:spacing w:after="0" w:line="360" w:lineRule="auto"/>
              <w:ind w:left="0" w:firstLine="480" w:firstLineChars="200"/>
              <w:jc w:val="both"/>
              <w:textAlignment w:val="auto"/>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2023年6月2日，取得六安市金寨县生态环境分局出具的关于“安徽思睿辰新材料有限公司陶瓷覆铜板项目环境影响报告表”的批复（2023年6月2日金环审[2023]38号）；</w:t>
            </w:r>
          </w:p>
          <w:p>
            <w:pPr>
              <w:keepNext w:val="0"/>
              <w:keepLines w:val="0"/>
              <w:pageBreakBefore w:val="0"/>
              <w:widowControl w:val="0"/>
              <w:kinsoku/>
              <w:wordWrap/>
              <w:overflowPunct/>
              <w:topLinePunct w:val="0"/>
              <w:autoSpaceDE/>
              <w:autoSpaceDN/>
              <w:bidi w:val="0"/>
              <w:adjustRightInd/>
              <w:snapToGrid/>
              <w:spacing w:after="0" w:line="360" w:lineRule="auto"/>
              <w:ind w:left="0" w:firstLine="480" w:firstLineChars="200"/>
              <w:jc w:val="both"/>
              <w:textAlignment w:val="auto"/>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项目于2023年</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5</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月开工建设，2023年</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5</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月完成阶段性建设并投入调试，现阶段按照环评及审查意见，完成其中6条陶瓷覆铜板双面烧结生产线及配套环保设施，</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可形氧化铝双面覆铜板34万片/年、氧化锆双面覆铜板4万片/年的生产能力。</w:t>
            </w:r>
          </w:p>
          <w:p>
            <w:pPr>
              <w:keepNext w:val="0"/>
              <w:keepLines w:val="0"/>
              <w:pageBreakBefore w:val="0"/>
              <w:widowControl w:val="0"/>
              <w:kinsoku/>
              <w:wordWrap/>
              <w:overflowPunct/>
              <w:topLinePunct w:val="0"/>
              <w:autoSpaceDE/>
              <w:autoSpaceDN/>
              <w:bidi w:val="0"/>
              <w:adjustRightInd/>
              <w:snapToGrid/>
              <w:spacing w:after="0" w:line="360" w:lineRule="auto"/>
              <w:ind w:left="0" w:firstLine="480" w:firstLineChars="200"/>
              <w:jc w:val="both"/>
              <w:textAlignment w:val="auto"/>
              <w:rPr>
                <w:rFonts w:hint="default" w:ascii="Times New Roman" w:hAnsi="Times New Roman" w:eastAsia="宋体" w:cs="Times New Roman"/>
                <w:kern w:val="2"/>
                <w:sz w:val="24"/>
                <w:szCs w:val="24"/>
                <w:highlight w:val="none"/>
                <w:lang w:val="en-US" w:eastAsia="zh-CN" w:bidi="ar-SA"/>
              </w:rPr>
            </w:pPr>
            <w:commentRangeStart w:id="3"/>
            <w:r>
              <w:rPr>
                <w:rFonts w:hint="default" w:ascii="Times New Roman" w:hAnsi="Times New Roman" w:eastAsia="宋体" w:cs="Times New Roman"/>
                <w:kern w:val="2"/>
                <w:sz w:val="24"/>
                <w:szCs w:val="24"/>
                <w:highlight w:val="none"/>
                <w:lang w:val="en-US" w:eastAsia="zh-CN" w:bidi="ar-SA"/>
              </w:rPr>
              <w:t>2023年</w:t>
            </w:r>
            <w:r>
              <w:rPr>
                <w:rFonts w:hint="eastAsia" w:ascii="Times New Roman" w:hAnsi="Times New Roman" w:eastAsia="宋体" w:cs="Times New Roman"/>
                <w:kern w:val="2"/>
                <w:sz w:val="24"/>
                <w:szCs w:val="24"/>
                <w:highlight w:val="none"/>
                <w:lang w:val="en-US" w:eastAsia="zh-CN" w:bidi="ar-SA"/>
              </w:rPr>
              <w:t>6</w:t>
            </w:r>
            <w:r>
              <w:rPr>
                <w:rFonts w:hint="default" w:ascii="Times New Roman" w:hAnsi="Times New Roman" w:eastAsia="宋体" w:cs="Times New Roman"/>
                <w:kern w:val="2"/>
                <w:sz w:val="24"/>
                <w:szCs w:val="24"/>
                <w:highlight w:val="none"/>
                <w:lang w:val="en-US" w:eastAsia="zh-CN" w:bidi="ar-SA"/>
              </w:rPr>
              <w:t>月</w:t>
            </w:r>
            <w:r>
              <w:rPr>
                <w:rFonts w:hint="eastAsia" w:ascii="Times New Roman" w:hAnsi="Times New Roman" w:eastAsia="宋体" w:cs="Times New Roman"/>
                <w:kern w:val="2"/>
                <w:sz w:val="24"/>
                <w:szCs w:val="24"/>
                <w:highlight w:val="none"/>
                <w:lang w:val="en-US" w:eastAsia="zh-CN" w:bidi="ar-SA"/>
              </w:rPr>
              <w:t>6</w:t>
            </w:r>
            <w:r>
              <w:rPr>
                <w:rFonts w:hint="default" w:ascii="Times New Roman" w:hAnsi="Times New Roman" w:eastAsia="宋体" w:cs="Times New Roman"/>
                <w:kern w:val="2"/>
                <w:sz w:val="24"/>
                <w:szCs w:val="24"/>
                <w:highlight w:val="none"/>
                <w:lang w:val="en-US" w:eastAsia="zh-CN" w:bidi="ar-SA"/>
              </w:rPr>
              <w:t>日，</w:t>
            </w:r>
            <w:commentRangeEnd w:id="3"/>
            <w:r>
              <w:commentReference w:id="3"/>
            </w:r>
            <w:r>
              <w:rPr>
                <w:rFonts w:hint="default" w:ascii="Times New Roman" w:hAnsi="Times New Roman" w:eastAsia="宋体" w:cs="Times New Roman"/>
                <w:kern w:val="2"/>
                <w:sz w:val="24"/>
                <w:szCs w:val="24"/>
                <w:highlight w:val="none"/>
                <w:lang w:val="en-US" w:eastAsia="zh-CN" w:bidi="ar-SA"/>
              </w:rPr>
              <w:t>完成排污许可证登记，并取得固定污染源排污登记回执，登记编号91341524MA8PBTXF6Y001X。</w:t>
            </w:r>
          </w:p>
          <w:p>
            <w:pPr>
              <w:keepNext w:val="0"/>
              <w:keepLines w:val="0"/>
              <w:pageBreakBefore w:val="0"/>
              <w:widowControl w:val="0"/>
              <w:kinsoku/>
              <w:wordWrap/>
              <w:overflowPunct/>
              <w:topLinePunct w:val="0"/>
              <w:autoSpaceDE/>
              <w:autoSpaceDN/>
              <w:bidi w:val="0"/>
              <w:adjustRightInd/>
              <w:snapToGrid/>
              <w:spacing w:after="0" w:line="360" w:lineRule="auto"/>
              <w:ind w:left="0" w:firstLine="480" w:firstLineChars="200"/>
              <w:jc w:val="both"/>
              <w:textAlignment w:val="auto"/>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（2）任务由来</w:t>
            </w:r>
          </w:p>
          <w:p>
            <w:pPr>
              <w:keepNext w:val="0"/>
              <w:keepLines w:val="0"/>
              <w:pageBreakBefore w:val="0"/>
              <w:widowControl w:val="0"/>
              <w:kinsoku/>
              <w:wordWrap/>
              <w:overflowPunct/>
              <w:topLinePunct w:val="0"/>
              <w:autoSpaceDE/>
              <w:autoSpaceDN/>
              <w:bidi w:val="0"/>
              <w:adjustRightInd/>
              <w:snapToGrid/>
              <w:spacing w:after="0" w:line="360" w:lineRule="auto"/>
              <w:ind w:left="0" w:firstLine="480" w:firstLineChars="200"/>
              <w:jc w:val="both"/>
              <w:textAlignment w:val="auto"/>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根据《建设项目环境保护管理条例》(中华人民共和国国务院令第682条)中第十七条:“编制环境影响报告书、环境影响报告表的建设项目竣工后，建设单位应当按照国务院环境保护行政主管部门规定的标准和程序，对配套建设的环境保护设施进行验收，编制验收报告”。建设单位应当按照国务院环境保护行政主管部门]规定的标准和程序，对配套建设的环境保护设施进行企业自主验收，编制验收报告。项目配套建设的环境保护设施经验收合格，方可正式投入生产或者使用:未经验收或者验收不合格的，不得投入生产或者使用</w:t>
            </w:r>
            <w:r>
              <w:rPr>
                <w:rFonts w:hint="eastAsia" w:ascii="Times New Roman" w:hAnsi="Times New Roman" w:eastAsia="宋体" w:cs="Times New Roman"/>
                <w:kern w:val="2"/>
                <w:sz w:val="24"/>
                <w:szCs w:val="24"/>
                <w:lang w:val="en-US" w:eastAsia="zh-CN" w:bidi="ar-SA"/>
              </w:rPr>
              <w:t>。</w:t>
            </w:r>
          </w:p>
          <w:p>
            <w:pPr>
              <w:keepNext w:val="0"/>
              <w:keepLines w:val="0"/>
              <w:pageBreakBefore w:val="0"/>
              <w:widowControl w:val="0"/>
              <w:kinsoku/>
              <w:wordWrap/>
              <w:overflowPunct/>
              <w:topLinePunct w:val="0"/>
              <w:autoSpaceDE/>
              <w:autoSpaceDN/>
              <w:bidi w:val="0"/>
              <w:adjustRightInd/>
              <w:snapToGrid/>
              <w:spacing w:after="0" w:line="360" w:lineRule="auto"/>
              <w:ind w:left="0" w:firstLine="480" w:firstLineChars="200"/>
              <w:jc w:val="both"/>
              <w:textAlignment w:val="auto"/>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第十八条:分期建设、分期投入生产或者使用的建设项目，其相应的环境保护设施应当分期验收。</w:t>
            </w:r>
          </w:p>
          <w:p>
            <w:pPr>
              <w:keepNext w:val="0"/>
              <w:keepLines w:val="0"/>
              <w:pageBreakBefore w:val="0"/>
              <w:widowControl w:val="0"/>
              <w:kinsoku/>
              <w:wordWrap/>
              <w:overflowPunct/>
              <w:topLinePunct w:val="0"/>
              <w:autoSpaceDE/>
              <w:autoSpaceDN/>
              <w:bidi w:val="0"/>
              <w:adjustRightInd/>
              <w:snapToGrid/>
              <w:spacing w:after="0" w:line="360" w:lineRule="auto"/>
              <w:ind w:left="0" w:firstLine="480" w:firstLineChars="200"/>
              <w:jc w:val="both"/>
              <w:textAlignment w:val="auto"/>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本项目现阶段建成投产后</w:t>
            </w:r>
            <w:r>
              <w:rPr>
                <w:rFonts w:hint="default" w:ascii="Times New Roman" w:hAnsi="Times New Roman" w:eastAsia="宋体" w:cs="Times New Roman"/>
                <w:kern w:val="2"/>
                <w:sz w:val="24"/>
                <w:szCs w:val="24"/>
                <w:highlight w:val="none"/>
                <w:lang w:val="en-US" w:eastAsia="zh-CN" w:bidi="ar-SA"/>
              </w:rPr>
              <w:t>产能为</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氧化铝双面覆铜板34万片/年、氧化锆双面覆铜板4万片/年</w:t>
            </w:r>
            <w:r>
              <w:rPr>
                <w:rFonts w:hint="default" w:ascii="Times New Roman" w:hAnsi="Times New Roman" w:eastAsia="宋体" w:cs="Times New Roman"/>
                <w:kern w:val="2"/>
                <w:sz w:val="24"/>
                <w:szCs w:val="24"/>
                <w:highlight w:val="none"/>
                <w:lang w:val="en-US" w:eastAsia="zh-CN" w:bidi="ar-SA"/>
              </w:rPr>
              <w:t>的生产能</w:t>
            </w:r>
            <w:r>
              <w:rPr>
                <w:rFonts w:hint="default" w:ascii="Times New Roman" w:hAnsi="Times New Roman" w:eastAsia="宋体" w:cs="Times New Roman"/>
                <w:kern w:val="2"/>
                <w:sz w:val="24"/>
                <w:szCs w:val="24"/>
                <w:lang w:val="en-US" w:eastAsia="zh-CN" w:bidi="ar-SA"/>
              </w:rPr>
              <w:t>力，为考核该建设项目环保“三同时”执行情况及各项污染治理设施试运行性能和效果，依据国家环境保护部《建设项目竣工环境保护验收暂行办法》要求，于2023年6月，对安徽思睿辰新材料有限公司陶瓷覆铜板项目开展阶段性竣工环保验收工作。</w:t>
            </w:r>
          </w:p>
          <w:p>
            <w:pPr>
              <w:keepNext w:val="0"/>
              <w:keepLines w:val="0"/>
              <w:pageBreakBefore w:val="0"/>
              <w:widowControl w:val="0"/>
              <w:kinsoku/>
              <w:wordWrap/>
              <w:overflowPunct/>
              <w:topLinePunct w:val="0"/>
              <w:autoSpaceDE/>
              <w:autoSpaceDN/>
              <w:bidi w:val="0"/>
              <w:adjustRightInd/>
              <w:snapToGrid/>
              <w:spacing w:after="0" w:line="360" w:lineRule="auto"/>
              <w:ind w:left="0" w:firstLine="480" w:firstLineChars="200"/>
              <w:jc w:val="both"/>
              <w:textAlignment w:val="auto"/>
              <w:rPr>
                <w:rFonts w:hint="default" w:ascii="Times New Roman" w:hAnsi="Times New Roman" w:eastAsia="宋体" w:cs="Times New Roman"/>
                <w:b w:val="0"/>
                <w:bCs w:val="0"/>
                <w:kern w:val="2"/>
                <w:sz w:val="24"/>
                <w:szCs w:val="24"/>
                <w:lang w:val="en-US" w:eastAsia="zh-CN" w:bidi="ar-SA"/>
              </w:rPr>
            </w:pPr>
            <w:r>
              <w:rPr>
                <w:rFonts w:hint="default" w:ascii="Times New Roman" w:hAnsi="Times New Roman" w:eastAsia="宋体" w:cs="Times New Roman"/>
                <w:b w:val="0"/>
                <w:bCs w:val="0"/>
                <w:kern w:val="2"/>
                <w:sz w:val="24"/>
                <w:szCs w:val="24"/>
                <w:lang w:val="en-US" w:eastAsia="zh-CN" w:bidi="ar-SA"/>
              </w:rPr>
              <w:t>（3）验收条件满足性分析</w:t>
            </w:r>
          </w:p>
          <w:p>
            <w:pPr>
              <w:widowControl w:val="0"/>
              <w:adjustRightInd/>
              <w:snapToGrid/>
              <w:spacing w:after="0" w:line="480" w:lineRule="exact"/>
              <w:ind w:left="0" w:firstLine="482" w:firstLineChars="200"/>
              <w:jc w:val="center"/>
              <w:rPr>
                <w:rFonts w:hint="default"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表2.1项目满足验收条件情况一览表</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38"/>
              <w:gridCol w:w="3255"/>
              <w:gridCol w:w="1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8"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sz w:val="21"/>
                      <w:szCs w:val="21"/>
                    </w:rPr>
                    <w:t>关于发布《建设项目竣工环境保护验收暂行办法》的公告(国环规环评</w:t>
                  </w:r>
                  <w:r>
                    <w:rPr>
                      <w:rFonts w:hint="default" w:ascii="Times New Roman" w:hAnsi="Times New Roman" w:eastAsia="宋体" w:cs="Times New Roman"/>
                      <w:b w:val="0"/>
                      <w:bCs w:val="0"/>
                      <w:sz w:val="21"/>
                      <w:szCs w:val="21"/>
                      <w:lang w:val="en-US" w:eastAsia="zh-CN"/>
                    </w:rPr>
                    <w:t>{</w:t>
                  </w:r>
                  <w:r>
                    <w:rPr>
                      <w:rFonts w:hint="default" w:ascii="Times New Roman" w:hAnsi="Times New Roman" w:eastAsia="宋体" w:cs="Times New Roman"/>
                      <w:b w:val="0"/>
                      <w:bCs w:val="0"/>
                      <w:sz w:val="21"/>
                      <w:szCs w:val="21"/>
                    </w:rPr>
                    <w:t>201</w:t>
                  </w:r>
                  <w:r>
                    <w:rPr>
                      <w:rFonts w:hint="default" w:ascii="Times New Roman" w:hAnsi="Times New Roman" w:eastAsia="宋体" w:cs="Times New Roman"/>
                      <w:b w:val="0"/>
                      <w:bCs w:val="0"/>
                      <w:sz w:val="21"/>
                      <w:szCs w:val="21"/>
                      <w:lang w:val="en-US" w:eastAsia="zh-CN"/>
                    </w:rPr>
                    <w:t>7}4</w:t>
                  </w:r>
                  <w:r>
                    <w:rPr>
                      <w:rFonts w:hint="default" w:ascii="Times New Roman" w:hAnsi="Times New Roman" w:eastAsia="宋体" w:cs="Times New Roman"/>
                      <w:b w:val="0"/>
                      <w:bCs w:val="0"/>
                      <w:sz w:val="21"/>
                      <w:szCs w:val="21"/>
                    </w:rPr>
                    <w:t>号)中不得提出验收合格意见的情形</w:t>
                  </w:r>
                </w:p>
              </w:tc>
              <w:tc>
                <w:tcPr>
                  <w:tcW w:w="3255"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val="0"/>
                      <w:sz w:val="21"/>
                      <w:szCs w:val="21"/>
                      <w:vertAlign w:val="baseline"/>
                      <w:lang w:val="en-US" w:eastAsia="zh-CN"/>
                    </w:rPr>
                  </w:pPr>
                </w:p>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本项目实际相关情形</w:t>
                  </w:r>
                </w:p>
              </w:tc>
              <w:tc>
                <w:tcPr>
                  <w:tcW w:w="1103"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合格</w:t>
                  </w:r>
                </w:p>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8"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rPr>
                    <w:t>(1)未按环境影响报告书(表)及其审批部门审批决定要求建成环境保护设施，或者环境保护设施不能与主体工程同时投产或者使用的</w:t>
                  </w:r>
                </w:p>
              </w:tc>
              <w:tc>
                <w:tcPr>
                  <w:tcW w:w="3255"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已办理环评手续（金环审【2023】38号），相关环保设施做到了与主体工程同时投产或使用</w:t>
                  </w:r>
                </w:p>
              </w:tc>
              <w:tc>
                <w:tcPr>
                  <w:tcW w:w="1103"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8"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rPr>
                    <w:t>(2)污染物排放不符合国家和地方相关标准、环境影响报告书(表)及其审批部门审批决定或者重点污染物排放总量控制指标要求的</w:t>
                  </w:r>
                </w:p>
              </w:tc>
              <w:tc>
                <w:tcPr>
                  <w:tcW w:w="3255"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污染排放满足相关标准和总量控制指标要求</w:t>
                  </w:r>
                </w:p>
              </w:tc>
              <w:tc>
                <w:tcPr>
                  <w:tcW w:w="1103"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8"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rPr>
                    <w:t>(3)环境影响报告书(表)经批准后，该建设项目的性质、规模、地点、采用的生产工艺或者防治污染、防止生态破坏的措施发生重大变动，建设单位未重新报批环境影响报告书(表)或者环境影响报告书(表)未经批准的</w:t>
                  </w:r>
                </w:p>
              </w:tc>
              <w:tc>
                <w:tcPr>
                  <w:tcW w:w="3255"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根据《关于印发&lt;污染影响类建设项目重大变动清单（试行）&gt;的通知》（环办环评函[2022]688号），项目不涉及重大变动</w:t>
                  </w:r>
                </w:p>
              </w:tc>
              <w:tc>
                <w:tcPr>
                  <w:tcW w:w="1103"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8"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rPr>
                    <w:t>(4)建设过程中造成重大环境污染未治理完成，或者造成重大生态破坏未恢复的</w:t>
                  </w:r>
                </w:p>
              </w:tc>
              <w:tc>
                <w:tcPr>
                  <w:tcW w:w="3255"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不涉及</w:t>
                  </w:r>
                </w:p>
              </w:tc>
              <w:tc>
                <w:tcPr>
                  <w:tcW w:w="1103"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8"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rPr>
                    <w:t>(5)纳入排污许可管理的建设项目，无证排污或者不按证排污的</w:t>
                  </w:r>
                </w:p>
              </w:tc>
              <w:tc>
                <w:tcPr>
                  <w:tcW w:w="3255"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固定污染源排污登记回执：</w:t>
                  </w:r>
                </w:p>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91341524MA8PBTXF6Y001X</w:t>
                  </w:r>
                </w:p>
              </w:tc>
              <w:tc>
                <w:tcPr>
                  <w:tcW w:w="1103"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8"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rPr>
                    <w:t>(6)分期建设、分期投入生产或者使用依法应当分期验收的建设项目，其分期建设、分期投入生产或者使用的环境.保护设施防治环境污染和生态破坏的能力不能满足其相应主体工程需要的</w:t>
                  </w:r>
                </w:p>
              </w:tc>
              <w:tc>
                <w:tcPr>
                  <w:tcW w:w="3255"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t>本项目分阶段建设，现阶段投入环保设施与相应主体工程相匹配</w:t>
                  </w:r>
                </w:p>
              </w:tc>
              <w:tc>
                <w:tcPr>
                  <w:tcW w:w="1103"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8"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rPr>
                    <w:t>(7))建设单位因该建设项目违反国.家和地方环境保护法律法规受到处罚,被责令改正，尚未改正完成的</w:t>
                  </w:r>
                </w:p>
              </w:tc>
              <w:tc>
                <w:tcPr>
                  <w:tcW w:w="3255"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不涉及</w:t>
                  </w:r>
                </w:p>
              </w:tc>
              <w:tc>
                <w:tcPr>
                  <w:tcW w:w="1103"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8"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rPr>
                    <w:t>(8)验收报告的基础资料数据明显不实，内容存在重大缺项、遗漏，或者马收结论不明确、不合理的</w:t>
                  </w:r>
                </w:p>
              </w:tc>
              <w:tc>
                <w:tcPr>
                  <w:tcW w:w="3255"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验收报告基础资料、监测数据真实，无重大缺项、遗漏，结论明确</w:t>
                  </w:r>
                </w:p>
              </w:tc>
              <w:tc>
                <w:tcPr>
                  <w:tcW w:w="1103"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8"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rPr>
                    <w:t>(9)其他环境保护法律法规规章等</w:t>
                  </w:r>
                  <w:r>
                    <w:rPr>
                      <w:rFonts w:hint="default" w:ascii="Times New Roman" w:hAnsi="Times New Roman" w:eastAsia="宋体" w:cs="Times New Roman"/>
                      <w:sz w:val="21"/>
                      <w:szCs w:val="21"/>
                      <w:lang w:val="en-US" w:eastAsia="zh-CN"/>
                    </w:rPr>
                    <w:t>规</w:t>
                  </w:r>
                  <w:r>
                    <w:rPr>
                      <w:rFonts w:hint="default" w:ascii="Times New Roman" w:hAnsi="Times New Roman" w:eastAsia="宋体" w:cs="Times New Roman"/>
                      <w:sz w:val="21"/>
                      <w:szCs w:val="21"/>
                    </w:rPr>
                    <w:t>定不得通过环境保护验收的</w:t>
                  </w:r>
                </w:p>
              </w:tc>
              <w:tc>
                <w:tcPr>
                  <w:tcW w:w="3255"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不涉及</w:t>
                  </w:r>
                </w:p>
              </w:tc>
              <w:tc>
                <w:tcPr>
                  <w:tcW w:w="1103"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vertAlign w:val="baseline"/>
                      <w:lang w:val="en-US" w:eastAsia="zh-CN"/>
                    </w:rPr>
                    <w:t>合格</w:t>
                  </w:r>
                </w:p>
              </w:tc>
            </w:tr>
          </w:tbl>
          <w:p>
            <w:pPr>
              <w:spacing w:after="0" w:line="220" w:lineRule="atLeast"/>
              <w:rPr>
                <w:rFonts w:hint="eastAsia" w:asciiTheme="majorEastAsia" w:hAnsiTheme="majorEastAsia" w:eastAsiaTheme="majorEastAsia" w:cstheme="majorEastAsia"/>
                <w:b/>
                <w:bCs/>
                <w:sz w:val="24"/>
                <w:szCs w:val="24"/>
                <w:lang w:val="en-US" w:eastAsia="zh-CN"/>
              </w:rPr>
            </w:pPr>
          </w:p>
          <w:p>
            <w:pPr>
              <w:numPr>
                <w:ilvl w:val="0"/>
                <w:numId w:val="0"/>
              </w:numPr>
              <w:spacing w:after="0" w:line="480" w:lineRule="exact"/>
              <w:ind w:firstLine="482" w:firstLineChars="200"/>
              <w:rPr>
                <w:rFonts w:hint="eastAsia" w:ascii="Times New Roman" w:cs="Times New Roman" w:hAnsiTheme="minorEastAsia" w:eastAsiaTheme="minorEastAsia"/>
                <w:b/>
                <w:bCs w:val="0"/>
                <w:sz w:val="24"/>
                <w:szCs w:val="24"/>
                <w:lang w:val="en-US" w:eastAsia="zh-CN"/>
              </w:rPr>
            </w:pPr>
          </w:p>
          <w:p>
            <w:pPr>
              <w:numPr>
                <w:ilvl w:val="0"/>
                <w:numId w:val="0"/>
              </w:numPr>
              <w:spacing w:after="0" w:line="480" w:lineRule="exact"/>
              <w:ind w:firstLine="482" w:firstLineChars="200"/>
              <w:rPr>
                <w:rFonts w:hint="eastAsia" w:ascii="Times New Roman" w:cs="Times New Roman" w:hAnsiTheme="minorEastAsia" w:eastAsiaTheme="minorEastAsia"/>
                <w:b/>
                <w:bCs w:val="0"/>
                <w:sz w:val="24"/>
                <w:szCs w:val="24"/>
                <w:lang w:val="en-US" w:eastAsia="zh-CN"/>
              </w:rPr>
            </w:pPr>
          </w:p>
          <w:p>
            <w:pPr>
              <w:numPr>
                <w:ilvl w:val="0"/>
                <w:numId w:val="0"/>
              </w:numPr>
              <w:spacing w:after="0" w:line="480" w:lineRule="exact"/>
              <w:ind w:firstLine="482" w:firstLineChars="200"/>
              <w:rPr>
                <w:rFonts w:hint="eastAsia" w:ascii="Times New Roman" w:cs="Times New Roman" w:hAnsiTheme="minorEastAsia" w:eastAsiaTheme="minorEastAsia"/>
                <w:b/>
                <w:bCs w:val="0"/>
                <w:sz w:val="24"/>
                <w:szCs w:val="24"/>
                <w:lang w:val="en-US" w:eastAsia="zh-CN"/>
              </w:rPr>
            </w:pPr>
          </w:p>
          <w:p>
            <w:pPr>
              <w:numPr>
                <w:ilvl w:val="0"/>
                <w:numId w:val="0"/>
              </w:numPr>
              <w:spacing w:after="0" w:line="480" w:lineRule="exact"/>
              <w:ind w:firstLine="482" w:firstLineChars="200"/>
              <w:rPr>
                <w:rFonts w:hint="eastAsia" w:ascii="Times New Roman" w:cs="Times New Roman" w:hAnsiTheme="minorEastAsia" w:eastAsiaTheme="minorEastAsia"/>
                <w:b/>
                <w:bCs w:val="0"/>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0" w:firstLineChars="0"/>
              <w:textAlignment w:val="auto"/>
              <w:rPr>
                <w:rFonts w:hint="eastAsia" w:ascii="Times New Roman" w:cs="Times New Roman" w:hAnsiTheme="minorEastAsia" w:eastAsiaTheme="minorEastAsia"/>
                <w:b/>
                <w:bCs w:val="0"/>
                <w:sz w:val="24"/>
                <w:szCs w:val="24"/>
                <w:lang w:val="en-US" w:eastAsia="zh-CN"/>
              </w:rPr>
            </w:pPr>
            <w:r>
              <w:rPr>
                <w:rFonts w:hint="eastAsia" w:ascii="Times New Roman" w:cs="Times New Roman" w:hAnsiTheme="minorEastAsia" w:eastAsiaTheme="minorEastAsia"/>
                <w:b/>
                <w:bCs w:val="0"/>
                <w:sz w:val="24"/>
                <w:szCs w:val="24"/>
                <w:lang w:val="en-US" w:eastAsia="zh-CN"/>
              </w:rPr>
              <w:t>2、工程建设内容</w:t>
            </w:r>
          </w:p>
          <w:p>
            <w:pPr>
              <w:pStyle w:val="9"/>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Chars="0" w:firstLine="480" w:firstLineChars="200"/>
              <w:textAlignment w:val="auto"/>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（1）环评申报内容概况</w:t>
            </w:r>
          </w:p>
          <w:p>
            <w:pPr>
              <w:pStyle w:val="9"/>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Chars="0" w:firstLine="480" w:firstLineChars="200"/>
              <w:textAlignment w:val="auto"/>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rPr>
              <w:t>购置</w:t>
            </w:r>
            <w:r>
              <w:rPr>
                <w:rFonts w:hint="default" w:ascii="Times New Roman" w:hAnsi="Times New Roman" w:eastAsia="宋体" w:cs="Times New Roman"/>
                <w:sz w:val="24"/>
                <w:szCs w:val="24"/>
                <w:lang w:val="en-US" w:eastAsia="zh-CN"/>
              </w:rPr>
              <w:t>DBC气氛烧结炉、气氛控制炉、网带式氮气氛连续烧结炉</w:t>
            </w:r>
            <w:r>
              <w:rPr>
                <w:rFonts w:hint="default" w:ascii="Times New Roman" w:hAnsi="Times New Roman" w:eastAsia="宋体" w:cs="Times New Roman"/>
                <w:sz w:val="24"/>
                <w:szCs w:val="24"/>
              </w:rPr>
              <w:t>等多台设备，新建</w:t>
            </w:r>
            <w:r>
              <w:rPr>
                <w:rFonts w:hint="default" w:ascii="Times New Roman" w:hAnsi="Times New Roman" w:eastAsia="宋体" w:cs="Times New Roman"/>
                <w:sz w:val="24"/>
                <w:szCs w:val="24"/>
                <w:lang w:val="en-US" w:eastAsia="zh-CN"/>
              </w:rPr>
              <w:t>16</w:t>
            </w:r>
            <w:r>
              <w:rPr>
                <w:rFonts w:hint="default" w:ascii="Times New Roman" w:hAnsi="Times New Roman" w:eastAsia="宋体" w:cs="Times New Roman"/>
                <w:sz w:val="24"/>
                <w:szCs w:val="24"/>
              </w:rPr>
              <w:t>条</w:t>
            </w:r>
            <w:r>
              <w:rPr>
                <w:rFonts w:hint="default" w:ascii="Times New Roman" w:hAnsi="Times New Roman" w:eastAsia="宋体" w:cs="Times New Roman"/>
                <w:sz w:val="24"/>
                <w:szCs w:val="24"/>
                <w:lang w:val="en-US" w:eastAsia="zh-CN"/>
              </w:rPr>
              <w:t>陶瓷覆铜板</w:t>
            </w:r>
            <w:r>
              <w:rPr>
                <w:rFonts w:hint="default" w:ascii="Times New Roman" w:hAnsi="Times New Roman" w:eastAsia="宋体" w:cs="Times New Roman"/>
                <w:sz w:val="24"/>
                <w:szCs w:val="24"/>
              </w:rPr>
              <w:t>生产线。项目建成后可形成</w:t>
            </w:r>
            <w:r>
              <w:rPr>
                <w:rFonts w:hint="default" w:ascii="Times New Roman" w:hAnsi="Times New Roman" w:eastAsia="宋体" w:cs="Times New Roman"/>
                <w:sz w:val="24"/>
                <w:szCs w:val="24"/>
                <w:lang w:val="en-US" w:eastAsia="zh-CN"/>
              </w:rPr>
              <w:t>年产36万片氧化锆双面覆铜板和324万片氧化铝双面覆铜板的生产能力</w:t>
            </w:r>
            <w:r>
              <w:rPr>
                <w:rFonts w:hint="default" w:ascii="Times New Roman" w:hAnsi="Times New Roman" w:eastAsia="宋体" w:cs="Times New Roman"/>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Chars="0" w:firstLine="480" w:firstLineChars="200"/>
              <w:textAlignment w:val="auto"/>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（2）现阶段实际建成内容概况</w:t>
            </w:r>
          </w:p>
          <w:p>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Chars="0" w:firstLine="480" w:firstLineChars="200"/>
              <w:textAlignment w:val="auto"/>
              <w:rPr>
                <w:rFonts w:hint="default" w:ascii="Times New Roman" w:hAnsi="Times New Roman" w:eastAsia="宋体" w:cs="Times New Roman"/>
                <w:b w:val="0"/>
                <w:bCs w:val="0"/>
                <w:sz w:val="24"/>
                <w:szCs w:val="24"/>
                <w:highlight w:val="none"/>
                <w:lang w:val="en-US" w:eastAsia="zh-CN"/>
              </w:rPr>
            </w:pPr>
            <w:r>
              <w:rPr>
                <w:rFonts w:hint="default" w:ascii="Times New Roman" w:hAnsi="Times New Roman" w:eastAsia="宋体" w:cs="Times New Roman"/>
                <w:sz w:val="24"/>
                <w:szCs w:val="24"/>
              </w:rPr>
              <w:t>购置</w:t>
            </w:r>
            <w:r>
              <w:rPr>
                <w:rFonts w:hint="default" w:ascii="Times New Roman" w:hAnsi="Times New Roman" w:eastAsia="宋体" w:cs="Times New Roman"/>
                <w:sz w:val="24"/>
                <w:szCs w:val="24"/>
                <w:lang w:val="en-US" w:eastAsia="zh-CN"/>
              </w:rPr>
              <w:t>DBC气氛烧结炉、气氛控制炉、网带</w:t>
            </w:r>
            <w:r>
              <w:rPr>
                <w:rFonts w:hint="default" w:ascii="Times New Roman" w:hAnsi="Times New Roman" w:eastAsia="宋体" w:cs="Times New Roman"/>
                <w:sz w:val="24"/>
                <w:szCs w:val="24"/>
                <w:highlight w:val="none"/>
                <w:lang w:val="en-US" w:eastAsia="zh-CN"/>
              </w:rPr>
              <w:t>式氮气氛连续烧结炉</w:t>
            </w:r>
            <w:r>
              <w:rPr>
                <w:rFonts w:hint="default" w:ascii="Times New Roman" w:hAnsi="Times New Roman" w:eastAsia="宋体" w:cs="Times New Roman"/>
                <w:sz w:val="24"/>
                <w:szCs w:val="24"/>
                <w:highlight w:val="none"/>
              </w:rPr>
              <w:t>等多台设备，新建</w:t>
            </w:r>
            <w:r>
              <w:rPr>
                <w:rFonts w:hint="default" w:ascii="Times New Roman" w:hAnsi="Times New Roman" w:eastAsia="宋体" w:cs="Times New Roman"/>
                <w:sz w:val="24"/>
                <w:szCs w:val="24"/>
                <w:highlight w:val="none"/>
                <w:lang w:val="en-US" w:eastAsia="zh-CN"/>
              </w:rPr>
              <w:t>6</w:t>
            </w:r>
            <w:r>
              <w:rPr>
                <w:rFonts w:hint="default" w:ascii="Times New Roman" w:hAnsi="Times New Roman" w:eastAsia="宋体" w:cs="Times New Roman"/>
                <w:sz w:val="24"/>
                <w:szCs w:val="24"/>
                <w:highlight w:val="none"/>
              </w:rPr>
              <w:t>条</w:t>
            </w:r>
            <w:r>
              <w:rPr>
                <w:rFonts w:hint="default" w:ascii="Times New Roman" w:hAnsi="Times New Roman" w:eastAsia="宋体" w:cs="Times New Roman"/>
                <w:sz w:val="24"/>
                <w:szCs w:val="24"/>
                <w:highlight w:val="none"/>
                <w:lang w:val="en-US" w:eastAsia="zh-CN"/>
              </w:rPr>
              <w:t>陶瓷覆铜板</w:t>
            </w:r>
            <w:r>
              <w:rPr>
                <w:rFonts w:hint="default" w:ascii="Times New Roman" w:hAnsi="Times New Roman" w:eastAsia="宋体" w:cs="Times New Roman"/>
                <w:sz w:val="24"/>
                <w:szCs w:val="24"/>
                <w:highlight w:val="none"/>
              </w:rPr>
              <w:t>生产线，</w:t>
            </w:r>
            <w:r>
              <w:rPr>
                <w:rFonts w:hint="default" w:ascii="Times New Roman" w:hAnsi="Times New Roman" w:eastAsia="宋体" w:cs="Times New Roman"/>
                <w:b w:val="0"/>
                <w:bCs w:val="0"/>
                <w:sz w:val="24"/>
                <w:szCs w:val="24"/>
                <w:highlight w:val="none"/>
                <w:lang w:val="en-US" w:eastAsia="zh-CN"/>
              </w:rPr>
              <w:t>生产产能为每年</w:t>
            </w:r>
            <w:r>
              <w:rPr>
                <w:rFonts w:hint="default" w:ascii="Times New Roman" w:hAnsi="Times New Roman" w:eastAsia="宋体" w:cs="Times New Roman"/>
                <w:sz w:val="24"/>
                <w:szCs w:val="24"/>
                <w:highlight w:val="none"/>
                <w:lang w:val="en-US" w:eastAsia="zh-CN"/>
              </w:rPr>
              <w:t>4万片氧化锆双面覆铜板和每年34万片氧化铝双面覆铜板</w:t>
            </w:r>
            <w:r>
              <w:rPr>
                <w:rFonts w:hint="default" w:ascii="Times New Roman" w:hAnsi="Times New Roman" w:eastAsia="宋体" w:cs="Times New Roman"/>
                <w:highlight w:val="none"/>
                <w:lang w:eastAsia="zh-CN"/>
              </w:rPr>
              <w:t>。</w:t>
            </w:r>
          </w:p>
          <w:p>
            <w:pPr>
              <w:pStyle w:val="9"/>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eastAsia="宋体" w:cs="宋体"/>
                <w:b w:val="0"/>
                <w:bCs w:val="0"/>
                <w:sz w:val="24"/>
                <w:szCs w:val="24"/>
                <w:lang w:val="en-US" w:eastAsia="zh-CN"/>
              </w:rPr>
            </w:pPr>
            <w:r>
              <w:rPr>
                <w:rFonts w:hint="default" w:ascii="Times New Roman" w:hAnsi="Times New Roman" w:eastAsia="宋体" w:cs="Times New Roman"/>
                <w:b w:val="0"/>
                <w:bCs w:val="0"/>
                <w:sz w:val="24"/>
                <w:szCs w:val="24"/>
                <w:lang w:val="en-US" w:eastAsia="zh-CN"/>
              </w:rPr>
              <w:t>项目环评申报时工程内容与实际建设工程对照见下表2.2：</w:t>
            </w:r>
          </w:p>
          <w:p>
            <w:pPr>
              <w:jc w:val="center"/>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表2.2环评工程内容与实际工程内容对照表</w:t>
            </w: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656"/>
              <w:gridCol w:w="4083"/>
              <w:gridCol w:w="31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25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color w:val="auto"/>
                      <w:sz w:val="21"/>
                      <w:szCs w:val="21"/>
                      <w:lang w:val="en-US" w:eastAsia="zh-CN" w:bidi="ar-SA"/>
                    </w:rPr>
                    <w:t>工程名称</w:t>
                  </w:r>
                </w:p>
              </w:tc>
              <w:tc>
                <w:tcPr>
                  <w:tcW w:w="39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color w:val="auto"/>
                      <w:sz w:val="21"/>
                      <w:szCs w:val="21"/>
                      <w:lang w:val="en-US" w:eastAsia="zh-CN" w:bidi="ar-SA"/>
                    </w:rPr>
                    <w:t>单项工程</w:t>
                  </w:r>
                </w:p>
              </w:tc>
              <w:tc>
                <w:tcPr>
                  <w:tcW w:w="2460"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color w:val="auto"/>
                      <w:sz w:val="21"/>
                      <w:szCs w:val="21"/>
                      <w:lang w:val="en-US" w:eastAsia="zh-CN" w:bidi="ar-SA"/>
                    </w:rPr>
                    <w:t>工程内容及规模</w:t>
                  </w:r>
                </w:p>
              </w:tc>
              <w:tc>
                <w:tcPr>
                  <w:tcW w:w="188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color w:val="auto"/>
                      <w:sz w:val="21"/>
                      <w:szCs w:val="21"/>
                      <w:lang w:val="en-US" w:eastAsia="zh-CN" w:bidi="ar-SA"/>
                    </w:rPr>
                    <w:t>现阶段实际建成内容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 w:hRule="atLeast"/>
                <w:jc w:val="center"/>
              </w:trPr>
              <w:tc>
                <w:tcPr>
                  <w:tcW w:w="25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主体工程</w:t>
                  </w:r>
                </w:p>
              </w:tc>
              <w:tc>
                <w:tcPr>
                  <w:tcW w:w="39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陶瓷覆铜板生产线</w:t>
                  </w:r>
                </w:p>
              </w:tc>
              <w:tc>
                <w:tcPr>
                  <w:tcW w:w="2460"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厂房内购置DBC气氛烧结炉、气氛控制炉、网带式氮气氛连续烧结炉等生产设备新建16条陶瓷覆铜板生产线，建成后可实现年产36万片氧化锆双面覆铜板和324万片氧化铝双面覆铜板的生产能力</w:t>
                  </w:r>
                </w:p>
              </w:tc>
              <w:tc>
                <w:tcPr>
                  <w:tcW w:w="188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厂房内购置DBC气氛烧结炉、气氛控制炉、网带式氮气氛连续烧结炉等生产设备新建6条陶瓷覆铜板生产线，建成后可实现年产4万片氧化锆双面覆铜板和34万片氧化铝双面覆铜板的生产能力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6" w:type="pct"/>
                  <w:vMerge w:val="restar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辅助工程</w:t>
                  </w:r>
                </w:p>
              </w:tc>
              <w:tc>
                <w:tcPr>
                  <w:tcW w:w="39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办公区</w:t>
                  </w:r>
                </w:p>
              </w:tc>
              <w:tc>
                <w:tcPr>
                  <w:tcW w:w="2460"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位于位于租赁厂房内，建筑面积为668m</w:t>
                  </w:r>
                  <w:r>
                    <w:rPr>
                      <w:rFonts w:hint="default" w:ascii="Times New Roman" w:hAnsi="Times New Roman" w:eastAsia="宋体" w:cs="Times New Roman"/>
                      <w:color w:val="auto"/>
                      <w:sz w:val="21"/>
                      <w:szCs w:val="21"/>
                      <w:vertAlign w:val="superscript"/>
                      <w:lang w:val="en-US" w:eastAsia="zh-CN" w:bidi="ar-SA"/>
                    </w:rPr>
                    <w:t>2</w:t>
                  </w:r>
                  <w:r>
                    <w:rPr>
                      <w:rFonts w:hint="default" w:ascii="Times New Roman" w:hAnsi="Times New Roman" w:eastAsia="宋体" w:cs="Times New Roman"/>
                      <w:color w:val="auto"/>
                      <w:sz w:val="21"/>
                      <w:szCs w:val="21"/>
                      <w:lang w:val="en-US" w:eastAsia="zh-CN" w:bidi="ar-SA"/>
                    </w:rPr>
                    <w:t>，作为办公管理场所</w:t>
                  </w:r>
                </w:p>
              </w:tc>
              <w:tc>
                <w:tcPr>
                  <w:tcW w:w="188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6"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p>
              </w:tc>
              <w:tc>
                <w:tcPr>
                  <w:tcW w:w="39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检验室</w:t>
                  </w:r>
                </w:p>
              </w:tc>
              <w:tc>
                <w:tcPr>
                  <w:tcW w:w="2460"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位于租赁厂房内，建筑面积为79m</w:t>
                  </w:r>
                  <w:r>
                    <w:rPr>
                      <w:rFonts w:hint="default" w:ascii="Times New Roman" w:hAnsi="Times New Roman" w:eastAsia="宋体" w:cs="Times New Roman"/>
                      <w:color w:val="auto"/>
                      <w:sz w:val="21"/>
                      <w:szCs w:val="21"/>
                      <w:vertAlign w:val="superscript"/>
                      <w:lang w:val="en-US" w:eastAsia="zh-CN" w:bidi="ar-SA"/>
                    </w:rPr>
                    <w:t>2</w:t>
                  </w:r>
                  <w:r>
                    <w:rPr>
                      <w:rFonts w:hint="default" w:ascii="Times New Roman" w:hAnsi="Times New Roman" w:eastAsia="宋体" w:cs="Times New Roman"/>
                      <w:color w:val="auto"/>
                      <w:sz w:val="21"/>
                      <w:szCs w:val="21"/>
                      <w:lang w:val="en-US" w:eastAsia="zh-CN" w:bidi="ar-SA"/>
                    </w:rPr>
                    <w:t>，作为检验室</w:t>
                  </w:r>
                </w:p>
              </w:tc>
              <w:tc>
                <w:tcPr>
                  <w:tcW w:w="188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256" w:type="pct"/>
                  <w:vMerge w:val="restar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储运工程</w:t>
                  </w:r>
                </w:p>
              </w:tc>
              <w:tc>
                <w:tcPr>
                  <w:tcW w:w="39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原料仓库</w:t>
                  </w:r>
                </w:p>
              </w:tc>
              <w:tc>
                <w:tcPr>
                  <w:tcW w:w="2460"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位于位于租赁厂房内，建筑面积69.1m</w:t>
                  </w:r>
                  <w:r>
                    <w:rPr>
                      <w:rFonts w:hint="default" w:ascii="Times New Roman" w:hAnsi="Times New Roman" w:eastAsia="宋体" w:cs="Times New Roman"/>
                      <w:color w:val="auto"/>
                      <w:sz w:val="21"/>
                      <w:szCs w:val="21"/>
                      <w:vertAlign w:val="superscript"/>
                      <w:lang w:val="en-US" w:eastAsia="zh-CN" w:bidi="ar-SA"/>
                    </w:rPr>
                    <w:t>2</w:t>
                  </w:r>
                  <w:r>
                    <w:rPr>
                      <w:rFonts w:hint="default" w:ascii="Times New Roman" w:hAnsi="Times New Roman" w:eastAsia="宋体" w:cs="Times New Roman"/>
                      <w:color w:val="auto"/>
                      <w:sz w:val="21"/>
                      <w:szCs w:val="21"/>
                      <w:lang w:val="en-US" w:eastAsia="zh-CN" w:bidi="ar-SA"/>
                    </w:rPr>
                    <w:t>，主要用于生产所需氧化铝陶瓷、氧化锆陶瓷、无氧铜等原材料的存放</w:t>
                  </w:r>
                </w:p>
              </w:tc>
              <w:tc>
                <w:tcPr>
                  <w:tcW w:w="188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256"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p>
              </w:tc>
              <w:tc>
                <w:tcPr>
                  <w:tcW w:w="39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成品仓库</w:t>
                  </w:r>
                </w:p>
              </w:tc>
              <w:tc>
                <w:tcPr>
                  <w:tcW w:w="2460"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位于位于租赁厂房内，建筑面积94m2，主要用于各型陶瓷覆铜板产品的存放</w:t>
                  </w:r>
                </w:p>
              </w:tc>
              <w:tc>
                <w:tcPr>
                  <w:tcW w:w="188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256"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p>
              </w:tc>
              <w:tc>
                <w:tcPr>
                  <w:tcW w:w="39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氮气站</w:t>
                  </w:r>
                </w:p>
              </w:tc>
              <w:tc>
                <w:tcPr>
                  <w:tcW w:w="2460"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位于3</w:t>
                  </w:r>
                  <w:r>
                    <w:rPr>
                      <w:rFonts w:hint="default" w:ascii="Times New Roman" w:hAnsi="Times New Roman" w:eastAsia="宋体" w:cs="Times New Roman"/>
                      <w:color w:val="auto"/>
                      <w:sz w:val="21"/>
                      <w:szCs w:val="21"/>
                      <w:highlight w:val="none"/>
                      <w:lang w:val="en-US" w:eastAsia="zh-CN" w:bidi="ar-SA"/>
                    </w:rPr>
                    <w:t>#</w:t>
                  </w:r>
                  <w:r>
                    <w:rPr>
                      <w:rFonts w:hint="default" w:ascii="Times New Roman" w:hAnsi="Times New Roman" w:eastAsia="宋体" w:cs="Times New Roman"/>
                      <w:color w:val="auto"/>
                      <w:sz w:val="21"/>
                      <w:szCs w:val="21"/>
                      <w:lang w:val="en-US" w:eastAsia="zh-CN" w:bidi="ar-SA"/>
                    </w:rPr>
                    <w:t>厂房内西侧，占地面积为100m</w:t>
                  </w:r>
                  <w:r>
                    <w:rPr>
                      <w:rFonts w:hint="default" w:ascii="Times New Roman" w:hAnsi="Times New Roman" w:eastAsia="宋体" w:cs="Times New Roman"/>
                      <w:color w:val="auto"/>
                      <w:sz w:val="21"/>
                      <w:szCs w:val="21"/>
                      <w:vertAlign w:val="superscript"/>
                      <w:lang w:val="en-US" w:eastAsia="zh-CN" w:bidi="ar-SA"/>
                    </w:rPr>
                    <w:t>2</w:t>
                  </w:r>
                  <w:r>
                    <w:rPr>
                      <w:rFonts w:hint="default" w:ascii="Times New Roman" w:hAnsi="Times New Roman" w:eastAsia="宋体" w:cs="Times New Roman"/>
                      <w:color w:val="auto"/>
                      <w:sz w:val="21"/>
                      <w:szCs w:val="21"/>
                      <w:lang w:val="en-US" w:eastAsia="zh-CN" w:bidi="ar-SA"/>
                    </w:rPr>
                    <w:t>，主要用于机油等辅料的存储</w:t>
                  </w:r>
                </w:p>
              </w:tc>
              <w:tc>
                <w:tcPr>
                  <w:tcW w:w="188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256"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p>
              </w:tc>
              <w:tc>
                <w:tcPr>
                  <w:tcW w:w="39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间接冷却水循环系统</w:t>
                  </w:r>
                </w:p>
              </w:tc>
              <w:tc>
                <w:tcPr>
                  <w:tcW w:w="2460"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间接冷却循环水</w:t>
                  </w:r>
                  <w:r>
                    <w:rPr>
                      <w:rFonts w:hint="eastAsia" w:ascii="Times New Roman" w:hAnsi="Times New Roman" w:eastAsia="宋体" w:cs="Times New Roman"/>
                      <w:color w:val="auto"/>
                      <w:sz w:val="21"/>
                      <w:szCs w:val="21"/>
                      <w:lang w:val="en-US" w:eastAsia="zh-CN" w:bidi="ar-SA"/>
                    </w:rPr>
                    <w:t>机</w:t>
                  </w:r>
                  <w:r>
                    <w:rPr>
                      <w:rFonts w:hint="default" w:ascii="Times New Roman" w:hAnsi="Times New Roman" w:eastAsia="宋体" w:cs="Times New Roman"/>
                      <w:color w:val="auto"/>
                      <w:sz w:val="21"/>
                      <w:szCs w:val="21"/>
                      <w:lang w:val="en-US" w:eastAsia="zh-CN" w:bidi="ar-SA"/>
                    </w:rPr>
                    <w:t>3台，每台循环水流量6.59m3/h，</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为烧结过后的陶瓷覆铜板做降温</w:t>
                  </w:r>
                </w:p>
              </w:tc>
              <w:tc>
                <w:tcPr>
                  <w:tcW w:w="188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6" w:type="pct"/>
                  <w:vMerge w:val="restar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公用工程</w:t>
                  </w:r>
                </w:p>
              </w:tc>
              <w:tc>
                <w:tcPr>
                  <w:tcW w:w="39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供电系统</w:t>
                  </w:r>
                </w:p>
              </w:tc>
              <w:tc>
                <w:tcPr>
                  <w:tcW w:w="2460"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市政电网供电</w:t>
                  </w:r>
                </w:p>
              </w:tc>
              <w:tc>
                <w:tcPr>
                  <w:tcW w:w="188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6"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p>
              </w:tc>
              <w:tc>
                <w:tcPr>
                  <w:tcW w:w="39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给水工程</w:t>
                  </w:r>
                </w:p>
              </w:tc>
              <w:tc>
                <w:tcPr>
                  <w:tcW w:w="2460"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市政管网供给</w:t>
                  </w:r>
                </w:p>
              </w:tc>
              <w:tc>
                <w:tcPr>
                  <w:tcW w:w="188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6"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p>
              </w:tc>
              <w:tc>
                <w:tcPr>
                  <w:tcW w:w="39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排水工程</w:t>
                  </w:r>
                </w:p>
              </w:tc>
              <w:tc>
                <w:tcPr>
                  <w:tcW w:w="2460"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雨污分流，雨水经厂区雨水管网排入周边道路市政雨水管网；污水经厂区化粪池预处理后接管纳入金寨县污水处理厂处理最终排入史河</w:t>
                  </w:r>
                </w:p>
              </w:tc>
              <w:tc>
                <w:tcPr>
                  <w:tcW w:w="188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6" w:type="pct"/>
                  <w:vMerge w:val="restar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环保工程</w:t>
                  </w:r>
                </w:p>
              </w:tc>
              <w:tc>
                <w:tcPr>
                  <w:tcW w:w="39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废水治理</w:t>
                  </w:r>
                </w:p>
              </w:tc>
              <w:tc>
                <w:tcPr>
                  <w:tcW w:w="2460"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无生产废水排放，生活污水经化粪池预处理接管纳入金寨县污水处理厂</w:t>
                  </w:r>
                </w:p>
              </w:tc>
              <w:tc>
                <w:tcPr>
                  <w:tcW w:w="188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256"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p>
              </w:tc>
              <w:tc>
                <w:tcPr>
                  <w:tcW w:w="39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废气治理</w:t>
                  </w:r>
                </w:p>
              </w:tc>
              <w:tc>
                <w:tcPr>
                  <w:tcW w:w="2460"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lang w:val="en-US" w:eastAsia="zh-CN" w:bidi="ar-SA"/>
                    </w:rPr>
                  </w:pPr>
                  <w:r>
                    <w:rPr>
                      <w:rFonts w:hint="default" w:ascii="Times New Roman" w:hAnsi="Times New Roman" w:eastAsia="宋体" w:cs="Times New Roman"/>
                      <w:color w:val="auto"/>
                      <w:sz w:val="21"/>
                      <w:szCs w:val="21"/>
                      <w:lang w:val="en-US" w:eastAsia="zh-CN" w:bidi="ar-SA"/>
                    </w:rPr>
                    <w:t>本项目仅做陶瓷覆铜板生产的烧结工序，烧结工序不产生废气</w:t>
                  </w:r>
                </w:p>
              </w:tc>
              <w:tc>
                <w:tcPr>
                  <w:tcW w:w="188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0"/>
                      <w:sz w:val="21"/>
                      <w:szCs w:val="21"/>
                      <w:highlight w:val="none"/>
                      <w:lang w:val="en-US" w:eastAsia="zh-CN" w:bidi="ar-SA"/>
                    </w:rPr>
                  </w:pPr>
                  <w:r>
                    <w:rPr>
                      <w:rFonts w:hint="default" w:ascii="Times New Roman" w:hAnsi="Times New Roman" w:eastAsia="宋体" w:cs="Times New Roman"/>
                      <w:color w:val="auto"/>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256"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p>
              </w:tc>
              <w:tc>
                <w:tcPr>
                  <w:tcW w:w="39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噪声</w:t>
                  </w:r>
                </w:p>
              </w:tc>
              <w:tc>
                <w:tcPr>
                  <w:tcW w:w="2460"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优选低噪设备、加强设备维护、基础减振、消声、距离衰减等</w:t>
                  </w:r>
                </w:p>
              </w:tc>
              <w:tc>
                <w:tcPr>
                  <w:tcW w:w="188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256"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p>
              </w:tc>
              <w:tc>
                <w:tcPr>
                  <w:tcW w:w="396" w:type="pct"/>
                  <w:vMerge w:val="restar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固体废物</w:t>
                  </w:r>
                </w:p>
              </w:tc>
              <w:tc>
                <w:tcPr>
                  <w:tcW w:w="2460"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highlight w:val="none"/>
                      <w:lang w:val="en-US" w:eastAsia="zh-CN" w:bidi="ar-SA"/>
                    </w:rPr>
                    <w:t>设置一般工业固废贮存间，总建筑面积20m</w:t>
                  </w:r>
                  <w:r>
                    <w:rPr>
                      <w:rFonts w:hint="default" w:ascii="Times New Roman" w:hAnsi="Times New Roman" w:eastAsia="宋体" w:cs="Times New Roman"/>
                      <w:color w:val="auto"/>
                      <w:sz w:val="21"/>
                      <w:szCs w:val="21"/>
                      <w:highlight w:val="none"/>
                      <w:vertAlign w:val="superscript"/>
                      <w:lang w:val="en-US" w:eastAsia="zh-CN" w:bidi="ar-SA"/>
                    </w:rPr>
                    <w:t>2</w:t>
                  </w:r>
                  <w:r>
                    <w:rPr>
                      <w:rFonts w:hint="default" w:ascii="Times New Roman" w:hAnsi="Times New Roman" w:eastAsia="宋体" w:cs="Times New Roman"/>
                      <w:color w:val="auto"/>
                      <w:sz w:val="21"/>
                      <w:szCs w:val="21"/>
                      <w:highlight w:val="none"/>
                      <w:lang w:val="en-US" w:eastAsia="zh-CN" w:bidi="ar-SA"/>
                    </w:rPr>
                    <w:t>，一般工业固废分类收集、集中贮存后定期资源外售</w:t>
                  </w:r>
                </w:p>
              </w:tc>
              <w:tc>
                <w:tcPr>
                  <w:tcW w:w="188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56"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p>
              </w:tc>
              <w:tc>
                <w:tcPr>
                  <w:tcW w:w="396"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p>
              </w:tc>
              <w:tc>
                <w:tcPr>
                  <w:tcW w:w="2460"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highlight w:val="none"/>
                      <w:lang w:val="en-US" w:eastAsia="zh-CN"/>
                    </w:rPr>
                    <w:t>设置规范化</w:t>
                  </w:r>
                  <w:r>
                    <w:rPr>
                      <w:rFonts w:hint="default" w:ascii="Times New Roman" w:hAnsi="Times New Roman" w:eastAsia="宋体" w:cs="Times New Roman"/>
                      <w:color w:val="auto"/>
                      <w:sz w:val="21"/>
                      <w:szCs w:val="21"/>
                      <w:highlight w:val="none"/>
                      <w:lang w:eastAsia="zh-CN"/>
                    </w:rPr>
                    <w:t>危废</w:t>
                  </w:r>
                  <w:r>
                    <w:rPr>
                      <w:rFonts w:hint="default" w:ascii="Times New Roman" w:hAnsi="Times New Roman" w:eastAsia="宋体" w:cs="Times New Roman"/>
                      <w:color w:val="auto"/>
                      <w:sz w:val="21"/>
                      <w:szCs w:val="21"/>
                      <w:highlight w:val="none"/>
                      <w:lang w:val="en-US" w:eastAsia="zh-CN"/>
                    </w:rPr>
                    <w:t>贮存库</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建筑</w:t>
                  </w:r>
                  <w:r>
                    <w:rPr>
                      <w:rFonts w:hint="default" w:ascii="Times New Roman" w:hAnsi="Times New Roman" w:eastAsia="宋体" w:cs="Times New Roman"/>
                      <w:color w:val="auto"/>
                      <w:sz w:val="21"/>
                      <w:szCs w:val="21"/>
                      <w:highlight w:val="none"/>
                      <w:lang w:eastAsia="zh-CN"/>
                    </w:rPr>
                    <w:t>面积约</w:t>
                  </w:r>
                  <w:r>
                    <w:rPr>
                      <w:rFonts w:hint="default" w:ascii="Times New Roman" w:hAnsi="Times New Roman" w:eastAsia="宋体" w:cs="Times New Roman"/>
                      <w:color w:val="auto"/>
                      <w:sz w:val="21"/>
                      <w:szCs w:val="21"/>
                      <w:highlight w:val="none"/>
                      <w:lang w:val="en-US" w:eastAsia="zh-CN"/>
                    </w:rPr>
                    <w:t>10</w:t>
                  </w:r>
                  <w:r>
                    <w:rPr>
                      <w:rFonts w:hint="default" w:ascii="Times New Roman" w:hAnsi="Times New Roman" w:eastAsia="宋体" w:cs="Times New Roman"/>
                      <w:color w:val="auto"/>
                      <w:sz w:val="21"/>
                      <w:szCs w:val="21"/>
                      <w:highlight w:val="none"/>
                      <w:lang w:eastAsia="zh-CN"/>
                    </w:rPr>
                    <w:t>m</w:t>
                  </w:r>
                  <w:r>
                    <w:rPr>
                      <w:rFonts w:hint="default" w:ascii="Times New Roman" w:hAnsi="Times New Roman" w:eastAsia="宋体" w:cs="Times New Roman"/>
                      <w:color w:val="auto"/>
                      <w:sz w:val="21"/>
                      <w:szCs w:val="21"/>
                      <w:highlight w:val="none"/>
                      <w:vertAlign w:val="superscript"/>
                      <w:lang w:eastAsia="zh-CN"/>
                    </w:rPr>
                    <w:t>2</w:t>
                  </w:r>
                  <w:r>
                    <w:rPr>
                      <w:rFonts w:hint="default" w:ascii="Times New Roman" w:hAnsi="Times New Roman" w:eastAsia="宋体" w:cs="Times New Roman"/>
                      <w:color w:val="auto"/>
                      <w:sz w:val="21"/>
                      <w:szCs w:val="21"/>
                      <w:highlight w:val="none"/>
                      <w:lang w:eastAsia="zh-CN"/>
                    </w:rPr>
                    <w:t>。危险废物分类收集</w:t>
                  </w:r>
                  <w:r>
                    <w:rPr>
                      <w:rFonts w:hint="default" w:ascii="Times New Roman" w:hAnsi="Times New Roman" w:eastAsia="宋体" w:cs="Times New Roman"/>
                      <w:color w:val="auto"/>
                      <w:sz w:val="21"/>
                      <w:szCs w:val="21"/>
                      <w:highlight w:val="none"/>
                      <w:lang w:val="en-US" w:eastAsia="zh-CN"/>
                    </w:rPr>
                    <w:t>规范贮存并</w:t>
                  </w:r>
                  <w:r>
                    <w:rPr>
                      <w:rFonts w:hint="default" w:ascii="Times New Roman" w:hAnsi="Times New Roman" w:eastAsia="宋体" w:cs="Times New Roman"/>
                      <w:color w:val="auto"/>
                      <w:sz w:val="21"/>
                      <w:szCs w:val="21"/>
                      <w:highlight w:val="none"/>
                      <w:lang w:eastAsia="zh-CN"/>
                    </w:rPr>
                    <w:t>委托有资质单位定期处置</w:t>
                  </w:r>
                </w:p>
              </w:tc>
              <w:tc>
                <w:tcPr>
                  <w:tcW w:w="188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256"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p>
              </w:tc>
              <w:tc>
                <w:tcPr>
                  <w:tcW w:w="396"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p>
              </w:tc>
              <w:tc>
                <w:tcPr>
                  <w:tcW w:w="2460"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highlight w:val="none"/>
                    </w:rPr>
                    <w:t>生活垃圾：集中收集，交由</w:t>
                  </w:r>
                  <w:r>
                    <w:rPr>
                      <w:rFonts w:hint="default" w:ascii="Times New Roman" w:hAnsi="Times New Roman" w:eastAsia="宋体" w:cs="Times New Roman"/>
                      <w:color w:val="auto"/>
                      <w:sz w:val="21"/>
                      <w:szCs w:val="21"/>
                      <w:highlight w:val="none"/>
                      <w:lang w:eastAsia="zh-CN"/>
                    </w:rPr>
                    <w:t>环卫</w:t>
                  </w:r>
                  <w:r>
                    <w:rPr>
                      <w:rFonts w:hint="default" w:ascii="Times New Roman" w:hAnsi="Times New Roman" w:eastAsia="宋体" w:cs="Times New Roman"/>
                      <w:color w:val="auto"/>
                      <w:sz w:val="21"/>
                      <w:szCs w:val="21"/>
                      <w:highlight w:val="none"/>
                    </w:rPr>
                    <w:t>部门统一清运</w:t>
                  </w:r>
                </w:p>
              </w:tc>
              <w:tc>
                <w:tcPr>
                  <w:tcW w:w="188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lang w:val="en-US" w:eastAsia="zh-CN"/>
                    </w:rPr>
                    <w:t>与环评一致</w:t>
                  </w:r>
                </w:p>
              </w:tc>
            </w:tr>
          </w:tbl>
          <w:p>
            <w:pPr>
              <w:pStyle w:val="18"/>
              <w:keepNext w:val="0"/>
              <w:keepLines w:val="0"/>
              <w:numPr>
                <w:ilvl w:val="0"/>
                <w:numId w:val="0"/>
              </w:numPr>
              <w:suppressLineNumbers w:val="0"/>
              <w:spacing w:before="0" w:beforeAutospacing="0" w:after="0" w:afterAutospacing="0" w:line="240" w:lineRule="auto"/>
              <w:ind w:left="440" w:leftChars="0" w:right="0" w:rightChars="0"/>
              <w:jc w:val="both"/>
              <w:rPr>
                <w:rFonts w:hint="default" w:ascii="Times New Roman" w:hAnsi="Times New Roman" w:eastAsia="宋体" w:cs="Times New Roman"/>
                <w:b w:val="0"/>
                <w:bCs w:val="0"/>
                <w:sz w:val="24"/>
                <w:szCs w:val="24"/>
                <w:lang w:val="en-US" w:eastAsia="zh-CN"/>
              </w:rPr>
            </w:pPr>
          </w:p>
          <w:p>
            <w:pPr>
              <w:pStyle w:val="18"/>
              <w:keepNext w:val="0"/>
              <w:keepLines w:val="0"/>
              <w:numPr>
                <w:ilvl w:val="0"/>
                <w:numId w:val="0"/>
              </w:numPr>
              <w:suppressLineNumbers w:val="0"/>
              <w:spacing w:before="0" w:beforeAutospacing="0" w:after="0" w:afterAutospacing="0" w:line="240" w:lineRule="auto"/>
              <w:ind w:left="440" w:leftChars="0" w:right="0" w:rightChars="0"/>
              <w:jc w:val="both"/>
              <w:rPr>
                <w:rFonts w:hint="eastAsia" w:ascii="宋体" w:hAnsi="宋体" w:eastAsia="宋体" w:cs="宋体"/>
                <w:b w:val="0"/>
                <w:bCs w:val="0"/>
                <w:sz w:val="24"/>
                <w:szCs w:val="24"/>
                <w:lang w:val="en-US" w:eastAsia="zh-CN"/>
              </w:rPr>
            </w:pPr>
            <w:r>
              <w:rPr>
                <w:rFonts w:hint="default" w:ascii="Times New Roman" w:hAnsi="Times New Roman" w:eastAsia="宋体" w:cs="Times New Roman"/>
                <w:b w:val="0"/>
                <w:bCs w:val="0"/>
                <w:sz w:val="24"/>
                <w:szCs w:val="24"/>
                <w:lang w:val="en-US" w:eastAsia="zh-CN"/>
              </w:rPr>
              <w:t>（3）</w:t>
            </w:r>
            <w:r>
              <w:rPr>
                <w:rFonts w:hint="eastAsia" w:ascii="宋体" w:hAnsi="宋体" w:eastAsia="宋体" w:cs="宋体"/>
                <w:b w:val="0"/>
                <w:bCs w:val="0"/>
                <w:sz w:val="24"/>
                <w:szCs w:val="24"/>
                <w:lang w:val="en-US" w:eastAsia="zh-CN"/>
              </w:rPr>
              <w:t>产品方案</w:t>
            </w:r>
          </w:p>
          <w:p>
            <w:pPr>
              <w:pStyle w:val="18"/>
              <w:keepNext w:val="0"/>
              <w:keepLines w:val="0"/>
              <w:numPr>
                <w:ilvl w:val="0"/>
                <w:numId w:val="0"/>
              </w:numPr>
              <w:suppressLineNumbers w:val="0"/>
              <w:spacing w:before="0" w:beforeAutospacing="0" w:after="0" w:afterAutospacing="0" w:line="240" w:lineRule="auto"/>
              <w:ind w:left="440" w:leftChars="0" w:right="0" w:rightChars="0"/>
              <w:jc w:val="center"/>
              <w:rPr>
                <w:rFonts w:hint="eastAsia" w:ascii="宋体" w:hAnsi="宋体" w:eastAsia="宋体" w:cs="宋体"/>
                <w:b/>
                <w:bCs/>
                <w:kern w:val="2"/>
                <w:sz w:val="24"/>
                <w:szCs w:val="24"/>
                <w:lang w:val="en-US"/>
              </w:rPr>
            </w:pPr>
            <w:r>
              <w:rPr>
                <w:rFonts w:hint="eastAsia" w:ascii="宋体" w:hAnsi="宋体" w:eastAsia="宋体" w:cs="宋体"/>
                <w:b/>
                <w:bCs/>
                <w:kern w:val="2"/>
                <w:sz w:val="24"/>
                <w:szCs w:val="24"/>
                <w:lang w:val="en-US"/>
              </w:rPr>
              <w:t>表</w:t>
            </w:r>
            <w:r>
              <w:rPr>
                <w:rFonts w:hint="default" w:ascii="Times New Roman" w:hAnsi="Times New Roman" w:eastAsia="宋体" w:cs="Times New Roman"/>
                <w:b/>
                <w:bCs/>
                <w:kern w:val="2"/>
                <w:sz w:val="24"/>
                <w:szCs w:val="24"/>
                <w:lang w:val="en-US"/>
              </w:rPr>
              <w:t>2.</w:t>
            </w:r>
            <w:r>
              <w:rPr>
                <w:rFonts w:hint="eastAsia" w:ascii="Times New Roman" w:hAnsi="Times New Roman" w:eastAsia="宋体" w:cs="Times New Roman"/>
                <w:b/>
                <w:bCs/>
                <w:kern w:val="2"/>
                <w:sz w:val="24"/>
                <w:szCs w:val="24"/>
                <w:lang w:val="en-US" w:eastAsia="zh-CN"/>
              </w:rPr>
              <w:t>3</w:t>
            </w:r>
            <w:r>
              <w:rPr>
                <w:rFonts w:hint="eastAsia" w:ascii="宋体" w:hAnsi="宋体" w:eastAsia="宋体" w:cs="宋体"/>
                <w:b/>
                <w:bCs/>
                <w:kern w:val="2"/>
                <w:sz w:val="24"/>
                <w:szCs w:val="24"/>
                <w:lang w:val="en-US"/>
              </w:rPr>
              <w:t xml:space="preserve"> 主要产品方案一览表</w:t>
            </w: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
              <w:gridCol w:w="1920"/>
              <w:gridCol w:w="2441"/>
              <w:gridCol w:w="2011"/>
              <w:gridCol w:w="1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513" w:type="pct"/>
                  <w:noWrap w:val="0"/>
                  <w:vAlign w:val="center"/>
                </w:tcPr>
                <w:p>
                  <w:pPr>
                    <w:keepNext w:val="0"/>
                    <w:keepLines w:val="0"/>
                    <w:suppressLineNumbers w:val="0"/>
                    <w:snapToGrid w:val="0"/>
                    <w:spacing w:before="0" w:beforeAutospacing="0" w:after="0" w:afterAutospacing="0"/>
                    <w:ind w:left="0" w:right="0"/>
                    <w:jc w:val="center"/>
                    <w:rPr>
                      <w:rFonts w:hint="eastAsia" w:ascii="宋体" w:hAnsi="宋体" w:eastAsia="宋体" w:cs="宋体"/>
                      <w:bCs/>
                      <w:sz w:val="21"/>
                      <w:szCs w:val="21"/>
                      <w:lang w:eastAsia="zh-CN"/>
                    </w:rPr>
                  </w:pPr>
                  <w:r>
                    <w:rPr>
                      <w:rFonts w:hint="eastAsia" w:ascii="宋体" w:hAnsi="宋体" w:eastAsia="宋体" w:cs="宋体"/>
                      <w:bCs/>
                      <w:sz w:val="21"/>
                      <w:szCs w:val="21"/>
                      <w:lang w:eastAsia="zh-CN"/>
                    </w:rPr>
                    <w:t>序号</w:t>
                  </w:r>
                </w:p>
              </w:tc>
              <w:tc>
                <w:tcPr>
                  <w:tcW w:w="1157" w:type="pct"/>
                  <w:noWrap w:val="0"/>
                  <w:vAlign w:val="center"/>
                </w:tcPr>
                <w:p>
                  <w:pPr>
                    <w:keepNext w:val="0"/>
                    <w:keepLines w:val="0"/>
                    <w:suppressLineNumbers w:val="0"/>
                    <w:snapToGrid w:val="0"/>
                    <w:spacing w:before="0" w:beforeAutospacing="0" w:after="0" w:afterAutospacing="0"/>
                    <w:ind w:left="0" w:right="0"/>
                    <w:jc w:val="center"/>
                    <w:rPr>
                      <w:rFonts w:hint="eastAsia" w:ascii="宋体" w:hAnsi="宋体" w:eastAsia="宋体" w:cs="宋体"/>
                      <w:bCs/>
                      <w:sz w:val="21"/>
                      <w:szCs w:val="21"/>
                      <w:lang w:eastAsia="zh-CN"/>
                    </w:rPr>
                  </w:pPr>
                  <w:r>
                    <w:rPr>
                      <w:rFonts w:hint="eastAsia" w:ascii="宋体" w:hAnsi="宋体" w:eastAsia="宋体" w:cs="宋体"/>
                      <w:bCs/>
                      <w:sz w:val="21"/>
                      <w:szCs w:val="21"/>
                      <w:lang w:eastAsia="zh-CN"/>
                    </w:rPr>
                    <w:t>产品名称</w:t>
                  </w:r>
                </w:p>
              </w:tc>
              <w:tc>
                <w:tcPr>
                  <w:tcW w:w="1471" w:type="pct"/>
                  <w:noWrap w:val="0"/>
                  <w:vAlign w:val="center"/>
                </w:tcPr>
                <w:p>
                  <w:pPr>
                    <w:keepNext w:val="0"/>
                    <w:keepLines w:val="0"/>
                    <w:suppressLineNumbers w:val="0"/>
                    <w:snapToGrid w:val="0"/>
                    <w:spacing w:before="0" w:beforeAutospacing="0" w:after="0" w:afterAutospacing="0"/>
                    <w:ind w:left="0" w:right="0"/>
                    <w:jc w:val="center"/>
                    <w:rPr>
                      <w:rFonts w:hint="eastAsia" w:ascii="宋体" w:hAnsi="宋体" w:eastAsia="宋体" w:cs="宋体"/>
                      <w:bCs/>
                      <w:sz w:val="21"/>
                      <w:szCs w:val="21"/>
                    </w:rPr>
                  </w:pPr>
                  <w:r>
                    <w:rPr>
                      <w:rFonts w:hint="eastAsia" w:ascii="宋体" w:hAnsi="宋体" w:eastAsia="宋体" w:cs="宋体"/>
                      <w:bCs/>
                      <w:sz w:val="21"/>
                      <w:szCs w:val="21"/>
                      <w:lang w:val="en-US" w:eastAsia="zh-CN"/>
                    </w:rPr>
                    <w:t>环评申报</w:t>
                  </w:r>
                  <w:r>
                    <w:rPr>
                      <w:rFonts w:hint="eastAsia" w:ascii="宋体" w:hAnsi="宋体" w:eastAsia="宋体" w:cs="宋体"/>
                      <w:bCs/>
                      <w:sz w:val="21"/>
                      <w:szCs w:val="21"/>
                      <w:lang w:eastAsia="zh-CN"/>
                    </w:rPr>
                    <w:t>产品产量</w:t>
                  </w:r>
                </w:p>
              </w:tc>
              <w:tc>
                <w:tcPr>
                  <w:tcW w:w="1212" w:type="pct"/>
                  <w:noWrap w:val="0"/>
                  <w:vAlign w:val="center"/>
                </w:tcPr>
                <w:p>
                  <w:pPr>
                    <w:keepNext w:val="0"/>
                    <w:keepLines w:val="0"/>
                    <w:suppressLineNumbers w:val="0"/>
                    <w:snapToGrid w:val="0"/>
                    <w:spacing w:before="0" w:beforeAutospacing="0" w:after="0" w:afterAutospacing="0"/>
                    <w:ind w:left="0" w:right="0"/>
                    <w:jc w:val="center"/>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实际生产规模</w:t>
                  </w:r>
                </w:p>
              </w:tc>
              <w:tc>
                <w:tcPr>
                  <w:tcW w:w="645" w:type="pct"/>
                  <w:noWrap w:val="0"/>
                  <w:vAlign w:val="center"/>
                </w:tcPr>
                <w:p>
                  <w:pPr>
                    <w:keepNext w:val="0"/>
                    <w:keepLines w:val="0"/>
                    <w:suppressLineNumbers w:val="0"/>
                    <w:snapToGrid w:val="0"/>
                    <w:spacing w:before="0" w:beforeAutospacing="0" w:after="0" w:afterAutospacing="0"/>
                    <w:ind w:left="0" w:right="0"/>
                    <w:jc w:val="center"/>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513" w:type="pct"/>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1</w:t>
                  </w:r>
                </w:p>
              </w:tc>
              <w:tc>
                <w:tcPr>
                  <w:tcW w:w="1157" w:type="pct"/>
                  <w:noWrap w:val="0"/>
                  <w:vAlign w:val="center"/>
                </w:tcPr>
                <w:p>
                  <w:pPr>
                    <w:pStyle w:val="21"/>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氧化铝双面覆铜板</w:t>
                  </w:r>
                </w:p>
              </w:tc>
              <w:tc>
                <w:tcPr>
                  <w:tcW w:w="1471" w:type="pct"/>
                  <w:noWrap w:val="0"/>
                  <w:vAlign w:val="center"/>
                </w:tcPr>
                <w:p>
                  <w:pPr>
                    <w:pStyle w:val="21"/>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324</w:t>
                  </w:r>
                </w:p>
              </w:tc>
              <w:tc>
                <w:tcPr>
                  <w:tcW w:w="1212" w:type="pct"/>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34</w:t>
                  </w:r>
                </w:p>
              </w:tc>
              <w:tc>
                <w:tcPr>
                  <w:tcW w:w="645" w:type="pct"/>
                  <w:noWrap w:val="0"/>
                  <w:vAlign w:val="center"/>
                </w:tcPr>
                <w:p>
                  <w:pPr>
                    <w:pStyle w:val="21"/>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万片/年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3" w:hRule="atLeast"/>
                <w:jc w:val="center"/>
              </w:trPr>
              <w:tc>
                <w:tcPr>
                  <w:tcW w:w="513" w:type="pct"/>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2</w:t>
                  </w:r>
                </w:p>
              </w:tc>
              <w:tc>
                <w:tcPr>
                  <w:tcW w:w="1157" w:type="pct"/>
                  <w:noWrap w:val="0"/>
                  <w:vAlign w:val="center"/>
                </w:tcPr>
                <w:p>
                  <w:pPr>
                    <w:pStyle w:val="21"/>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氧化锆双面覆铜板</w:t>
                  </w:r>
                </w:p>
              </w:tc>
              <w:tc>
                <w:tcPr>
                  <w:tcW w:w="1471" w:type="pct"/>
                  <w:noWrap w:val="0"/>
                  <w:vAlign w:val="center"/>
                </w:tcPr>
                <w:p>
                  <w:pPr>
                    <w:pStyle w:val="21"/>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36</w:t>
                  </w:r>
                </w:p>
              </w:tc>
              <w:tc>
                <w:tcPr>
                  <w:tcW w:w="1212" w:type="pct"/>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4</w:t>
                  </w:r>
                </w:p>
              </w:tc>
              <w:tc>
                <w:tcPr>
                  <w:tcW w:w="645" w:type="pct"/>
                  <w:noWrap w:val="0"/>
                  <w:vAlign w:val="center"/>
                </w:tcPr>
                <w:p>
                  <w:pPr>
                    <w:pStyle w:val="21"/>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万片/年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1670" w:type="pct"/>
                  <w:gridSpan w:val="2"/>
                  <w:noWrap w:val="0"/>
                  <w:vAlign w:val="center"/>
                </w:tcPr>
                <w:p>
                  <w:pPr>
                    <w:keepNext w:val="0"/>
                    <w:keepLines w:val="0"/>
                    <w:suppressLineNumbers w:val="0"/>
                    <w:snapToGrid w:val="0"/>
                    <w:spacing w:before="0" w:beforeAutospacing="0" w:after="0" w:afterAutospacing="0"/>
                    <w:ind w:left="0" w:right="0"/>
                    <w:jc w:val="center"/>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合计</w:t>
                  </w:r>
                </w:p>
              </w:tc>
              <w:tc>
                <w:tcPr>
                  <w:tcW w:w="1471" w:type="pct"/>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360</w:t>
                  </w:r>
                </w:p>
              </w:tc>
              <w:tc>
                <w:tcPr>
                  <w:tcW w:w="1212" w:type="pct"/>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38</w:t>
                  </w:r>
                </w:p>
              </w:tc>
              <w:tc>
                <w:tcPr>
                  <w:tcW w:w="645" w:type="pct"/>
                  <w:noWrap w:val="0"/>
                  <w:vAlign w:val="center"/>
                </w:tcPr>
                <w:p>
                  <w:pPr>
                    <w:keepNext w:val="0"/>
                    <w:keepLines w:val="0"/>
                    <w:suppressLineNumbers w:val="0"/>
                    <w:snapToGrid w:val="0"/>
                    <w:spacing w:before="0" w:beforeAutospacing="0" w:after="0" w:afterAutospacing="0"/>
                    <w:ind w:left="0" w:right="0"/>
                    <w:jc w:val="center"/>
                    <w:rPr>
                      <w:rFonts w:hint="eastAsia" w:ascii="宋体" w:hAnsi="宋体" w:eastAsia="宋体" w:cs="宋体"/>
                      <w:bCs/>
                      <w:color w:val="auto"/>
                      <w:sz w:val="21"/>
                      <w:szCs w:val="21"/>
                      <w:lang w:val="en-US" w:eastAsia="zh-CN"/>
                    </w:rPr>
                  </w:pPr>
                  <w:r>
                    <w:rPr>
                      <w:rFonts w:hint="default" w:ascii="Times New Roman" w:hAnsi="Times New Roman" w:eastAsia="宋体" w:cs="Times New Roman"/>
                      <w:b w:val="0"/>
                      <w:bCs w:val="0"/>
                      <w:color w:val="auto"/>
                      <w:sz w:val="21"/>
                      <w:szCs w:val="21"/>
                      <w:vertAlign w:val="baseline"/>
                      <w:lang w:val="en-US" w:eastAsia="zh-CN"/>
                    </w:rPr>
                    <w:t>万片/年</w:t>
                  </w:r>
                </w:p>
              </w:tc>
            </w:tr>
          </w:tbl>
          <w:p>
            <w:pPr>
              <w:keepNext w:val="0"/>
              <w:keepLines w:val="0"/>
              <w:numPr>
                <w:ilvl w:val="0"/>
                <w:numId w:val="0"/>
              </w:numPr>
              <w:suppressLineNumbers w:val="0"/>
              <w:tabs>
                <w:tab w:val="left" w:pos="840"/>
                <w:tab w:val="right" w:leader="dot" w:pos="8820"/>
              </w:tabs>
              <w:spacing w:before="0" w:beforeAutospacing="0" w:after="0" w:afterAutospacing="0"/>
              <w:ind w:left="440" w:leftChars="0" w:right="0" w:rightChars="0"/>
              <w:jc w:val="both"/>
              <w:rPr>
                <w:rFonts w:hint="eastAsia" w:ascii="Times New Roman" w:hAnsi="Times New Roman" w:eastAsia="宋体" w:cs="Times New Roman"/>
                <w:b w:val="0"/>
                <w:bCs/>
                <w:sz w:val="21"/>
                <w:szCs w:val="21"/>
                <w:lang w:val="en-US" w:eastAsia="zh-CN"/>
              </w:rPr>
            </w:pPr>
          </w:p>
          <w:p>
            <w:pPr>
              <w:keepNext w:val="0"/>
              <w:keepLines w:val="0"/>
              <w:pageBreakBefore w:val="0"/>
              <w:widowControl/>
              <w:numPr>
                <w:ilvl w:val="0"/>
                <w:numId w:val="0"/>
              </w:numPr>
              <w:suppressLineNumbers w:val="0"/>
              <w:tabs>
                <w:tab w:val="left" w:pos="840"/>
                <w:tab w:val="right" w:leader="dot" w:pos="8820"/>
              </w:tabs>
              <w:kinsoku/>
              <w:wordWrap/>
              <w:overflowPunct/>
              <w:topLinePunct w:val="0"/>
              <w:autoSpaceDE/>
              <w:autoSpaceDN/>
              <w:bidi w:val="0"/>
              <w:adjustRightInd w:val="0"/>
              <w:snapToGrid w:val="0"/>
              <w:spacing w:before="0" w:beforeAutospacing="0" w:after="0" w:afterAutospacing="0"/>
              <w:ind w:left="0" w:leftChars="0" w:right="0" w:rightChars="0" w:firstLine="420" w:firstLineChars="200"/>
              <w:jc w:val="both"/>
              <w:textAlignment w:val="auto"/>
              <w:rPr>
                <w:rFonts w:hint="eastAsia" w:ascii="宋体" w:hAnsi="宋体" w:eastAsia="宋体" w:cs="宋体"/>
                <w:b w:val="0"/>
                <w:bCs/>
                <w:sz w:val="21"/>
                <w:szCs w:val="21"/>
                <w:lang w:val="en-US" w:eastAsia="zh-CN"/>
              </w:rPr>
            </w:pPr>
            <w:r>
              <w:rPr>
                <w:rFonts w:hint="default" w:ascii="Times New Roman" w:hAnsi="Times New Roman" w:eastAsia="宋体" w:cs="Times New Roman"/>
                <w:b w:val="0"/>
                <w:bCs/>
                <w:sz w:val="21"/>
                <w:szCs w:val="21"/>
                <w:lang w:val="en-US" w:eastAsia="zh-CN" w:bidi="ar-SA"/>
              </w:rPr>
              <w:t>（3）</w:t>
            </w:r>
            <w:r>
              <w:rPr>
                <w:rFonts w:hint="eastAsia" w:ascii="宋体" w:hAnsi="宋体" w:eastAsia="宋体" w:cs="宋体"/>
                <w:b w:val="0"/>
                <w:bCs/>
                <w:sz w:val="21"/>
                <w:szCs w:val="21"/>
                <w:lang w:val="en-US" w:eastAsia="zh-CN"/>
              </w:rPr>
              <w:t>生产设备</w:t>
            </w:r>
          </w:p>
          <w:p>
            <w:pPr>
              <w:pStyle w:val="9"/>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left="0" w:leftChars="0"/>
              <w:jc w:val="center"/>
              <w:textAlignment w:val="auto"/>
              <w:rPr>
                <w:rFonts w:hint="eastAsia" w:ascii="宋体" w:hAnsi="宋体" w:eastAsia="宋体" w:cs="宋体"/>
                <w:b/>
                <w:bCs/>
                <w:vertAlign w:val="baseline"/>
                <w:lang w:val="en-US" w:eastAsia="zh-CN"/>
              </w:rPr>
            </w:pPr>
            <w:r>
              <w:rPr>
                <w:rFonts w:hint="eastAsia" w:ascii="宋体" w:hAnsi="宋体" w:eastAsia="宋体" w:cs="宋体"/>
                <w:b/>
                <w:bCs/>
                <w:lang w:val="en-US" w:eastAsia="zh-CN"/>
              </w:rPr>
              <w:t>表</w:t>
            </w:r>
            <w:r>
              <w:rPr>
                <w:rFonts w:hint="default" w:ascii="Times New Roman" w:hAnsi="Times New Roman" w:eastAsia="宋体" w:cs="Times New Roman"/>
                <w:b/>
                <w:bCs/>
                <w:lang w:val="en-US" w:eastAsia="zh-CN"/>
              </w:rPr>
              <w:t>2.</w:t>
            </w:r>
            <w:r>
              <w:rPr>
                <w:rFonts w:hint="eastAsia" w:ascii="Times New Roman" w:hAnsi="Times New Roman" w:eastAsia="宋体" w:cs="Times New Roman"/>
                <w:b/>
                <w:bCs/>
                <w:lang w:val="en-US" w:eastAsia="zh-CN"/>
              </w:rPr>
              <w:t>4</w:t>
            </w:r>
            <w:r>
              <w:rPr>
                <w:rFonts w:hint="eastAsia" w:ascii="宋体" w:hAnsi="宋体" w:eastAsia="宋体" w:cs="宋体"/>
                <w:b/>
                <w:bCs/>
                <w:lang w:val="en-US" w:eastAsia="zh-CN"/>
              </w:rPr>
              <w:t>主要生产设备清单单位：台</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7"/>
              <w:gridCol w:w="2961"/>
              <w:gridCol w:w="2074"/>
              <w:gridCol w:w="2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7" w:type="dxa"/>
                </w:tcPr>
                <w:p>
                  <w:pPr>
                    <w:pStyle w:val="9"/>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序号</w:t>
                  </w:r>
                </w:p>
              </w:tc>
              <w:tc>
                <w:tcPr>
                  <w:tcW w:w="2961" w:type="dxa"/>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设备名称</w:t>
                  </w:r>
                </w:p>
              </w:tc>
              <w:tc>
                <w:tcPr>
                  <w:tcW w:w="2074" w:type="dxa"/>
                </w:tcPr>
                <w:p>
                  <w:pPr>
                    <w:pStyle w:val="9"/>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环评申报数量</w:t>
                  </w:r>
                </w:p>
              </w:tc>
              <w:tc>
                <w:tcPr>
                  <w:tcW w:w="2074" w:type="dxa"/>
                </w:tcPr>
                <w:p>
                  <w:pPr>
                    <w:pStyle w:val="9"/>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highlight w:val="none"/>
                      <w:vertAlign w:val="baseline"/>
                      <w:lang w:val="en-US" w:eastAsia="zh-CN"/>
                    </w:rPr>
                    <w:t>实际数量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7"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1</w:t>
                  </w:r>
                </w:p>
              </w:tc>
              <w:tc>
                <w:tcPr>
                  <w:tcW w:w="2961"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DBC气氛烧结炉</w:t>
                  </w:r>
                </w:p>
              </w:tc>
              <w:tc>
                <w:tcPr>
                  <w:tcW w:w="2074"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7</w:t>
                  </w:r>
                </w:p>
              </w:tc>
              <w:tc>
                <w:tcPr>
                  <w:tcW w:w="2074" w:type="dxa"/>
                </w:tcPr>
                <w:p>
                  <w:pPr>
                    <w:pStyle w:val="9"/>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7"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2</w:t>
                  </w:r>
                </w:p>
              </w:tc>
              <w:tc>
                <w:tcPr>
                  <w:tcW w:w="2961"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气氛控制炉</w:t>
                  </w:r>
                </w:p>
              </w:tc>
              <w:tc>
                <w:tcPr>
                  <w:tcW w:w="2074"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1</w:t>
                  </w:r>
                </w:p>
              </w:tc>
              <w:tc>
                <w:tcPr>
                  <w:tcW w:w="2074" w:type="dxa"/>
                </w:tcPr>
                <w:p>
                  <w:pPr>
                    <w:pStyle w:val="9"/>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7"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3</w:t>
                  </w:r>
                </w:p>
              </w:tc>
              <w:tc>
                <w:tcPr>
                  <w:tcW w:w="2961"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网带式氮气氛连续烧结炉</w:t>
                  </w:r>
                </w:p>
              </w:tc>
              <w:tc>
                <w:tcPr>
                  <w:tcW w:w="2074"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8</w:t>
                  </w:r>
                </w:p>
              </w:tc>
              <w:tc>
                <w:tcPr>
                  <w:tcW w:w="2074" w:type="dxa"/>
                </w:tcPr>
                <w:p>
                  <w:pPr>
                    <w:pStyle w:val="9"/>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7"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4</w:t>
                  </w:r>
                </w:p>
              </w:tc>
              <w:tc>
                <w:tcPr>
                  <w:tcW w:w="2961"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氮气站</w:t>
                  </w:r>
                </w:p>
              </w:tc>
              <w:tc>
                <w:tcPr>
                  <w:tcW w:w="2074"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1</w:t>
                  </w:r>
                </w:p>
              </w:tc>
              <w:tc>
                <w:tcPr>
                  <w:tcW w:w="2074"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87"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5</w:t>
                  </w:r>
                </w:p>
              </w:tc>
              <w:tc>
                <w:tcPr>
                  <w:tcW w:w="2961"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冷却水循环系统</w:t>
                  </w:r>
                </w:p>
              </w:tc>
              <w:tc>
                <w:tcPr>
                  <w:tcW w:w="2074"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3</w:t>
                  </w:r>
                </w:p>
              </w:tc>
              <w:tc>
                <w:tcPr>
                  <w:tcW w:w="0" w:type="auto"/>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7"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6</w:t>
                  </w:r>
                </w:p>
              </w:tc>
              <w:tc>
                <w:tcPr>
                  <w:tcW w:w="2961"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耐压测试仪</w:t>
                  </w:r>
                </w:p>
              </w:tc>
              <w:tc>
                <w:tcPr>
                  <w:tcW w:w="2074"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1</w:t>
                  </w:r>
                </w:p>
              </w:tc>
              <w:tc>
                <w:tcPr>
                  <w:tcW w:w="0" w:type="auto"/>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87"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7</w:t>
                  </w:r>
                </w:p>
              </w:tc>
              <w:tc>
                <w:tcPr>
                  <w:tcW w:w="2961"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工具显微镜</w:t>
                  </w:r>
                </w:p>
              </w:tc>
              <w:tc>
                <w:tcPr>
                  <w:tcW w:w="2074"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1</w:t>
                  </w:r>
                </w:p>
              </w:tc>
              <w:tc>
                <w:tcPr>
                  <w:tcW w:w="0" w:type="auto"/>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7"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8</w:t>
                  </w:r>
                </w:p>
              </w:tc>
              <w:tc>
                <w:tcPr>
                  <w:tcW w:w="2961"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卡尺</w:t>
                  </w:r>
                </w:p>
              </w:tc>
              <w:tc>
                <w:tcPr>
                  <w:tcW w:w="2074"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10</w:t>
                  </w:r>
                </w:p>
              </w:tc>
              <w:tc>
                <w:tcPr>
                  <w:tcW w:w="0" w:type="auto"/>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7"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9</w:t>
                  </w:r>
                </w:p>
              </w:tc>
              <w:tc>
                <w:tcPr>
                  <w:tcW w:w="2961"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粗糙度仪</w:t>
                  </w:r>
                </w:p>
              </w:tc>
              <w:tc>
                <w:tcPr>
                  <w:tcW w:w="2074"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1</w:t>
                  </w:r>
                </w:p>
              </w:tc>
              <w:tc>
                <w:tcPr>
                  <w:tcW w:w="0" w:type="auto"/>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7"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10</w:t>
                  </w:r>
                </w:p>
              </w:tc>
              <w:tc>
                <w:tcPr>
                  <w:tcW w:w="2961"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X-RAY</w:t>
                  </w:r>
                </w:p>
              </w:tc>
              <w:tc>
                <w:tcPr>
                  <w:tcW w:w="2074"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1</w:t>
                  </w:r>
                </w:p>
              </w:tc>
              <w:tc>
                <w:tcPr>
                  <w:tcW w:w="0" w:type="auto"/>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7"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11</w:t>
                  </w:r>
                </w:p>
              </w:tc>
              <w:tc>
                <w:tcPr>
                  <w:tcW w:w="2961"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4K高清显微镜</w:t>
                  </w:r>
                </w:p>
              </w:tc>
              <w:tc>
                <w:tcPr>
                  <w:tcW w:w="2074"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1</w:t>
                  </w:r>
                </w:p>
              </w:tc>
              <w:tc>
                <w:tcPr>
                  <w:tcW w:w="0" w:type="auto"/>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7"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12</w:t>
                  </w:r>
                </w:p>
              </w:tc>
              <w:tc>
                <w:tcPr>
                  <w:tcW w:w="2961"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铠装热电偶</w:t>
                  </w:r>
                </w:p>
              </w:tc>
              <w:tc>
                <w:tcPr>
                  <w:tcW w:w="2074"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1</w:t>
                  </w:r>
                </w:p>
              </w:tc>
              <w:tc>
                <w:tcPr>
                  <w:tcW w:w="0" w:type="auto"/>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7"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13</w:t>
                  </w:r>
                </w:p>
              </w:tc>
              <w:tc>
                <w:tcPr>
                  <w:tcW w:w="2961"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高分辨超声成像系统</w:t>
                  </w:r>
                </w:p>
              </w:tc>
              <w:tc>
                <w:tcPr>
                  <w:tcW w:w="2074"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1</w:t>
                  </w:r>
                </w:p>
              </w:tc>
              <w:tc>
                <w:tcPr>
                  <w:tcW w:w="0" w:type="auto"/>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7"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14</w:t>
                  </w:r>
                </w:p>
              </w:tc>
              <w:tc>
                <w:tcPr>
                  <w:tcW w:w="2961"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冷热冲击箱</w:t>
                  </w:r>
                </w:p>
              </w:tc>
              <w:tc>
                <w:tcPr>
                  <w:tcW w:w="2074"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1</w:t>
                  </w:r>
                </w:p>
              </w:tc>
              <w:tc>
                <w:tcPr>
                  <w:tcW w:w="0" w:type="auto"/>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7"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15</w:t>
                  </w:r>
                </w:p>
              </w:tc>
              <w:tc>
                <w:tcPr>
                  <w:tcW w:w="2961"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LCR测试仪</w:t>
                  </w:r>
                </w:p>
              </w:tc>
              <w:tc>
                <w:tcPr>
                  <w:tcW w:w="2074"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1</w:t>
                  </w:r>
                </w:p>
              </w:tc>
              <w:tc>
                <w:tcPr>
                  <w:tcW w:w="0" w:type="auto"/>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7"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16</w:t>
                  </w:r>
                </w:p>
              </w:tc>
              <w:tc>
                <w:tcPr>
                  <w:tcW w:w="2961"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X-Ray透视检查仪</w:t>
                  </w:r>
                </w:p>
              </w:tc>
              <w:tc>
                <w:tcPr>
                  <w:tcW w:w="2074"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1</w:t>
                  </w:r>
                </w:p>
              </w:tc>
              <w:tc>
                <w:tcPr>
                  <w:tcW w:w="0" w:type="auto"/>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7"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17</w:t>
                  </w:r>
                </w:p>
              </w:tc>
              <w:tc>
                <w:tcPr>
                  <w:tcW w:w="2961"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X射线荧光光谱仪</w:t>
                  </w:r>
                </w:p>
              </w:tc>
              <w:tc>
                <w:tcPr>
                  <w:tcW w:w="2074"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1</w:t>
                  </w:r>
                </w:p>
              </w:tc>
              <w:tc>
                <w:tcPr>
                  <w:tcW w:w="0" w:type="auto"/>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7"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18</w:t>
                  </w:r>
                </w:p>
              </w:tc>
              <w:tc>
                <w:tcPr>
                  <w:tcW w:w="2961"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含氧量分析仪</w:t>
                  </w:r>
                </w:p>
              </w:tc>
              <w:tc>
                <w:tcPr>
                  <w:tcW w:w="2074" w:type="dxa"/>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1</w:t>
                  </w:r>
                </w:p>
              </w:tc>
              <w:tc>
                <w:tcPr>
                  <w:tcW w:w="0" w:type="auto"/>
                  <w:vAlign w:val="center"/>
                </w:tcPr>
                <w:p>
                  <w:pPr>
                    <w:pStyle w:val="21"/>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1</w:t>
                  </w:r>
                </w:p>
              </w:tc>
            </w:tr>
          </w:tbl>
          <w:p>
            <w:pPr>
              <w:widowControl w:val="0"/>
              <w:numPr>
                <w:ilvl w:val="0"/>
                <w:numId w:val="0"/>
              </w:numPr>
              <w:adjustRightInd/>
              <w:snapToGrid/>
              <w:spacing w:after="0" w:line="480" w:lineRule="exact"/>
              <w:ind w:left="215" w:leftChars="0"/>
              <w:jc w:val="both"/>
              <w:rPr>
                <w:rFonts w:hint="eastAsia" w:ascii="Times New Roman" w:hAnsi="宋体" w:eastAsia="宋体" w:cs="Times New Roman"/>
                <w:b/>
                <w:bCs/>
                <w:kern w:val="2"/>
                <w:sz w:val="24"/>
                <w:szCs w:val="24"/>
                <w:lang w:val="en-US" w:eastAsia="zh-CN" w:bidi="ar-SA"/>
              </w:rPr>
            </w:pPr>
          </w:p>
          <w:p>
            <w:pPr>
              <w:widowControl w:val="0"/>
              <w:numPr>
                <w:ilvl w:val="0"/>
                <w:numId w:val="0"/>
              </w:numPr>
              <w:adjustRightInd/>
              <w:snapToGrid/>
              <w:spacing w:after="0" w:line="480" w:lineRule="exact"/>
              <w:ind w:left="215" w:leftChars="0"/>
              <w:jc w:val="both"/>
              <w:rPr>
                <w:rFonts w:hint="eastAsia" w:ascii="Times New Roman" w:hAnsi="宋体" w:eastAsia="宋体" w:cs="Times New Roman"/>
                <w:b/>
                <w:bCs/>
                <w:kern w:val="2"/>
                <w:sz w:val="24"/>
                <w:szCs w:val="24"/>
                <w:lang w:val="en-US" w:eastAsia="zh-CN" w:bidi="ar-SA"/>
              </w:rPr>
            </w:pPr>
          </w:p>
          <w:p>
            <w:pPr>
              <w:widowControl w:val="0"/>
              <w:numPr>
                <w:ilvl w:val="0"/>
                <w:numId w:val="0"/>
              </w:numPr>
              <w:adjustRightInd/>
              <w:snapToGrid/>
              <w:spacing w:after="0" w:line="480" w:lineRule="exact"/>
              <w:ind w:left="215" w:leftChars="0"/>
              <w:jc w:val="both"/>
              <w:rPr>
                <w:rFonts w:hint="eastAsia" w:ascii="Times New Roman" w:hAnsi="宋体" w:eastAsia="宋体" w:cs="Times New Roman"/>
                <w:b/>
                <w:bCs/>
                <w:kern w:val="2"/>
                <w:sz w:val="24"/>
                <w:szCs w:val="24"/>
                <w:lang w:val="en-US" w:eastAsia="zh-CN" w:bidi="ar-SA"/>
              </w:rPr>
            </w:pPr>
          </w:p>
          <w:p>
            <w:pPr>
              <w:widowControl w:val="0"/>
              <w:numPr>
                <w:ilvl w:val="0"/>
                <w:numId w:val="0"/>
              </w:numPr>
              <w:adjustRightInd/>
              <w:snapToGrid/>
              <w:spacing w:after="0" w:line="480" w:lineRule="exact"/>
              <w:ind w:left="215" w:leftChars="0"/>
              <w:jc w:val="both"/>
              <w:rPr>
                <w:rFonts w:hint="eastAsia" w:ascii="Times New Roman" w:hAnsi="宋体" w:eastAsia="宋体" w:cs="Times New Roman"/>
                <w:b/>
                <w:bCs/>
                <w:kern w:val="2"/>
                <w:sz w:val="24"/>
                <w:szCs w:val="24"/>
                <w:lang w:val="en-US" w:eastAsia="zh-CN" w:bidi="ar-SA"/>
              </w:rPr>
            </w:pPr>
          </w:p>
          <w:p>
            <w:pPr>
              <w:widowControl w:val="0"/>
              <w:numPr>
                <w:ilvl w:val="0"/>
                <w:numId w:val="0"/>
              </w:numPr>
              <w:adjustRightInd/>
              <w:snapToGrid/>
              <w:spacing w:after="0" w:line="480" w:lineRule="exact"/>
              <w:ind w:left="215" w:leftChars="0"/>
              <w:jc w:val="both"/>
              <w:rPr>
                <w:rFonts w:hint="eastAsia" w:ascii="Times New Roman" w:hAnsi="宋体" w:eastAsia="宋体" w:cs="Times New Roman"/>
                <w:b/>
                <w:bCs/>
                <w:kern w:val="2"/>
                <w:sz w:val="24"/>
                <w:szCs w:val="24"/>
                <w:lang w:val="en-US" w:eastAsia="zh-CN" w:bidi="ar-SA"/>
              </w:rPr>
            </w:pPr>
          </w:p>
          <w:p>
            <w:pPr>
              <w:widowControl w:val="0"/>
              <w:numPr>
                <w:ilvl w:val="0"/>
                <w:numId w:val="0"/>
              </w:numPr>
              <w:adjustRightInd/>
              <w:snapToGrid/>
              <w:spacing w:after="0" w:line="480" w:lineRule="exact"/>
              <w:ind w:left="215" w:leftChars="0"/>
              <w:jc w:val="both"/>
              <w:rPr>
                <w:rFonts w:hint="eastAsia" w:ascii="Times New Roman" w:hAnsi="宋体" w:eastAsia="宋体" w:cs="Times New Roman"/>
                <w:b/>
                <w:bCs/>
                <w:kern w:val="2"/>
                <w:sz w:val="24"/>
                <w:szCs w:val="24"/>
                <w:lang w:val="en-US" w:eastAsia="zh-CN" w:bidi="ar-SA"/>
              </w:rPr>
            </w:pPr>
          </w:p>
          <w:p>
            <w:pPr>
              <w:widowControl w:val="0"/>
              <w:numPr>
                <w:ilvl w:val="0"/>
                <w:numId w:val="0"/>
              </w:numPr>
              <w:adjustRightInd/>
              <w:snapToGrid/>
              <w:spacing w:after="0" w:line="480" w:lineRule="exact"/>
              <w:ind w:left="215" w:leftChars="0"/>
              <w:jc w:val="both"/>
              <w:rPr>
                <w:rFonts w:hint="eastAsia" w:ascii="Times New Roman" w:hAnsi="宋体" w:eastAsia="宋体" w:cs="Times New Roman"/>
                <w:b/>
                <w:bCs/>
                <w:kern w:val="2"/>
                <w:sz w:val="24"/>
                <w:szCs w:val="24"/>
                <w:lang w:val="en-US" w:eastAsia="zh-CN" w:bidi="ar-SA"/>
              </w:rPr>
            </w:pPr>
          </w:p>
          <w:p>
            <w:pPr>
              <w:widowControl w:val="0"/>
              <w:numPr>
                <w:ilvl w:val="0"/>
                <w:numId w:val="0"/>
              </w:numPr>
              <w:adjustRightInd/>
              <w:snapToGrid/>
              <w:spacing w:after="0" w:line="480" w:lineRule="exact"/>
              <w:ind w:left="215" w:leftChars="0"/>
              <w:jc w:val="both"/>
              <w:rPr>
                <w:rFonts w:hint="eastAsia" w:ascii="Times New Roman" w:hAnsi="宋体" w:eastAsia="宋体" w:cs="Times New Roman"/>
                <w:b/>
                <w:bCs/>
                <w:kern w:val="2"/>
                <w:sz w:val="24"/>
                <w:szCs w:val="24"/>
                <w:lang w:val="en-US" w:eastAsia="zh-CN" w:bidi="ar-SA"/>
              </w:rPr>
            </w:pPr>
          </w:p>
          <w:p>
            <w:pPr>
              <w:widowControl w:val="0"/>
              <w:numPr>
                <w:ilvl w:val="0"/>
                <w:numId w:val="0"/>
              </w:numPr>
              <w:adjustRightInd/>
              <w:snapToGrid/>
              <w:spacing w:after="0" w:line="480" w:lineRule="exact"/>
              <w:ind w:left="215" w:leftChars="0"/>
              <w:jc w:val="both"/>
              <w:rPr>
                <w:rFonts w:hint="eastAsia" w:ascii="Times New Roman" w:hAnsi="宋体" w:eastAsia="宋体" w:cs="Times New Roman"/>
                <w:b/>
                <w:bCs/>
                <w:kern w:val="2"/>
                <w:sz w:val="24"/>
                <w:szCs w:val="24"/>
                <w:lang w:val="en-US" w:eastAsia="zh-CN" w:bidi="ar-SA"/>
              </w:rPr>
            </w:pPr>
          </w:p>
          <w:p>
            <w:pPr>
              <w:widowControl w:val="0"/>
              <w:numPr>
                <w:ilvl w:val="0"/>
                <w:numId w:val="0"/>
              </w:numPr>
              <w:adjustRightInd/>
              <w:snapToGrid/>
              <w:spacing w:after="0" w:line="480" w:lineRule="exact"/>
              <w:ind w:left="215" w:leftChars="0"/>
              <w:jc w:val="both"/>
              <w:rPr>
                <w:rFonts w:hint="eastAsia" w:ascii="Times New Roman" w:hAnsi="宋体" w:eastAsia="宋体" w:cs="Times New Roman"/>
                <w:b/>
                <w:bCs/>
                <w:kern w:val="2"/>
                <w:sz w:val="24"/>
                <w:szCs w:val="24"/>
                <w:lang w:val="en-US" w:eastAsia="zh-CN" w:bidi="ar-SA"/>
              </w:rPr>
            </w:pPr>
          </w:p>
          <w:p>
            <w:pPr>
              <w:widowControl w:val="0"/>
              <w:numPr>
                <w:ilvl w:val="0"/>
                <w:numId w:val="0"/>
              </w:numPr>
              <w:adjustRightInd/>
              <w:snapToGrid/>
              <w:spacing w:after="0" w:line="480" w:lineRule="exact"/>
              <w:ind w:left="215" w:leftChars="0"/>
              <w:jc w:val="both"/>
              <w:rPr>
                <w:rFonts w:hint="eastAsia" w:ascii="Times New Roman" w:hAnsi="宋体" w:eastAsia="宋体" w:cs="Times New Roman"/>
                <w:b/>
                <w:bCs/>
                <w:kern w:val="2"/>
                <w:sz w:val="24"/>
                <w:szCs w:val="24"/>
                <w:lang w:val="en-US" w:eastAsia="zh-CN" w:bidi="ar-SA"/>
              </w:rPr>
            </w:pPr>
          </w:p>
          <w:p>
            <w:pPr>
              <w:widowControl w:val="0"/>
              <w:numPr>
                <w:ilvl w:val="0"/>
                <w:numId w:val="0"/>
              </w:numPr>
              <w:adjustRightInd/>
              <w:snapToGrid/>
              <w:spacing w:after="0" w:line="480" w:lineRule="exact"/>
              <w:ind w:left="215" w:leftChars="0"/>
              <w:jc w:val="both"/>
              <w:rPr>
                <w:rFonts w:hint="eastAsia" w:ascii="Times New Roman" w:hAnsi="宋体" w:eastAsia="宋体" w:cs="Times New Roman"/>
                <w:b/>
                <w:bCs/>
                <w:kern w:val="2"/>
                <w:sz w:val="24"/>
                <w:szCs w:val="24"/>
                <w:lang w:val="en-US" w:eastAsia="zh-CN" w:bidi="ar-SA"/>
              </w:rPr>
            </w:pPr>
          </w:p>
          <w:p>
            <w:pPr>
              <w:widowControl w:val="0"/>
              <w:numPr>
                <w:ilvl w:val="0"/>
                <w:numId w:val="0"/>
              </w:numPr>
              <w:adjustRightInd/>
              <w:snapToGrid/>
              <w:spacing w:after="0" w:line="480" w:lineRule="exact"/>
              <w:ind w:left="215" w:leftChars="0"/>
              <w:jc w:val="both"/>
              <w:rPr>
                <w:rFonts w:hint="eastAsia" w:ascii="宋体" w:hAnsi="宋体" w:eastAsia="宋体" w:cs="宋体"/>
                <w:b/>
                <w:bCs/>
                <w:kern w:val="2"/>
                <w:sz w:val="24"/>
                <w:szCs w:val="24"/>
                <w:lang w:val="en-US" w:eastAsia="zh-CN" w:bidi="ar-SA"/>
              </w:rPr>
            </w:pPr>
          </w:p>
          <w:p>
            <w:pPr>
              <w:widowControl w:val="0"/>
              <w:numPr>
                <w:ilvl w:val="0"/>
                <w:numId w:val="0"/>
              </w:numPr>
              <w:adjustRightInd/>
              <w:snapToGrid/>
              <w:spacing w:after="0" w:line="480" w:lineRule="exact"/>
              <w:ind w:left="215" w:leftChars="0"/>
              <w:jc w:val="both"/>
              <w:rPr>
                <w:rFonts w:hint="eastAsia" w:ascii="Times New Roman" w:hAnsi="宋体" w:eastAsia="宋体" w:cs="Times New Roman"/>
                <w:b/>
                <w:bCs/>
                <w:kern w:val="2"/>
                <w:sz w:val="24"/>
                <w:szCs w:val="24"/>
                <w:lang w:val="en-US" w:eastAsia="zh-CN" w:bidi="ar-SA"/>
              </w:rPr>
            </w:pPr>
          </w:p>
          <w:p>
            <w:pPr>
              <w:widowControl w:val="0"/>
              <w:numPr>
                <w:ilvl w:val="0"/>
                <w:numId w:val="0"/>
              </w:numPr>
              <w:adjustRightInd/>
              <w:snapToGrid/>
              <w:spacing w:after="0" w:line="480" w:lineRule="exact"/>
              <w:ind w:left="215" w:leftChars="0"/>
              <w:jc w:val="both"/>
              <w:rPr>
                <w:rFonts w:hint="eastAsia" w:ascii="Times New Roman" w:hAnsi="宋体" w:eastAsia="宋体" w:cs="Times New Roman"/>
                <w:b/>
                <w:bCs/>
                <w:kern w:val="2"/>
                <w:sz w:val="24"/>
                <w:szCs w:val="24"/>
                <w:lang w:val="en-US" w:eastAsia="zh-CN" w:bidi="ar-SA"/>
              </w:rPr>
            </w:pPr>
          </w:p>
          <w:p>
            <w:pPr>
              <w:widowControl w:val="0"/>
              <w:numPr>
                <w:ilvl w:val="0"/>
                <w:numId w:val="0"/>
              </w:numPr>
              <w:adjustRightInd/>
              <w:snapToGrid/>
              <w:spacing w:after="0" w:line="480" w:lineRule="exact"/>
              <w:ind w:left="215" w:leftChars="0"/>
              <w:jc w:val="both"/>
              <w:rPr>
                <w:rFonts w:hint="eastAsia" w:ascii="Times New Roman" w:hAnsi="宋体" w:eastAsia="宋体" w:cs="Times New Roman"/>
                <w:b/>
                <w:bCs/>
                <w:kern w:val="2"/>
                <w:sz w:val="24"/>
                <w:szCs w:val="24"/>
                <w:lang w:val="en-US" w:eastAsia="zh-CN" w:bidi="ar-SA"/>
              </w:rPr>
            </w:pPr>
          </w:p>
          <w:p>
            <w:pPr>
              <w:widowControl w:val="0"/>
              <w:numPr>
                <w:ilvl w:val="0"/>
                <w:numId w:val="0"/>
              </w:numPr>
              <w:adjustRightInd/>
              <w:snapToGrid/>
              <w:spacing w:after="0" w:line="480" w:lineRule="exact"/>
              <w:ind w:left="215" w:leftChars="0"/>
              <w:jc w:val="both"/>
              <w:rPr>
                <w:rFonts w:hint="eastAsia" w:ascii="Times New Roman" w:hAnsi="宋体" w:eastAsia="宋体" w:cs="Times New Roman"/>
                <w:b/>
                <w:bCs/>
                <w:kern w:val="2"/>
                <w:sz w:val="24"/>
                <w:szCs w:val="24"/>
                <w:lang w:val="en-US" w:eastAsia="zh-CN" w:bidi="ar-SA"/>
              </w:rPr>
            </w:pPr>
          </w:p>
          <w:p>
            <w:pPr>
              <w:widowControl w:val="0"/>
              <w:numPr>
                <w:ilvl w:val="0"/>
                <w:numId w:val="0"/>
              </w:numPr>
              <w:adjustRightInd/>
              <w:snapToGrid/>
              <w:spacing w:after="0" w:line="480" w:lineRule="exact"/>
              <w:ind w:left="215" w:leftChars="0"/>
              <w:jc w:val="both"/>
              <w:rPr>
                <w:rFonts w:hint="eastAsia" w:ascii="Times New Roman" w:hAnsi="宋体" w:eastAsia="宋体" w:cs="Times New Roman"/>
                <w:b/>
                <w:bCs/>
                <w:kern w:val="2"/>
                <w:sz w:val="24"/>
                <w:szCs w:val="24"/>
                <w:lang w:val="en-US" w:eastAsia="zh-CN" w:bidi="ar-SA"/>
              </w:rPr>
            </w:pPr>
          </w:p>
          <w:p>
            <w:pPr>
              <w:widowControl w:val="0"/>
              <w:numPr>
                <w:ilvl w:val="0"/>
                <w:numId w:val="0"/>
              </w:numPr>
              <w:adjustRightInd/>
              <w:snapToGrid/>
              <w:spacing w:after="0" w:line="480" w:lineRule="exact"/>
              <w:ind w:left="215" w:leftChars="0"/>
              <w:jc w:val="both"/>
              <w:rPr>
                <w:rFonts w:hint="eastAsia" w:ascii="Times New Roman" w:hAnsi="宋体" w:eastAsia="宋体" w:cs="Times New Roman"/>
                <w:b/>
                <w:bCs/>
                <w:kern w:val="2"/>
                <w:sz w:val="24"/>
                <w:szCs w:val="24"/>
                <w:lang w:val="en-US" w:eastAsia="zh-CN" w:bidi="ar-SA"/>
              </w:rPr>
            </w:pPr>
          </w:p>
          <w:p>
            <w:pPr>
              <w:widowControl w:val="0"/>
              <w:numPr>
                <w:ilvl w:val="0"/>
                <w:numId w:val="0"/>
              </w:numPr>
              <w:adjustRightInd/>
              <w:snapToGrid/>
              <w:spacing w:after="0" w:line="480" w:lineRule="exact"/>
              <w:ind w:left="215" w:leftChars="0"/>
              <w:jc w:val="both"/>
              <w:rPr>
                <w:rFonts w:hint="eastAsia" w:ascii="Times New Roman" w:hAnsi="宋体" w:eastAsia="宋体" w:cs="Times New Roman"/>
                <w:b/>
                <w:bCs/>
                <w:kern w:val="2"/>
                <w:sz w:val="24"/>
                <w:szCs w:val="24"/>
                <w:lang w:val="en-US" w:eastAsia="zh-CN" w:bidi="ar-SA"/>
              </w:rPr>
            </w:pPr>
          </w:p>
          <w:p>
            <w:pPr>
              <w:widowControl w:val="0"/>
              <w:numPr>
                <w:ilvl w:val="0"/>
                <w:numId w:val="0"/>
              </w:numPr>
              <w:adjustRightInd/>
              <w:snapToGrid/>
              <w:spacing w:after="0" w:line="480" w:lineRule="exact"/>
              <w:ind w:left="215" w:leftChars="0"/>
              <w:jc w:val="both"/>
              <w:rPr>
                <w:rFonts w:hint="eastAsia" w:ascii="Times New Roman" w:hAnsi="宋体" w:eastAsia="宋体" w:cs="Times New Roman"/>
                <w:b/>
                <w:bCs/>
                <w:kern w:val="2"/>
                <w:sz w:val="24"/>
                <w:szCs w:val="24"/>
                <w:lang w:val="en-US" w:eastAsia="zh-CN" w:bidi="ar-SA"/>
              </w:rPr>
            </w:pPr>
          </w:p>
          <w:p>
            <w:pPr>
              <w:keepNext w:val="0"/>
              <w:keepLines w:val="0"/>
              <w:pageBreakBefore w:val="0"/>
              <w:widowControl/>
              <w:kinsoku/>
              <w:wordWrap/>
              <w:overflowPunct/>
              <w:topLinePunct w:val="0"/>
              <w:autoSpaceDE/>
              <w:autoSpaceDN/>
              <w:bidi w:val="0"/>
              <w:adjustRightInd w:val="0"/>
              <w:snapToGrid w:val="0"/>
              <w:spacing w:after="0" w:line="360" w:lineRule="auto"/>
              <w:ind w:left="0" w:firstLine="0" w:firstLineChars="0"/>
              <w:textAlignment w:val="auto"/>
              <w:rPr>
                <w:rFonts w:hint="eastAsia" w:ascii="宋体" w:hAnsi="宋体" w:eastAsia="宋体" w:cs="宋体"/>
                <w:b/>
                <w:bCs/>
                <w:sz w:val="24"/>
                <w:szCs w:val="32"/>
              </w:rPr>
            </w:pPr>
            <w:r>
              <w:rPr>
                <w:rFonts w:hint="eastAsia" w:ascii="宋体" w:hAnsi="宋体" w:eastAsia="宋体" w:cs="宋体"/>
                <w:b/>
                <w:bCs/>
                <w:sz w:val="24"/>
                <w:szCs w:val="32"/>
              </w:rPr>
              <w:t>原辅材料消耗及水平衡：</w:t>
            </w:r>
          </w:p>
          <w:p>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0" w:leftChars="0" w:firstLine="0" w:firstLineChars="0"/>
              <w:jc w:val="both"/>
              <w:textAlignment w:val="auto"/>
              <w:rPr>
                <w:rFonts w:hint="eastAsia" w:ascii="宋体" w:hAnsi="宋体" w:eastAsia="宋体" w:cs="宋体"/>
                <w:b/>
                <w:bCs/>
                <w:kern w:val="2"/>
                <w:sz w:val="24"/>
                <w:szCs w:val="24"/>
                <w:lang w:val="en-US" w:eastAsia="zh-CN" w:bidi="ar-SA"/>
              </w:rPr>
            </w:pPr>
            <w:r>
              <w:rPr>
                <w:rFonts w:hint="eastAsia" w:ascii="宋体" w:hAnsi="宋体" w:eastAsia="宋体" w:cs="宋体"/>
                <w:b/>
                <w:bCs/>
                <w:color w:val="000000" w:themeColor="text1"/>
                <w:kern w:val="2"/>
                <w:sz w:val="24"/>
                <w:szCs w:val="32"/>
                <w:lang w:val="en-US" w:eastAsia="zh-CN" w:bidi="ar-SA"/>
                <w14:textFill>
                  <w14:solidFill>
                    <w14:schemeClr w14:val="tx1"/>
                  </w14:solidFill>
                </w14:textFill>
              </w:rPr>
              <w:t>1、原辅材料消耗情况</w:t>
            </w:r>
          </w:p>
          <w:p>
            <w:pPr>
              <w:keepNext w:val="0"/>
              <w:keepLines w:val="0"/>
              <w:pageBreakBefore w:val="0"/>
              <w:widowControl w:val="0"/>
              <w:suppressLineNumbers w:val="0"/>
              <w:tabs>
                <w:tab w:val="left" w:pos="840"/>
                <w:tab w:val="right" w:leader="dot" w:pos="8820"/>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b/>
                <w:sz w:val="24"/>
                <w:szCs w:val="24"/>
              </w:rPr>
            </w:pPr>
            <w:r>
              <w:rPr>
                <w:rFonts w:hint="eastAsia" w:ascii="Times New Roman" w:hAnsi="Times New Roman" w:eastAsia="宋体" w:cs="Times New Roman"/>
                <w:b/>
                <w:sz w:val="24"/>
                <w:szCs w:val="24"/>
                <w:lang w:val="en-US" w:eastAsia="zh-CN"/>
              </w:rPr>
              <w:t>表</w:t>
            </w:r>
            <w:r>
              <w:rPr>
                <w:rFonts w:hint="default" w:ascii="Times New Roman" w:hAnsi="Times New Roman" w:eastAsia="宋体" w:cs="Times New Roman"/>
                <w:b/>
                <w:sz w:val="24"/>
                <w:szCs w:val="24"/>
              </w:rPr>
              <w:t>2.</w:t>
            </w:r>
            <w:r>
              <w:rPr>
                <w:rFonts w:hint="eastAsia" w:ascii="Times New Roman" w:hAnsi="Times New Roman" w:eastAsia="宋体" w:cs="Times New Roman"/>
                <w:b/>
                <w:sz w:val="24"/>
                <w:szCs w:val="24"/>
                <w:lang w:val="en-US" w:eastAsia="zh-CN"/>
              </w:rPr>
              <w:t>5</w:t>
            </w:r>
            <w:r>
              <w:rPr>
                <w:rFonts w:hint="default" w:ascii="Times New Roman" w:hAnsi="Times New Roman" w:eastAsia="宋体" w:cs="Times New Roman"/>
                <w:b/>
                <w:sz w:val="24"/>
                <w:szCs w:val="24"/>
              </w:rPr>
              <w:t xml:space="preserve"> </w:t>
            </w:r>
            <w:r>
              <w:rPr>
                <w:rFonts w:hint="eastAsia" w:ascii="宋体" w:hAnsi="宋体" w:eastAsia="宋体" w:cs="宋体"/>
                <w:b/>
                <w:sz w:val="24"/>
                <w:szCs w:val="24"/>
              </w:rPr>
              <w:t xml:space="preserve"> 主要原辅料及能源消耗一览表</w:t>
            </w:r>
          </w:p>
          <w:tbl>
            <w:tblPr>
              <w:tblStyle w:val="14"/>
              <w:tblW w:w="498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9"/>
              <w:gridCol w:w="1618"/>
              <w:gridCol w:w="1696"/>
              <w:gridCol w:w="1958"/>
              <w:gridCol w:w="16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7" w:hRule="atLeast"/>
                <w:jc w:val="center"/>
              </w:trPr>
              <w:tc>
                <w:tcPr>
                  <w:tcW w:w="808" w:type="pct"/>
                  <w:tcBorders>
                    <w:tl2br w:val="nil"/>
                    <w:tr2bl w:val="nil"/>
                  </w:tcBorders>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序号</w:t>
                  </w:r>
                </w:p>
              </w:tc>
              <w:tc>
                <w:tcPr>
                  <w:tcW w:w="977" w:type="pct"/>
                  <w:tcBorders>
                    <w:tl2br w:val="nil"/>
                    <w:tr2bl w:val="nil"/>
                  </w:tcBorders>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名称</w:t>
                  </w:r>
                </w:p>
              </w:tc>
              <w:tc>
                <w:tcPr>
                  <w:tcW w:w="1024" w:type="pct"/>
                  <w:tcBorders>
                    <w:tl2br w:val="nil"/>
                    <w:tr2bl w:val="nil"/>
                  </w:tcBorders>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单位</w:t>
                  </w:r>
                </w:p>
              </w:tc>
              <w:tc>
                <w:tcPr>
                  <w:tcW w:w="1182" w:type="pct"/>
                  <w:tcBorders>
                    <w:tl2br w:val="nil"/>
                    <w:tr2bl w:val="nil"/>
                  </w:tcBorders>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环评申报年耗量</w:t>
                  </w:r>
                </w:p>
              </w:tc>
              <w:tc>
                <w:tcPr>
                  <w:tcW w:w="1006" w:type="pct"/>
                  <w:tcBorders>
                    <w:tl2br w:val="nil"/>
                    <w:tr2bl w:val="nil"/>
                  </w:tcBorders>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实际年消耗量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808" w:type="pct"/>
                  <w:tcBorders>
                    <w:tl2br w:val="nil"/>
                    <w:tr2bl w:val="nil"/>
                  </w:tcBorders>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1</w:t>
                  </w:r>
                </w:p>
              </w:tc>
              <w:tc>
                <w:tcPr>
                  <w:tcW w:w="977" w:type="pct"/>
                  <w:tcBorders>
                    <w:tl2br w:val="nil"/>
                    <w:tr2bl w:val="nil"/>
                  </w:tcBorders>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氧化铝陶瓷</w:t>
                  </w:r>
                </w:p>
              </w:tc>
              <w:tc>
                <w:tcPr>
                  <w:tcW w:w="1024" w:type="pct"/>
                  <w:tcBorders>
                    <w:tl2br w:val="nil"/>
                    <w:tr2bl w:val="nil"/>
                  </w:tcBorders>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万片/年</w:t>
                  </w:r>
                </w:p>
              </w:tc>
              <w:tc>
                <w:tcPr>
                  <w:tcW w:w="1182" w:type="pct"/>
                  <w:tcBorders>
                    <w:tl2br w:val="nil"/>
                    <w:tr2bl w:val="nil"/>
                  </w:tcBorders>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324</w:t>
                  </w:r>
                </w:p>
              </w:tc>
              <w:tc>
                <w:tcPr>
                  <w:tcW w:w="1006" w:type="pct"/>
                  <w:tcBorders>
                    <w:tl2br w:val="nil"/>
                    <w:tr2bl w:val="nil"/>
                  </w:tcBorders>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bidi="ar-SA"/>
                    </w:rPr>
                  </w:pPr>
                  <w:r>
                    <w:rPr>
                      <w:rFonts w:hint="default" w:ascii="Times New Roman" w:hAnsi="Times New Roman" w:eastAsia="宋体" w:cs="Times New Roman"/>
                      <w:b w:val="0"/>
                      <w:bCs w:val="0"/>
                      <w:color w:val="auto"/>
                      <w:sz w:val="21"/>
                      <w:szCs w:val="21"/>
                      <w:highlight w:val="none"/>
                      <w:vertAlign w:val="baseline"/>
                      <w:lang w:val="en-US" w:eastAsia="zh-CN" w:bidi="ar-SA"/>
                    </w:rPr>
                    <w: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808" w:type="pct"/>
                  <w:tcBorders>
                    <w:tl2br w:val="nil"/>
                    <w:tr2bl w:val="nil"/>
                  </w:tcBorders>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2</w:t>
                  </w:r>
                </w:p>
              </w:tc>
              <w:tc>
                <w:tcPr>
                  <w:tcW w:w="977" w:type="pct"/>
                  <w:tcBorders>
                    <w:tl2br w:val="nil"/>
                    <w:tr2bl w:val="nil"/>
                  </w:tcBorders>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氧化锆陶瓷</w:t>
                  </w:r>
                </w:p>
              </w:tc>
              <w:tc>
                <w:tcPr>
                  <w:tcW w:w="1024" w:type="pct"/>
                  <w:tcBorders>
                    <w:tl2br w:val="nil"/>
                    <w:tr2bl w:val="nil"/>
                  </w:tcBorders>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万片/年</w:t>
                  </w:r>
                </w:p>
              </w:tc>
              <w:tc>
                <w:tcPr>
                  <w:tcW w:w="1182" w:type="pct"/>
                  <w:tcBorders>
                    <w:tl2br w:val="nil"/>
                    <w:tr2bl w:val="nil"/>
                  </w:tcBorders>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36</w:t>
                  </w:r>
                </w:p>
              </w:tc>
              <w:tc>
                <w:tcPr>
                  <w:tcW w:w="1006" w:type="pct"/>
                  <w:tcBorders>
                    <w:tl2br w:val="nil"/>
                    <w:tr2bl w:val="nil"/>
                  </w:tcBorders>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bidi="ar-SA"/>
                    </w:rPr>
                  </w:pPr>
                  <w:r>
                    <w:rPr>
                      <w:rFonts w:hint="default" w:ascii="Times New Roman" w:hAnsi="Times New Roman" w:eastAsia="宋体" w:cs="Times New Roman"/>
                      <w:b w:val="0"/>
                      <w:bCs w:val="0"/>
                      <w:color w:val="auto"/>
                      <w:sz w:val="21"/>
                      <w:szCs w:val="21"/>
                      <w:highlight w:val="none"/>
                      <w:vertAlign w:val="baseline"/>
                      <w:lang w:val="en-US" w:eastAsia="zh-CN" w:bidi="ar-SA"/>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808" w:type="pct"/>
                  <w:tcBorders>
                    <w:tl2br w:val="nil"/>
                    <w:tr2bl w:val="nil"/>
                  </w:tcBorders>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3</w:t>
                  </w:r>
                </w:p>
              </w:tc>
              <w:tc>
                <w:tcPr>
                  <w:tcW w:w="977" w:type="pct"/>
                  <w:tcBorders>
                    <w:tl2br w:val="nil"/>
                    <w:tr2bl w:val="nil"/>
                  </w:tcBorders>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无氧铜</w:t>
                  </w:r>
                </w:p>
              </w:tc>
              <w:tc>
                <w:tcPr>
                  <w:tcW w:w="1024" w:type="pct"/>
                  <w:tcBorders>
                    <w:tl2br w:val="nil"/>
                    <w:tr2bl w:val="nil"/>
                  </w:tcBorders>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万片/年</w:t>
                  </w:r>
                </w:p>
              </w:tc>
              <w:tc>
                <w:tcPr>
                  <w:tcW w:w="1182" w:type="pct"/>
                  <w:tcBorders>
                    <w:tl2br w:val="nil"/>
                    <w:tr2bl w:val="nil"/>
                  </w:tcBorders>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720</w:t>
                  </w:r>
                </w:p>
              </w:tc>
              <w:tc>
                <w:tcPr>
                  <w:tcW w:w="1006" w:type="pct"/>
                  <w:tcBorders>
                    <w:tl2br w:val="nil"/>
                    <w:tr2bl w:val="nil"/>
                  </w:tcBorders>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bidi="ar-SA"/>
                    </w:rPr>
                  </w:pPr>
                  <w:r>
                    <w:rPr>
                      <w:rFonts w:hint="default" w:ascii="Times New Roman" w:hAnsi="Times New Roman" w:eastAsia="宋体" w:cs="Times New Roman"/>
                      <w:b w:val="0"/>
                      <w:bCs w:val="0"/>
                      <w:color w:val="auto"/>
                      <w:sz w:val="21"/>
                      <w:szCs w:val="21"/>
                      <w:highlight w:val="none"/>
                      <w:vertAlign w:val="baseline"/>
                      <w:lang w:val="en-US" w:eastAsia="zh-CN" w:bidi="ar-SA"/>
                    </w:rPr>
                    <w:t>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808" w:type="pct"/>
                  <w:tcBorders>
                    <w:tl2br w:val="nil"/>
                    <w:tr2bl w:val="nil"/>
                  </w:tcBorders>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4</w:t>
                  </w:r>
                </w:p>
              </w:tc>
              <w:tc>
                <w:tcPr>
                  <w:tcW w:w="977" w:type="pct"/>
                  <w:tcBorders>
                    <w:tl2br w:val="nil"/>
                    <w:tr2bl w:val="nil"/>
                  </w:tcBorders>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氮气</w:t>
                  </w:r>
                </w:p>
              </w:tc>
              <w:tc>
                <w:tcPr>
                  <w:tcW w:w="1024" w:type="pct"/>
                  <w:tcBorders>
                    <w:tl2br w:val="nil"/>
                    <w:tr2bl w:val="nil"/>
                  </w:tcBorders>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t</w:t>
                  </w:r>
                </w:p>
              </w:tc>
              <w:tc>
                <w:tcPr>
                  <w:tcW w:w="1182" w:type="pct"/>
                  <w:tcBorders>
                    <w:tl2br w:val="nil"/>
                    <w:tr2bl w:val="nil"/>
                  </w:tcBorders>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4500</w:t>
                  </w:r>
                </w:p>
              </w:tc>
              <w:tc>
                <w:tcPr>
                  <w:tcW w:w="1006" w:type="pct"/>
                  <w:tcBorders>
                    <w:tl2br w:val="nil"/>
                    <w:tr2bl w:val="nil"/>
                  </w:tcBorders>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bidi="ar-SA"/>
                    </w:rPr>
                  </w:pPr>
                  <w:r>
                    <w:rPr>
                      <w:rFonts w:hint="default" w:ascii="Times New Roman" w:hAnsi="Times New Roman" w:eastAsia="宋体" w:cs="Times New Roman"/>
                      <w:b w:val="0"/>
                      <w:bCs w:val="0"/>
                      <w:color w:val="auto"/>
                      <w:sz w:val="21"/>
                      <w:szCs w:val="21"/>
                      <w:highlight w:val="none"/>
                      <w:vertAlign w:val="baseline"/>
                      <w:lang w:val="en-US" w:eastAsia="zh-CN" w:bidi="ar-SA"/>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808" w:type="pct"/>
                  <w:tcBorders>
                    <w:tl2br w:val="nil"/>
                    <w:tr2bl w:val="nil"/>
                  </w:tcBorders>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5</w:t>
                  </w:r>
                </w:p>
              </w:tc>
              <w:tc>
                <w:tcPr>
                  <w:tcW w:w="977" w:type="pct"/>
                  <w:tcBorders>
                    <w:tl2br w:val="nil"/>
                    <w:tr2bl w:val="nil"/>
                  </w:tcBorders>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自来水</w:t>
                  </w:r>
                </w:p>
              </w:tc>
              <w:tc>
                <w:tcPr>
                  <w:tcW w:w="1024" w:type="pct"/>
                  <w:tcBorders>
                    <w:tl2br w:val="nil"/>
                    <w:tr2bl w:val="nil"/>
                  </w:tcBorders>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t/a</w:t>
                  </w:r>
                </w:p>
              </w:tc>
              <w:tc>
                <w:tcPr>
                  <w:tcW w:w="1182" w:type="pct"/>
                  <w:tcBorders>
                    <w:tl2br w:val="nil"/>
                    <w:tr2bl w:val="nil"/>
                  </w:tcBorders>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700</w:t>
                  </w:r>
                </w:p>
              </w:tc>
              <w:tc>
                <w:tcPr>
                  <w:tcW w:w="1006" w:type="pct"/>
                  <w:tcBorders>
                    <w:tl2br w:val="nil"/>
                    <w:tr2bl w:val="nil"/>
                  </w:tcBorders>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highlight w:val="yellow"/>
                      <w:vertAlign w:val="baseline"/>
                      <w:lang w:val="en-US" w:eastAsia="zh-CN" w:bidi="ar-SA"/>
                    </w:rPr>
                  </w:pPr>
                  <w:r>
                    <w:rPr>
                      <w:rFonts w:hint="eastAsia" w:ascii="Times New Roman" w:hAnsi="Times New Roman" w:eastAsia="宋体" w:cs="Times New Roman"/>
                      <w:b w:val="0"/>
                      <w:bCs w:val="0"/>
                      <w:color w:val="auto"/>
                      <w:sz w:val="21"/>
                      <w:szCs w:val="21"/>
                      <w:highlight w:val="none"/>
                      <w:vertAlign w:val="baseline"/>
                      <w:lang w:val="en-US" w:eastAsia="zh-CN" w:bidi="ar-SA"/>
                    </w:rPr>
                    <w:t>540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 w:hRule="atLeast"/>
                <w:jc w:val="center"/>
              </w:trPr>
              <w:tc>
                <w:tcPr>
                  <w:tcW w:w="808" w:type="pct"/>
                  <w:tcBorders>
                    <w:tl2br w:val="nil"/>
                    <w:tr2bl w:val="nil"/>
                  </w:tcBorders>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6</w:t>
                  </w:r>
                </w:p>
              </w:tc>
              <w:tc>
                <w:tcPr>
                  <w:tcW w:w="977" w:type="pct"/>
                  <w:tcBorders>
                    <w:tl2br w:val="nil"/>
                    <w:tr2bl w:val="nil"/>
                  </w:tcBorders>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电</w:t>
                  </w:r>
                </w:p>
              </w:tc>
              <w:tc>
                <w:tcPr>
                  <w:tcW w:w="1024" w:type="pct"/>
                  <w:tcBorders>
                    <w:tl2br w:val="nil"/>
                    <w:tr2bl w:val="nil"/>
                  </w:tcBorders>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万度/年</w:t>
                  </w:r>
                </w:p>
              </w:tc>
              <w:tc>
                <w:tcPr>
                  <w:tcW w:w="1182" w:type="pct"/>
                  <w:tcBorders>
                    <w:tl2br w:val="nil"/>
                    <w:tr2bl w:val="nil"/>
                  </w:tcBorders>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1000</w:t>
                  </w:r>
                </w:p>
              </w:tc>
              <w:tc>
                <w:tcPr>
                  <w:tcW w:w="1006" w:type="pct"/>
                  <w:tcBorders>
                    <w:tl2br w:val="nil"/>
                    <w:tr2bl w:val="nil"/>
                  </w:tcBorders>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highlight w:val="yellow"/>
                      <w:vertAlign w:val="baseline"/>
                      <w:lang w:val="en-US" w:eastAsia="zh-CN" w:bidi="ar-SA"/>
                    </w:rPr>
                  </w:pPr>
                  <w:r>
                    <w:rPr>
                      <w:rFonts w:hint="default" w:ascii="Times New Roman" w:hAnsi="Times New Roman" w:eastAsia="宋体" w:cs="Times New Roman"/>
                      <w:b w:val="0"/>
                      <w:bCs w:val="0"/>
                      <w:color w:val="auto"/>
                      <w:sz w:val="21"/>
                      <w:szCs w:val="21"/>
                      <w:highlight w:val="none"/>
                      <w:vertAlign w:val="baseline"/>
                      <w:lang w:val="en-US" w:eastAsia="zh-CN" w:bidi="ar-SA"/>
                    </w:rPr>
                    <w:t>375</w:t>
                  </w:r>
                </w:p>
              </w:tc>
            </w:tr>
          </w:tbl>
          <w:p>
            <w:pPr>
              <w:keepNext w:val="0"/>
              <w:keepLines w:val="0"/>
              <w:pageBreakBefore w:val="0"/>
              <w:widowControl/>
              <w:kinsoku/>
              <w:wordWrap/>
              <w:overflowPunct/>
              <w:topLinePunct w:val="0"/>
              <w:autoSpaceDE/>
              <w:autoSpaceDN/>
              <w:bidi w:val="0"/>
              <w:adjustRightInd w:val="0"/>
              <w:snapToGrid w:val="0"/>
              <w:spacing w:after="0" w:line="360" w:lineRule="auto"/>
              <w:ind w:firstLine="482" w:firstLineChars="200"/>
              <w:textAlignment w:val="auto"/>
              <w:rPr>
                <w:rFonts w:hint="default" w:ascii="Times New Roman" w:hAnsi="Times New Roman" w:eastAsia="宋体" w:cs="Times New Roman"/>
                <w:b/>
                <w:bCs/>
                <w:color w:val="000000" w:themeColor="text1"/>
                <w:sz w:val="24"/>
                <w14:textFill>
                  <w14:solidFill>
                    <w14:schemeClr w14:val="tx1"/>
                  </w14:solidFill>
                </w14:textFill>
              </w:rPr>
            </w:pPr>
            <w:r>
              <w:rPr>
                <w:rFonts w:hint="default" w:ascii="Times New Roman" w:hAnsi="Times New Roman" w:eastAsia="宋体" w:cs="Times New Roman"/>
                <w:b/>
                <w:bCs/>
                <w:color w:val="000000" w:themeColor="text1"/>
                <w:sz w:val="24"/>
                <w14:textFill>
                  <w14:solidFill>
                    <w14:schemeClr w14:val="tx1"/>
                  </w14:solidFill>
                </w14:textFill>
              </w:rPr>
              <w:t>2、水平衡一览表</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sz w:val="24"/>
              </w:rPr>
            </w:pPr>
            <w:r>
              <w:rPr>
                <w:rFonts w:hint="default" w:ascii="Times New Roman" w:hAnsi="Times New Roman" w:eastAsia="宋体" w:cs="Times New Roman"/>
                <w:sz w:val="24"/>
              </w:rPr>
              <w:t>用水</w:t>
            </w:r>
            <w:r>
              <w:rPr>
                <w:rFonts w:hint="default" w:ascii="Times New Roman" w:hAnsi="Times New Roman" w:eastAsia="宋体" w:cs="Times New Roman"/>
                <w:color w:val="auto"/>
                <w:sz w:val="24"/>
              </w:rPr>
              <w:t>环节为职工生活用水</w:t>
            </w:r>
            <w:r>
              <w:rPr>
                <w:rFonts w:hint="default" w:ascii="Times New Roman" w:hAnsi="Times New Roman" w:eastAsia="宋体" w:cs="Times New Roman"/>
                <w:color w:val="auto"/>
                <w:sz w:val="24"/>
                <w:lang w:val="en-US" w:eastAsia="zh-CN"/>
              </w:rPr>
              <w:t>和冷却循环用水</w:t>
            </w:r>
            <w:r>
              <w:rPr>
                <w:rFonts w:hint="default" w:ascii="Times New Roman" w:hAnsi="Times New Roman" w:eastAsia="宋体" w:cs="Times New Roman"/>
                <w:sz w:val="24"/>
              </w:rPr>
              <w:t>。本项目地面和设备无需冲洗，定期进行地面清扫、擦试干净。</w:t>
            </w:r>
            <w:r>
              <w:rPr>
                <w:rFonts w:hint="default" w:ascii="Times New Roman" w:hAnsi="Times New Roman" w:eastAsia="宋体" w:cs="Times New Roman"/>
                <w:sz w:val="24"/>
                <w:lang w:eastAsia="zh-CN"/>
              </w:rPr>
              <w:t>具体</w:t>
            </w:r>
            <w:r>
              <w:rPr>
                <w:rFonts w:hint="default" w:ascii="Times New Roman" w:hAnsi="Times New Roman" w:eastAsia="宋体" w:cs="Times New Roman"/>
                <w:sz w:val="24"/>
              </w:rPr>
              <w:t>用水及废水产生量分析如下：</w:t>
            </w: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eastAsia="宋体" w:cs="Times New Roman"/>
                <w:color w:val="auto"/>
                <w:kern w:val="2"/>
                <w:sz w:val="24"/>
                <w:szCs w:val="24"/>
                <w:lang w:val="en-US" w:eastAsia="zh-CN"/>
              </w:rPr>
            </w:pPr>
            <w:r>
              <w:rPr>
                <w:rFonts w:hint="default" w:ascii="Times New Roman" w:hAnsi="Times New Roman" w:eastAsia="宋体" w:cs="Times New Roman"/>
                <w:color w:val="auto"/>
                <w:kern w:val="2"/>
                <w:sz w:val="24"/>
                <w:szCs w:val="24"/>
                <w:lang w:val="en-US" w:eastAsia="zh-CN" w:bidi="ar-SA"/>
              </w:rPr>
              <w:t>（1）</w:t>
            </w:r>
            <w:r>
              <w:rPr>
                <w:rFonts w:hint="default" w:ascii="Times New Roman" w:hAnsi="Times New Roman" w:eastAsia="宋体" w:cs="Times New Roman"/>
                <w:color w:val="auto"/>
                <w:kern w:val="2"/>
                <w:sz w:val="24"/>
                <w:szCs w:val="24"/>
                <w:lang w:val="en-US" w:eastAsia="zh-CN"/>
              </w:rPr>
              <w:t>冷却循环水</w:t>
            </w: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eastAsia="宋体" w:cs="Times New Roman"/>
                <w:color w:val="auto"/>
                <w:kern w:val="2"/>
                <w:sz w:val="24"/>
                <w:szCs w:val="24"/>
                <w:vertAlign w:val="baseline"/>
                <w:lang w:val="en-US" w:eastAsia="zh-CN"/>
              </w:rPr>
            </w:pPr>
            <w:r>
              <w:rPr>
                <w:rFonts w:hint="default" w:ascii="Times New Roman" w:hAnsi="Times New Roman" w:eastAsia="宋体" w:cs="Times New Roman"/>
                <w:color w:val="auto"/>
                <w:kern w:val="2"/>
                <w:sz w:val="24"/>
                <w:szCs w:val="24"/>
                <w:lang w:val="en-US" w:eastAsia="zh-CN"/>
              </w:rPr>
              <w:t>项目烧结过后的陶瓷覆铜板需要进行降温处理，项目利用三台冷却循环水机进行间接冷却，冷却水循环使用不外排，定期补充损耗，根据企业提供资料，项目每台冷却水循环系统冷却池容积0.27m</w:t>
            </w:r>
            <w:r>
              <w:rPr>
                <w:rFonts w:hint="default" w:ascii="Times New Roman" w:hAnsi="Times New Roman" w:eastAsia="宋体" w:cs="Times New Roman"/>
                <w:color w:val="auto"/>
                <w:kern w:val="2"/>
                <w:sz w:val="24"/>
                <w:szCs w:val="24"/>
                <w:vertAlign w:val="superscript"/>
                <w:lang w:val="en-US" w:eastAsia="zh-CN"/>
              </w:rPr>
              <w:t>3</w:t>
            </w:r>
            <w:r>
              <w:rPr>
                <w:rFonts w:hint="default" w:ascii="Times New Roman" w:hAnsi="Times New Roman" w:eastAsia="宋体" w:cs="Times New Roman"/>
                <w:color w:val="auto"/>
                <w:kern w:val="2"/>
                <w:sz w:val="24"/>
                <w:szCs w:val="24"/>
                <w:vertAlign w:val="baseline"/>
                <w:lang w:val="en-US" w:eastAsia="zh-CN"/>
              </w:rPr>
              <w:t>，</w:t>
            </w:r>
            <w:r>
              <w:commentReference w:id="4"/>
            </w:r>
            <w:r>
              <w:rPr>
                <w:rFonts w:hint="default" w:ascii="Times New Roman" w:hAnsi="Times New Roman" w:eastAsia="宋体" w:cs="Times New Roman"/>
                <w:color w:val="auto"/>
                <w:kern w:val="2"/>
                <w:sz w:val="24"/>
                <w:szCs w:val="24"/>
                <w:vertAlign w:val="baseline"/>
                <w:lang w:val="en-US" w:eastAsia="zh-CN"/>
              </w:rPr>
              <w:t>循环水流量为6.59t/h、52.72t/d。</w:t>
            </w:r>
            <w:r>
              <w:commentReference w:id="5"/>
            </w:r>
            <w:r>
              <w:rPr>
                <w:rFonts w:hint="default" w:ascii="Times New Roman" w:hAnsi="Times New Roman" w:eastAsia="宋体" w:cs="Times New Roman"/>
                <w:color w:val="auto"/>
                <w:kern w:val="2"/>
                <w:sz w:val="24"/>
                <w:szCs w:val="24"/>
                <w:vertAlign w:val="baseline"/>
                <w:lang w:val="en-US" w:eastAsia="zh-CN"/>
              </w:rPr>
              <w:t>需补充量为4.74t/d、1422t/a。</w:t>
            </w: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eastAsia="宋体" w:cs="Times New Roman"/>
                <w:color w:val="auto"/>
                <w:kern w:val="2"/>
                <w:sz w:val="24"/>
                <w:szCs w:val="24"/>
                <w:lang w:val="en-US" w:eastAsia="zh-CN"/>
              </w:rPr>
            </w:pPr>
            <w:r>
              <w:rPr>
                <w:rFonts w:hint="default" w:ascii="Times New Roman" w:hAnsi="Times New Roman" w:eastAsia="宋体" w:cs="Times New Roman"/>
                <w:color w:val="auto"/>
                <w:kern w:val="2"/>
                <w:sz w:val="24"/>
                <w:szCs w:val="24"/>
                <w:lang w:val="en-US" w:eastAsia="zh-CN" w:bidi="ar-SA"/>
              </w:rPr>
              <w:t>（2）</w:t>
            </w:r>
            <w:r>
              <w:rPr>
                <w:rFonts w:hint="default" w:ascii="Times New Roman" w:hAnsi="Times New Roman" w:eastAsia="宋体" w:cs="Times New Roman"/>
                <w:color w:val="auto"/>
                <w:kern w:val="2"/>
                <w:sz w:val="24"/>
                <w:szCs w:val="24"/>
                <w:lang w:val="en-US" w:eastAsia="zh-CN"/>
              </w:rPr>
              <w:t>生活用水</w:t>
            </w: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Times New Roman" w:hAnsi="Times New Roman" w:eastAsia="宋体" w:cs="Times New Roman"/>
                <w:b/>
                <w:bCs/>
                <w:szCs w:val="21"/>
              </w:rPr>
            </w:pPr>
            <w:r>
              <w:rPr>
                <w:rFonts w:hint="default" w:ascii="Times New Roman" w:hAnsi="Times New Roman" w:eastAsia="宋体" w:cs="Times New Roman"/>
                <w:color w:val="auto"/>
                <w:kern w:val="2"/>
                <w:sz w:val="24"/>
                <w:szCs w:val="24"/>
              </w:rPr>
              <w:t>本项目</w:t>
            </w:r>
            <w:r>
              <w:rPr>
                <w:rFonts w:hint="default" w:ascii="Times New Roman" w:hAnsi="Times New Roman" w:eastAsia="宋体" w:cs="Times New Roman"/>
                <w:color w:val="auto"/>
                <w:kern w:val="2"/>
                <w:sz w:val="24"/>
                <w:szCs w:val="24"/>
                <w:lang w:val="en-US" w:eastAsia="zh-CN"/>
              </w:rPr>
              <w:t>劳动定员45</w:t>
            </w:r>
            <w:r>
              <w:rPr>
                <w:rFonts w:hint="default" w:ascii="Times New Roman" w:hAnsi="Times New Roman" w:eastAsia="宋体" w:cs="Times New Roman"/>
                <w:color w:val="auto"/>
                <w:kern w:val="2"/>
                <w:sz w:val="24"/>
                <w:szCs w:val="24"/>
              </w:rPr>
              <w:t>人，年工作</w:t>
            </w:r>
            <w:r>
              <w:rPr>
                <w:rFonts w:hint="default" w:ascii="Times New Roman" w:hAnsi="Times New Roman" w:eastAsia="宋体" w:cs="Times New Roman"/>
                <w:color w:val="auto"/>
                <w:kern w:val="2"/>
                <w:sz w:val="24"/>
                <w:szCs w:val="24"/>
                <w:lang w:val="en-US" w:eastAsia="zh-CN"/>
              </w:rPr>
              <w:t>300</w:t>
            </w:r>
            <w:r>
              <w:rPr>
                <w:rFonts w:hint="default" w:ascii="Times New Roman" w:hAnsi="Times New Roman" w:eastAsia="宋体" w:cs="Times New Roman"/>
                <w:color w:val="auto"/>
                <w:kern w:val="2"/>
                <w:sz w:val="24"/>
                <w:szCs w:val="24"/>
              </w:rPr>
              <w:t>天，不设食堂和宿舍，</w:t>
            </w:r>
            <w:r>
              <w:commentReference w:id="6"/>
            </w:r>
            <w:r>
              <w:rPr>
                <w:rFonts w:hint="default" w:ascii="Times New Roman" w:hAnsi="Times New Roman" w:eastAsia="宋体" w:cs="Times New Roman"/>
                <w:color w:val="auto"/>
                <w:kern w:val="2"/>
                <w:sz w:val="24"/>
                <w:szCs w:val="24"/>
                <w:highlight w:val="none"/>
              </w:rPr>
              <w:t>生活用水量为</w:t>
            </w:r>
            <w:r>
              <w:rPr>
                <w:rFonts w:hint="default" w:ascii="Times New Roman" w:hAnsi="Times New Roman" w:eastAsia="宋体" w:cs="Times New Roman"/>
                <w:color w:val="auto"/>
                <w:kern w:val="2"/>
                <w:sz w:val="24"/>
                <w:szCs w:val="24"/>
                <w:highlight w:val="none"/>
                <w:lang w:val="en-US" w:eastAsia="zh-CN"/>
              </w:rPr>
              <w:t>2.25t/d，675</w:t>
            </w:r>
            <w:r>
              <w:rPr>
                <w:rFonts w:hint="default" w:ascii="Times New Roman" w:hAnsi="Times New Roman" w:eastAsia="宋体" w:cs="Times New Roman"/>
                <w:color w:val="auto"/>
                <w:kern w:val="2"/>
                <w:sz w:val="24"/>
                <w:szCs w:val="24"/>
                <w:highlight w:val="none"/>
              </w:rPr>
              <w:t>t/a</w:t>
            </w:r>
            <w:r>
              <w:rPr>
                <w:rFonts w:hint="default" w:ascii="Times New Roman" w:hAnsi="Times New Roman" w:eastAsia="宋体" w:cs="Times New Roman"/>
                <w:color w:val="auto"/>
                <w:kern w:val="2"/>
                <w:sz w:val="24"/>
                <w:szCs w:val="24"/>
                <w:highlight w:val="none"/>
                <w:lang w:eastAsia="zh-CN"/>
              </w:rPr>
              <w:t>；</w:t>
            </w:r>
            <w:r>
              <w:commentReference w:id="7"/>
            </w:r>
            <w:r>
              <w:rPr>
                <w:rFonts w:hint="default" w:ascii="Times New Roman" w:hAnsi="Times New Roman" w:eastAsia="宋体" w:cs="Times New Roman"/>
                <w:color w:val="auto"/>
                <w:kern w:val="2"/>
                <w:sz w:val="24"/>
                <w:szCs w:val="24"/>
                <w:highlight w:val="none"/>
              </w:rPr>
              <w:t>生活污水产生量为</w:t>
            </w:r>
            <w:r>
              <w:rPr>
                <w:rFonts w:hint="default" w:ascii="Times New Roman" w:hAnsi="Times New Roman" w:eastAsia="宋体" w:cs="Times New Roman"/>
                <w:color w:val="auto"/>
                <w:kern w:val="2"/>
                <w:sz w:val="24"/>
                <w:szCs w:val="24"/>
                <w:highlight w:val="none"/>
                <w:lang w:val="en-US" w:eastAsia="zh-CN"/>
              </w:rPr>
              <w:t>1.8t/d，540</w:t>
            </w:r>
            <w:r>
              <w:rPr>
                <w:rFonts w:hint="default" w:ascii="Times New Roman" w:hAnsi="Times New Roman" w:eastAsia="宋体" w:cs="Times New Roman"/>
                <w:color w:val="auto"/>
                <w:kern w:val="2"/>
                <w:sz w:val="24"/>
                <w:szCs w:val="24"/>
                <w:highlight w:val="none"/>
              </w:rPr>
              <w:t>t/a</w:t>
            </w:r>
            <w:r>
              <w:rPr>
                <w:rFonts w:hint="default" w:ascii="Times New Roman" w:hAnsi="Times New Roman" w:eastAsia="宋体" w:cs="Times New Roman"/>
                <w:color w:val="auto"/>
                <w:kern w:val="2"/>
                <w:sz w:val="24"/>
                <w:szCs w:val="24"/>
                <w:highlight w:val="none"/>
                <w:lang w:eastAsia="zh-CN"/>
              </w:rPr>
              <w:t>，</w:t>
            </w:r>
            <w:r>
              <w:rPr>
                <w:rFonts w:hint="default" w:ascii="Times New Roman" w:hAnsi="Times New Roman" w:eastAsia="宋体" w:cs="Times New Roman"/>
                <w:color w:val="auto"/>
                <w:kern w:val="2"/>
                <w:sz w:val="24"/>
                <w:szCs w:val="24"/>
                <w:highlight w:val="none"/>
                <w:lang w:val="en-US" w:eastAsia="zh-CN"/>
              </w:rPr>
              <w:t>经化粪池预处理接管纳入金寨县污水处理厂处理，最终排入史河。</w:t>
            </w:r>
            <w:r>
              <w:rPr>
                <w:rFonts w:hint="default" w:ascii="Times New Roman" w:hAnsi="Times New Roman" w:eastAsia="宋体" w:cs="Times New Roman"/>
                <w:color w:val="auto"/>
                <w:sz w:val="24"/>
                <w:lang w:eastAsia="zh-CN"/>
              </w:rPr>
              <w:t>水平衡见下图</w:t>
            </w:r>
            <w:r>
              <w:rPr>
                <w:rFonts w:hint="eastAsia" w:ascii="Times New Roman" w:hAnsi="Times New Roman" w:eastAsia="宋体" w:cs="Times New Roman"/>
                <w:color w:val="auto"/>
                <w:sz w:val="24"/>
                <w:lang w:val="en-US" w:eastAsia="zh-CN"/>
              </w:rPr>
              <w:t>2.1</w:t>
            </w:r>
            <w:r>
              <w:rPr>
                <w:rFonts w:hint="default" w:ascii="Times New Roman" w:hAnsi="Times New Roman" w:eastAsia="宋体" w:cs="Times New Roman"/>
                <w:color w:val="auto"/>
                <w:sz w:val="24"/>
                <w:lang w:val="en-US" w:eastAsia="zh-CN"/>
              </w:rPr>
              <w:t>。</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textAlignment w:val="auto"/>
              <w:rPr>
                <w:rFonts w:hint="eastAsia" w:ascii="Times New Roman" w:hAnsi="Times New Roman" w:eastAsia="宋体" w:cs="Times New Roman"/>
                <w:b/>
                <w:bCs/>
                <w:szCs w:val="21"/>
              </w:rPr>
            </w:pPr>
            <w:r>
              <w:drawing>
                <wp:inline distT="0" distB="0" distL="114300" distR="114300">
                  <wp:extent cx="4469765" cy="1519555"/>
                  <wp:effectExtent l="0" t="0" r="6985" b="4445"/>
                  <wp:docPr id="1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
                          <pic:cNvPicPr>
                            <a:picLocks noChangeAspect="1"/>
                          </pic:cNvPicPr>
                        </pic:nvPicPr>
                        <pic:blipFill>
                          <a:blip r:embed="rId12"/>
                          <a:stretch>
                            <a:fillRect/>
                          </a:stretch>
                        </pic:blipFill>
                        <pic:spPr>
                          <a:xfrm>
                            <a:off x="0" y="0"/>
                            <a:ext cx="4469765" cy="1519555"/>
                          </a:xfrm>
                          <a:prstGeom prst="rect">
                            <a:avLst/>
                          </a:prstGeom>
                          <a:noFill/>
                          <a:ln>
                            <a:noFill/>
                          </a:ln>
                        </pic:spPr>
                      </pic:pic>
                    </a:graphicData>
                  </a:graphic>
                </wp:inline>
              </w:drawing>
            </w:r>
          </w:p>
          <w:p>
            <w:pPr>
              <w:keepNext w:val="0"/>
              <w:keepLines w:val="0"/>
              <w:suppressLineNumbers w:val="0"/>
              <w:spacing w:before="0" w:beforeAutospacing="0" w:after="0" w:afterAutospacing="0" w:line="360" w:lineRule="auto"/>
              <w:ind w:left="0" w:right="0"/>
              <w:jc w:val="center"/>
              <w:rPr>
                <w:rFonts w:hint="eastAsia" w:ascii="Times New Roman" w:hAnsi="宋体" w:eastAsia="宋体" w:cs="Times New Roman"/>
                <w:b/>
                <w:bCs/>
                <w:sz w:val="24"/>
                <w:szCs w:val="24"/>
                <w:lang w:eastAsia="zh-CN"/>
              </w:rPr>
            </w:pPr>
            <w:r>
              <w:rPr>
                <w:rFonts w:hint="eastAsia" w:ascii="Times New Roman" w:hAnsi="Times New Roman" w:eastAsia="宋体" w:cs="Times New Roman"/>
                <w:b/>
                <w:bCs/>
                <w:sz w:val="24"/>
                <w:szCs w:val="24"/>
              </w:rPr>
              <w:t>图2.1 用水平衡图  单位：</w:t>
            </w:r>
            <w:r>
              <w:rPr>
                <w:rFonts w:hint="eastAsia" w:ascii="Times New Roman" w:hAnsi="Times New Roman" w:eastAsia="宋体" w:cs="Times New Roman"/>
                <w:b/>
                <w:bCs/>
                <w:sz w:val="24"/>
                <w:szCs w:val="24"/>
                <w:lang w:eastAsia="zh-CN"/>
              </w:rPr>
              <w:t>（</w:t>
            </w:r>
            <w:r>
              <w:rPr>
                <w:rFonts w:hint="eastAsia" w:ascii="Times New Roman" w:hAnsi="Times New Roman" w:eastAsia="宋体" w:cs="Times New Roman"/>
                <w:b/>
                <w:bCs/>
                <w:sz w:val="24"/>
                <w:szCs w:val="24"/>
              </w:rPr>
              <w:t>t/d</w:t>
            </w:r>
            <w:r>
              <w:rPr>
                <w:rFonts w:hint="eastAsia" w:ascii="Times New Roman" w:hAnsi="Times New Roman" w:eastAsia="宋体" w:cs="Times New Roman"/>
                <w:b/>
                <w:bCs/>
                <w:sz w:val="24"/>
                <w:szCs w:val="24"/>
                <w:lang w:eastAsia="zh-CN"/>
              </w:rPr>
              <w:t>）</w:t>
            </w:r>
          </w:p>
          <w:p>
            <w:pPr>
              <w:keepNext w:val="0"/>
              <w:keepLines w:val="0"/>
              <w:pageBreakBefore w:val="0"/>
              <w:kinsoku/>
              <w:wordWrap/>
              <w:overflowPunct/>
              <w:topLinePunct w:val="0"/>
              <w:autoSpaceDE/>
              <w:autoSpaceDN/>
              <w:bidi w:val="0"/>
              <w:spacing w:after="0" w:line="360" w:lineRule="auto"/>
              <w:textAlignment w:val="auto"/>
              <w:rPr>
                <w:rFonts w:hint="eastAsia" w:ascii="宋体" w:hAnsi="宋体" w:eastAsia="宋体" w:cs="宋体"/>
                <w:b/>
                <w:bCs/>
                <w:sz w:val="28"/>
                <w:szCs w:val="28"/>
                <w:lang w:val="en-US" w:eastAsia="zh-CN"/>
              </w:rPr>
            </w:pPr>
          </w:p>
          <w:p>
            <w:pPr>
              <w:keepNext w:val="0"/>
              <w:keepLines w:val="0"/>
              <w:pageBreakBefore w:val="0"/>
              <w:kinsoku/>
              <w:wordWrap/>
              <w:overflowPunct/>
              <w:topLinePunct w:val="0"/>
              <w:autoSpaceDE/>
              <w:autoSpaceDN/>
              <w:bidi w:val="0"/>
              <w:spacing w:after="0" w:line="360" w:lineRule="auto"/>
              <w:textAlignment w:val="auto"/>
              <w:rPr>
                <w:rFonts w:hint="eastAsia" w:ascii="宋体" w:hAnsi="宋体" w:eastAsia="宋体" w:cs="宋体"/>
                <w:b/>
                <w:bCs/>
                <w:sz w:val="28"/>
                <w:szCs w:val="28"/>
                <w:lang w:val="en-US" w:eastAsia="zh-CN"/>
              </w:rPr>
            </w:pPr>
          </w:p>
          <w:p>
            <w:pPr>
              <w:keepNext w:val="0"/>
              <w:keepLines w:val="0"/>
              <w:pageBreakBefore w:val="0"/>
              <w:kinsoku/>
              <w:wordWrap/>
              <w:overflowPunct/>
              <w:topLinePunct w:val="0"/>
              <w:autoSpaceDE/>
              <w:autoSpaceDN/>
              <w:bidi w:val="0"/>
              <w:spacing w:after="0" w:line="360" w:lineRule="auto"/>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主要工艺流程及产污环节：</w:t>
            </w:r>
          </w:p>
          <w:p>
            <w:pPr>
              <w:keepNext w:val="0"/>
              <w:keepLines w:val="0"/>
              <w:pageBreakBefore w:val="0"/>
              <w:widowControl w:val="0"/>
              <w:kinsoku/>
              <w:wordWrap/>
              <w:overflowPunct/>
              <w:topLinePunct w:val="0"/>
              <w:autoSpaceDE/>
              <w:autoSpaceDN/>
              <w:bidi w:val="0"/>
              <w:adjustRightInd/>
              <w:snapToGrid/>
              <w:spacing w:after="0" w:line="360" w:lineRule="auto"/>
              <w:ind w:left="0" w:firstLine="0" w:firstLineChars="0"/>
              <w:jc w:val="both"/>
              <w:textAlignment w:val="auto"/>
              <w:rPr>
                <w:rFonts w:hint="default" w:ascii="宋体" w:hAnsi="宋体" w:eastAsia="宋体" w:cs="宋体"/>
                <w:kern w:val="2"/>
                <w:sz w:val="24"/>
                <w:szCs w:val="24"/>
                <w:lang w:val="en-US" w:eastAsia="zh-CN" w:bidi="ar-SA"/>
              </w:rPr>
            </w:pPr>
            <w:r>
              <w:rPr>
                <w:rFonts w:hint="eastAsia" w:ascii="Times New Roman" w:hAnsi="宋体" w:eastAsia="宋体" w:cs="Times New Roman"/>
                <w:b/>
                <w:bCs/>
                <w:kern w:val="2"/>
                <w:sz w:val="24"/>
                <w:szCs w:val="24"/>
                <w:lang w:val="en-US" w:eastAsia="zh-CN" w:bidi="ar-SA"/>
              </w:rPr>
              <w:t>1、主要工艺流程及产污环节</w:t>
            </w:r>
          </w:p>
          <w:p>
            <w:pPr>
              <w:keepNext w:val="0"/>
              <w:keepLines w:val="0"/>
              <w:pageBreakBefore w:val="0"/>
              <w:widowControl w:val="0"/>
              <w:kinsoku/>
              <w:wordWrap/>
              <w:overflowPunct/>
              <w:topLinePunct w:val="0"/>
              <w:autoSpaceDE w:val="0"/>
              <w:autoSpaceDN w:val="0"/>
              <w:bidi w:val="0"/>
              <w:adjustRightInd w:val="0"/>
              <w:snapToGrid/>
              <w:spacing w:before="0" w:after="0" w:line="240" w:lineRule="auto"/>
              <w:ind w:left="0" w:leftChars="0" w:firstLine="0" w:firstLineChars="0"/>
              <w:jc w:val="center"/>
              <w:textAlignment w:val="auto"/>
              <w:rPr>
                <w:rFonts w:hint="default" w:ascii="Times New Roman" w:hAnsi="Times New Roman" w:eastAsia="宋体" w:cs="宋体"/>
                <w:b/>
                <w:bCs w:val="0"/>
                <w:color w:val="auto"/>
                <w:sz w:val="24"/>
                <w:szCs w:val="21"/>
                <w:lang w:val="en-US" w:eastAsia="zh-CN" w:bidi="ar-SA"/>
              </w:rPr>
            </w:pPr>
            <w:r>
              <w:rPr>
                <w:rFonts w:ascii="Times New Roman" w:hAnsi="Times New Roman" w:eastAsia="宋体" w:cs="宋体"/>
                <w:bCs/>
                <w:color w:val="000000"/>
                <w:sz w:val="24"/>
                <w:szCs w:val="21"/>
                <w:lang w:val="en-US" w:eastAsia="zh-CN" w:bidi="ar-SA"/>
              </w:rPr>
              <mc:AlternateContent>
                <mc:Choice Requires="wpg">
                  <w:drawing>
                    <wp:anchor distT="0" distB="0" distL="114300" distR="114300" simplePos="0" relativeHeight="251659264" behindDoc="0" locked="0" layoutInCell="1" allowOverlap="1">
                      <wp:simplePos x="0" y="0"/>
                      <wp:positionH relativeFrom="column">
                        <wp:posOffset>384175</wp:posOffset>
                      </wp:positionH>
                      <wp:positionV relativeFrom="paragraph">
                        <wp:posOffset>163195</wp:posOffset>
                      </wp:positionV>
                      <wp:extent cx="3986530" cy="5801360"/>
                      <wp:effectExtent l="0" t="0" r="13970" b="8890"/>
                      <wp:wrapNone/>
                      <wp:docPr id="321" name="组合 321"/>
                      <wp:cNvGraphicFramePr/>
                      <a:graphic xmlns:a="http://schemas.openxmlformats.org/drawingml/2006/main">
                        <a:graphicData uri="http://schemas.microsoft.com/office/word/2010/wordprocessingGroup">
                          <wpg:wgp>
                            <wpg:cNvGrpSpPr/>
                            <wpg:grpSpPr>
                              <a:xfrm>
                                <a:off x="0" y="0"/>
                                <a:ext cx="3986530" cy="5801360"/>
                                <a:chOff x="8511" y="311582"/>
                                <a:chExt cx="6278" cy="9136"/>
                              </a:xfrm>
                            </wpg:grpSpPr>
                            <wpg:grpSp>
                              <wpg:cNvPr id="322" name="组合 55"/>
                              <wpg:cNvGrpSpPr/>
                              <wpg:grpSpPr>
                                <a:xfrm>
                                  <a:off x="8511" y="311582"/>
                                  <a:ext cx="6278" cy="9136"/>
                                  <a:chOff x="8511" y="311582"/>
                                  <a:chExt cx="6278" cy="9136"/>
                                </a:xfrm>
                              </wpg:grpSpPr>
                              <wps:wsp>
                                <wps:cNvPr id="11" name="矩形 11"/>
                                <wps:cNvSpPr/>
                                <wps:spPr>
                                  <a:xfrm>
                                    <a:off x="11411" y="311582"/>
                                    <a:ext cx="1763" cy="903"/>
                                  </a:xfrm>
                                  <a:prstGeom prst="rect">
                                    <a:avLst/>
                                  </a:prstGeom>
                                  <a:solidFill>
                                    <a:sysClr val="window" lastClr="FFFFFF"/>
                                  </a:solidFill>
                                  <a:ln w="12700" cap="flat" cmpd="sng" algn="ctr">
                                    <a:noFill/>
                                    <a:prstDash val="solid"/>
                                    <a:miter lim="800000"/>
                                  </a:ln>
                                  <a:effectLst/>
                                </wps:spPr>
                                <wps:style>
                                  <a:lnRef idx="2">
                                    <a:schemeClr val="accent6"/>
                                  </a:lnRef>
                                  <a:fillRef idx="1">
                                    <a:schemeClr val="lt1"/>
                                  </a:fillRef>
                                  <a:effectRef idx="0">
                                    <a:schemeClr val="accent6"/>
                                  </a:effectRef>
                                  <a:fontRef idx="minor">
                                    <a:schemeClr val="dk1"/>
                                  </a:fontRef>
                                </wps:style>
                                <wps:txbx>
                                  <w:txbxContent>
                                    <w:p>
                                      <w:pPr>
                                        <w:widowControl w:val="0"/>
                                        <w:adjustRightInd/>
                                        <w:snapToGrid/>
                                        <w:spacing w:after="0" w:line="240" w:lineRule="auto"/>
                                        <w:jc w:val="both"/>
                                        <w:rPr>
                                          <w:rFonts w:hint="eastAsia" w:ascii="Times New Roman" w:hAnsi="Times New Roman" w:eastAsia="宋体" w:cs="Times New Roman"/>
                                          <w:kern w:val="2"/>
                                          <w:sz w:val="24"/>
                                          <w:szCs w:val="24"/>
                                          <w:lang w:val="en-US" w:eastAsia="zh-CN"/>
                                        </w:rPr>
                                      </w:pPr>
                                      <w:r>
                                        <w:rPr>
                                          <w:rFonts w:hint="eastAsia" w:ascii="Times New Roman" w:hAnsi="Times New Roman" w:eastAsia="宋体" w:cs="Times New Roman"/>
                                          <w:kern w:val="2"/>
                                          <w:sz w:val="24"/>
                                          <w:szCs w:val="24"/>
                                          <w:lang w:val="en-US" w:eastAsia="zh-CN"/>
                                        </w:rPr>
                                        <w:t>氧化铝陶瓷</w:t>
                                      </w:r>
                                    </w:p>
                                    <w:p>
                                      <w:pPr>
                                        <w:widowControl w:val="0"/>
                                        <w:jc w:val="both"/>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4"/>
                                          <w:szCs w:val="24"/>
                                          <w:lang w:val="en-US" w:eastAsia="zh-CN" w:bidi="ar-SA"/>
                                        </w:rPr>
                                        <w:t>或氧化锆陶瓷</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0" name="矩形 30"/>
                                <wps:cNvSpPr/>
                                <wps:spPr>
                                  <a:xfrm>
                                    <a:off x="11019" y="320264"/>
                                    <a:ext cx="827" cy="454"/>
                                  </a:xfrm>
                                  <a:prstGeom prst="rect">
                                    <a:avLst/>
                                  </a:prstGeom>
                                  <a:solidFill>
                                    <a:sysClr val="window" lastClr="FFFFFF"/>
                                  </a:solidFill>
                                  <a:ln w="12700" cap="flat" cmpd="sng" algn="ctr">
                                    <a:solidFill>
                                      <a:sysClr val="windowText" lastClr="000000"/>
                                    </a:solidFill>
                                    <a:prstDash val="solid"/>
                                    <a:miter lim="800000"/>
                                  </a:ln>
                                  <a:effectLst/>
                                </wps:spPr>
                                <wps:style>
                                  <a:lnRef idx="2">
                                    <a:schemeClr val="accent6"/>
                                  </a:lnRef>
                                  <a:fillRef idx="1">
                                    <a:schemeClr val="lt1"/>
                                  </a:fillRef>
                                  <a:effectRef idx="0">
                                    <a:schemeClr val="accent6"/>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val="0"/>
                                        <w:snapToGrid/>
                                        <w:spacing w:line="240" w:lineRule="auto"/>
                                        <w:ind w:firstLine="0"/>
                                        <w:jc w:val="both"/>
                                        <w:textAlignment w:val="auto"/>
                                        <w:rPr>
                                          <w:rFonts w:hint="default" w:ascii="宋体" w:hAnsi="Times New Roman" w:eastAsia="宋体" w:cs="Times New Roman"/>
                                          <w:kern w:val="0"/>
                                          <w:sz w:val="24"/>
                                          <w:szCs w:val="24"/>
                                          <w:lang w:val="en-US" w:eastAsia="zh-CN" w:bidi="ar-SA"/>
                                        </w:rPr>
                                      </w:pPr>
                                      <w:r>
                                        <w:rPr>
                                          <w:rFonts w:hint="eastAsia" w:ascii="宋体" w:hAnsi="Times New Roman" w:eastAsia="宋体" w:cs="Times New Roman"/>
                                          <w:kern w:val="0"/>
                                          <w:sz w:val="24"/>
                                          <w:szCs w:val="24"/>
                                          <w:lang w:val="en-US" w:eastAsia="zh-CN" w:bidi="ar-SA"/>
                                        </w:rPr>
                                        <w:t>入库</w:t>
                                      </w:r>
                                    </w:p>
                                    <w:p>
                                      <w:pPr>
                                        <w:widowControl w:val="0"/>
                                        <w:adjustRightInd w:val="0"/>
                                        <w:spacing w:line="312" w:lineRule="auto"/>
                                        <w:ind w:firstLine="567"/>
                                        <w:jc w:val="both"/>
                                        <w:rPr>
                                          <w:rFonts w:hint="default" w:ascii="宋体" w:hAnsi="Times New Roman" w:eastAsia="宋体" w:cs="Times New Roman"/>
                                          <w:kern w:val="0"/>
                                          <w:sz w:val="24"/>
                                          <w:szCs w:val="24"/>
                                          <w:lang w:val="en-US" w:eastAsia="zh-CN" w:bidi="ar-SA"/>
                                        </w:rPr>
                                      </w:pPr>
                                      <w:r>
                                        <w:rPr>
                                          <w:rFonts w:hint="eastAsia" w:ascii="宋体" w:hAnsi="Times New Roman" w:eastAsia="宋体" w:cs="Times New Roman"/>
                                          <w:kern w:val="0"/>
                                          <w:sz w:val="24"/>
                                          <w:szCs w:val="24"/>
                                          <w:lang w:val="en-US" w:eastAsia="zh-CN" w:bidi="ar-SA"/>
                                        </w:rPr>
                                        <w:t>无氧铜箔</w:t>
                                      </w:r>
                                    </w:p>
                                    <w:p>
                                      <w:pPr>
                                        <w:widowControl w:val="0"/>
                                        <w:adjustRightInd/>
                                        <w:snapToGrid/>
                                        <w:spacing w:after="0" w:line="240" w:lineRule="auto"/>
                                        <w:jc w:val="both"/>
                                        <w:rPr>
                                          <w:rFonts w:ascii="Times New Roman" w:hAnsi="Times New Roman" w:eastAsia="宋体" w:cs="Times New Roman"/>
                                          <w:kern w:val="2"/>
                                          <w:sz w:val="21"/>
                                          <w:szCs w:val="24"/>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6" name="矩形 36"/>
                                <wps:cNvSpPr/>
                                <wps:spPr>
                                  <a:xfrm>
                                    <a:off x="13195" y="315240"/>
                                    <a:ext cx="1413" cy="454"/>
                                  </a:xfrm>
                                  <a:prstGeom prst="rect">
                                    <a:avLst/>
                                  </a:prstGeom>
                                  <a:solidFill>
                                    <a:sysClr val="window" lastClr="FFFFFF"/>
                                  </a:solidFill>
                                  <a:ln w="12700" cap="flat" cmpd="sng" algn="ctr">
                                    <a:noFill/>
                                    <a:prstDash val="solid"/>
                                    <a:miter lim="800000"/>
                                  </a:ln>
                                  <a:effectLst/>
                                </wps:spPr>
                                <wps:style>
                                  <a:lnRef idx="2">
                                    <a:schemeClr val="accent6"/>
                                  </a:lnRef>
                                  <a:fillRef idx="1">
                                    <a:schemeClr val="lt1"/>
                                  </a:fillRef>
                                  <a:effectRef idx="0">
                                    <a:schemeClr val="accent6"/>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val="0"/>
                                        <w:snapToGrid/>
                                        <w:spacing w:line="240" w:lineRule="auto"/>
                                        <w:ind w:firstLine="0"/>
                                        <w:jc w:val="both"/>
                                        <w:textAlignment w:val="auto"/>
                                        <w:rPr>
                                          <w:rFonts w:hint="default" w:ascii="宋体" w:hAnsi="Times New Roman" w:eastAsia="宋体" w:cs="Times New Roman"/>
                                          <w:kern w:val="0"/>
                                          <w:sz w:val="24"/>
                                          <w:szCs w:val="24"/>
                                          <w:lang w:val="en-US" w:eastAsia="zh-CN" w:bidi="ar-SA"/>
                                        </w:rPr>
                                      </w:pPr>
                                      <w:r>
                                        <w:rPr>
                                          <w:rFonts w:hint="eastAsia" w:ascii="宋体" w:hAnsi="Times New Roman" w:eastAsia="宋体" w:cs="Times New Roman"/>
                                          <w:kern w:val="0"/>
                                          <w:sz w:val="24"/>
                                          <w:szCs w:val="24"/>
                                          <w:lang w:val="en-US" w:eastAsia="zh-CN" w:bidi="ar-SA"/>
                                        </w:rPr>
                                        <w:t>不合格品无氧铜箔</w:t>
                                      </w:r>
                                    </w:p>
                                    <w:p>
                                      <w:pPr>
                                        <w:widowControl w:val="0"/>
                                        <w:adjustRightInd/>
                                        <w:snapToGrid/>
                                        <w:spacing w:after="0" w:line="240" w:lineRule="auto"/>
                                        <w:jc w:val="both"/>
                                        <w:rPr>
                                          <w:rFonts w:ascii="Times New Roman" w:hAnsi="Times New Roman" w:eastAsia="宋体" w:cs="Times New Roman"/>
                                          <w:kern w:val="2"/>
                                          <w:sz w:val="21"/>
                                          <w:szCs w:val="24"/>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7" name="矩形 37"/>
                                <wps:cNvSpPr/>
                                <wps:spPr>
                                  <a:xfrm>
                                    <a:off x="13235" y="318017"/>
                                    <a:ext cx="1413" cy="454"/>
                                  </a:xfrm>
                                  <a:prstGeom prst="rect">
                                    <a:avLst/>
                                  </a:prstGeom>
                                  <a:solidFill>
                                    <a:sysClr val="window" lastClr="FFFFFF"/>
                                  </a:solidFill>
                                  <a:ln w="12700" cap="flat" cmpd="sng" algn="ctr">
                                    <a:noFill/>
                                    <a:prstDash val="solid"/>
                                    <a:miter lim="800000"/>
                                  </a:ln>
                                  <a:effectLst/>
                                </wps:spPr>
                                <wps:style>
                                  <a:lnRef idx="2">
                                    <a:schemeClr val="accent6"/>
                                  </a:lnRef>
                                  <a:fillRef idx="1">
                                    <a:schemeClr val="lt1"/>
                                  </a:fillRef>
                                  <a:effectRef idx="0">
                                    <a:schemeClr val="accent6"/>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val="0"/>
                                        <w:snapToGrid/>
                                        <w:spacing w:line="240" w:lineRule="auto"/>
                                        <w:ind w:firstLine="0"/>
                                        <w:jc w:val="both"/>
                                        <w:textAlignment w:val="auto"/>
                                        <w:rPr>
                                          <w:rFonts w:hint="default" w:ascii="宋体" w:hAnsi="Times New Roman" w:eastAsia="宋体" w:cs="Times New Roman"/>
                                          <w:kern w:val="0"/>
                                          <w:sz w:val="24"/>
                                          <w:szCs w:val="24"/>
                                          <w:lang w:val="en-US" w:eastAsia="zh-CN" w:bidi="ar-SA"/>
                                        </w:rPr>
                                      </w:pPr>
                                      <w:r>
                                        <w:rPr>
                                          <w:rFonts w:hint="eastAsia" w:ascii="宋体" w:hAnsi="Times New Roman" w:eastAsia="宋体" w:cs="Times New Roman"/>
                                          <w:kern w:val="0"/>
                                          <w:sz w:val="24"/>
                                          <w:szCs w:val="24"/>
                                          <w:lang w:val="en-US" w:eastAsia="zh-CN" w:bidi="ar-SA"/>
                                        </w:rPr>
                                        <w:t>不合格品无氧铜箔</w:t>
                                      </w:r>
                                    </w:p>
                                    <w:p>
                                      <w:pPr>
                                        <w:widowControl w:val="0"/>
                                        <w:adjustRightInd/>
                                        <w:snapToGrid/>
                                        <w:spacing w:after="0" w:line="240" w:lineRule="auto"/>
                                        <w:jc w:val="both"/>
                                        <w:rPr>
                                          <w:rFonts w:ascii="Times New Roman" w:hAnsi="Times New Roman" w:eastAsia="宋体" w:cs="Times New Roman"/>
                                          <w:kern w:val="2"/>
                                          <w:sz w:val="21"/>
                                          <w:szCs w:val="24"/>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8" name="矩形 38"/>
                                <wps:cNvSpPr/>
                                <wps:spPr>
                                  <a:xfrm>
                                    <a:off x="13377" y="318923"/>
                                    <a:ext cx="1413" cy="1038"/>
                                  </a:xfrm>
                                  <a:prstGeom prst="rect">
                                    <a:avLst/>
                                  </a:prstGeom>
                                  <a:solidFill>
                                    <a:sysClr val="window" lastClr="FFFFFF"/>
                                  </a:solidFill>
                                  <a:ln w="12700" cap="flat" cmpd="sng" algn="ctr">
                                    <a:noFill/>
                                    <a:prstDash val="solid"/>
                                    <a:miter lim="800000"/>
                                  </a:ln>
                                  <a:effectLst/>
                                </wps:spPr>
                                <wps:style>
                                  <a:lnRef idx="2">
                                    <a:schemeClr val="accent6"/>
                                  </a:lnRef>
                                  <a:fillRef idx="1">
                                    <a:schemeClr val="lt1"/>
                                  </a:fillRef>
                                  <a:effectRef idx="0">
                                    <a:schemeClr val="accent6"/>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val="0"/>
                                        <w:snapToGrid/>
                                        <w:spacing w:line="240" w:lineRule="auto"/>
                                        <w:ind w:firstLine="0"/>
                                        <w:jc w:val="both"/>
                                        <w:textAlignment w:val="auto"/>
                                        <w:rPr>
                                          <w:rFonts w:ascii="宋体" w:hAnsi="Times New Roman" w:eastAsia="宋体" w:cs="Times New Roman"/>
                                          <w:kern w:val="0"/>
                                          <w:sz w:val="28"/>
                                          <w:szCs w:val="24"/>
                                          <w:lang w:val="en-US" w:eastAsia="zh-CN" w:bidi="ar-SA"/>
                                        </w:rPr>
                                      </w:pPr>
                                      <w:r>
                                        <w:rPr>
                                          <w:rFonts w:hint="eastAsia" w:ascii="宋体" w:hAnsi="Times New Roman" w:eastAsia="宋体" w:cs="Times New Roman"/>
                                          <w:kern w:val="0"/>
                                          <w:sz w:val="24"/>
                                          <w:szCs w:val="24"/>
                                          <w:lang w:val="en-US" w:eastAsia="zh-CN" w:bidi="ar-SA"/>
                                        </w:rPr>
                                        <w:t>不合格品</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4" name="矩形 24"/>
                                <wps:cNvSpPr/>
                                <wps:spPr>
                                  <a:xfrm>
                                    <a:off x="8558" y="313720"/>
                                    <a:ext cx="937" cy="454"/>
                                  </a:xfrm>
                                  <a:prstGeom prst="rect">
                                    <a:avLst/>
                                  </a:prstGeom>
                                  <a:solidFill>
                                    <a:sysClr val="window" lastClr="FFFFFF"/>
                                  </a:solidFill>
                                  <a:ln w="12700" cap="flat" cmpd="sng" algn="ctr">
                                    <a:noFill/>
                                    <a:prstDash val="solid"/>
                                    <a:miter lim="800000"/>
                                  </a:ln>
                                  <a:effectLst/>
                                </wps:spPr>
                                <wps:style>
                                  <a:lnRef idx="2">
                                    <a:schemeClr val="accent6"/>
                                  </a:lnRef>
                                  <a:fillRef idx="1">
                                    <a:schemeClr val="lt1"/>
                                  </a:fillRef>
                                  <a:effectRef idx="0">
                                    <a:schemeClr val="accent6"/>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val="0"/>
                                        <w:snapToGrid/>
                                        <w:spacing w:line="240" w:lineRule="auto"/>
                                        <w:ind w:firstLine="0"/>
                                        <w:jc w:val="both"/>
                                        <w:textAlignment w:val="auto"/>
                                        <w:rPr>
                                          <w:rFonts w:hint="default" w:ascii="宋体" w:hAnsi="Times New Roman" w:eastAsia="宋体" w:cs="Times New Roman"/>
                                          <w:kern w:val="0"/>
                                          <w:sz w:val="24"/>
                                          <w:szCs w:val="24"/>
                                          <w:lang w:val="en-US" w:eastAsia="zh-CN" w:bidi="ar-SA"/>
                                        </w:rPr>
                                      </w:pPr>
                                      <w:r>
                                        <w:rPr>
                                          <w:rFonts w:hint="eastAsia" w:ascii="宋体" w:hAnsi="Times New Roman" w:eastAsia="宋体" w:cs="Times New Roman"/>
                                          <w:kern w:val="0"/>
                                          <w:sz w:val="24"/>
                                          <w:szCs w:val="24"/>
                                          <w:lang w:val="en-US" w:eastAsia="zh-CN" w:bidi="ar-SA"/>
                                        </w:rPr>
                                        <w:t>氮气无氧铜箔</w:t>
                                      </w:r>
                                    </w:p>
                                    <w:p>
                                      <w:pPr>
                                        <w:widowControl w:val="0"/>
                                        <w:adjustRightInd/>
                                        <w:snapToGrid/>
                                        <w:spacing w:after="0" w:line="240" w:lineRule="auto"/>
                                        <w:jc w:val="both"/>
                                        <w:rPr>
                                          <w:rFonts w:ascii="Times New Roman" w:hAnsi="Times New Roman" w:eastAsia="宋体" w:cs="Times New Roman"/>
                                          <w:kern w:val="2"/>
                                          <w:sz w:val="21"/>
                                          <w:szCs w:val="24"/>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4" name="矩形 44"/>
                                <wps:cNvSpPr/>
                                <wps:spPr>
                                  <a:xfrm>
                                    <a:off x="8511" y="316671"/>
                                    <a:ext cx="937" cy="454"/>
                                  </a:xfrm>
                                  <a:prstGeom prst="rect">
                                    <a:avLst/>
                                  </a:prstGeom>
                                  <a:solidFill>
                                    <a:sysClr val="window" lastClr="FFFFFF"/>
                                  </a:solidFill>
                                  <a:ln w="12700" cap="flat" cmpd="sng" algn="ctr">
                                    <a:noFill/>
                                    <a:prstDash val="solid"/>
                                    <a:miter lim="800000"/>
                                  </a:ln>
                                  <a:effectLst/>
                                </wps:spPr>
                                <wps:style>
                                  <a:lnRef idx="2">
                                    <a:schemeClr val="accent6"/>
                                  </a:lnRef>
                                  <a:fillRef idx="1">
                                    <a:schemeClr val="lt1"/>
                                  </a:fillRef>
                                  <a:effectRef idx="0">
                                    <a:schemeClr val="accent6"/>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val="0"/>
                                        <w:snapToGrid/>
                                        <w:spacing w:line="240" w:lineRule="auto"/>
                                        <w:ind w:firstLine="0"/>
                                        <w:jc w:val="both"/>
                                        <w:textAlignment w:val="auto"/>
                                        <w:rPr>
                                          <w:rFonts w:hint="default" w:ascii="宋体" w:hAnsi="Times New Roman" w:eastAsia="宋体" w:cs="Times New Roman"/>
                                          <w:kern w:val="0"/>
                                          <w:sz w:val="24"/>
                                          <w:szCs w:val="24"/>
                                          <w:lang w:val="en-US" w:eastAsia="zh-CN" w:bidi="ar-SA"/>
                                        </w:rPr>
                                      </w:pPr>
                                      <w:r>
                                        <w:rPr>
                                          <w:rFonts w:hint="eastAsia" w:ascii="宋体" w:hAnsi="Times New Roman" w:eastAsia="宋体" w:cs="Times New Roman"/>
                                          <w:kern w:val="0"/>
                                          <w:sz w:val="24"/>
                                          <w:szCs w:val="24"/>
                                          <w:lang w:val="en-US" w:eastAsia="zh-CN" w:bidi="ar-SA"/>
                                        </w:rPr>
                                        <w:t>氮气无氧铜箔</w:t>
                                      </w:r>
                                    </w:p>
                                    <w:p>
                                      <w:pPr>
                                        <w:widowControl w:val="0"/>
                                        <w:adjustRightInd/>
                                        <w:snapToGrid/>
                                        <w:spacing w:after="0" w:line="240" w:lineRule="auto"/>
                                        <w:jc w:val="both"/>
                                        <w:rPr>
                                          <w:rFonts w:ascii="Times New Roman" w:hAnsi="Times New Roman" w:eastAsia="宋体" w:cs="Times New Roman"/>
                                          <w:kern w:val="2"/>
                                          <w:sz w:val="21"/>
                                          <w:szCs w:val="24"/>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g:grpSp>
                              <wpg:cNvPr id="323" name="组合 49"/>
                              <wpg:cNvGrpSpPr/>
                              <wpg:grpSpPr>
                                <a:xfrm>
                                  <a:off x="9448" y="312017"/>
                                  <a:ext cx="3849" cy="8229"/>
                                  <a:chOff x="9448" y="312017"/>
                                  <a:chExt cx="3849" cy="8229"/>
                                </a:xfrm>
                              </wpg:grpSpPr>
                              <wps:wsp>
                                <wps:cNvPr id="6" name="矩形 6"/>
                                <wps:cNvSpPr/>
                                <wps:spPr>
                                  <a:xfrm>
                                    <a:off x="9907" y="312017"/>
                                    <a:ext cx="1413" cy="454"/>
                                  </a:xfrm>
                                  <a:prstGeom prst="rect">
                                    <a:avLst/>
                                  </a:prstGeom>
                                  <a:solidFill>
                                    <a:sysClr val="window" lastClr="FFFFFF"/>
                                  </a:solidFill>
                                  <a:ln w="12700" cap="flat" cmpd="sng" algn="ctr">
                                    <a:noFill/>
                                    <a:prstDash val="solid"/>
                                    <a:miter lim="800000"/>
                                  </a:ln>
                                  <a:effectLst/>
                                </wps:spPr>
                                <wps:style>
                                  <a:lnRef idx="2">
                                    <a:schemeClr val="accent6"/>
                                  </a:lnRef>
                                  <a:fillRef idx="1">
                                    <a:schemeClr val="lt1"/>
                                  </a:fillRef>
                                  <a:effectRef idx="0">
                                    <a:schemeClr val="accent6"/>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val="0"/>
                                        <w:snapToGrid/>
                                        <w:spacing w:line="240" w:lineRule="auto"/>
                                        <w:ind w:firstLine="0"/>
                                        <w:jc w:val="both"/>
                                        <w:textAlignment w:val="auto"/>
                                        <w:rPr>
                                          <w:rFonts w:hint="default" w:ascii="宋体" w:hAnsi="Times New Roman" w:eastAsia="宋体" w:cs="Times New Roman"/>
                                          <w:kern w:val="0"/>
                                          <w:sz w:val="24"/>
                                          <w:szCs w:val="24"/>
                                          <w:lang w:val="en-US" w:eastAsia="zh-CN" w:bidi="ar-SA"/>
                                        </w:rPr>
                                      </w:pPr>
                                      <w:r>
                                        <w:rPr>
                                          <w:rFonts w:hint="eastAsia" w:ascii="宋体" w:hAnsi="Times New Roman" w:eastAsia="宋体" w:cs="Times New Roman"/>
                                          <w:kern w:val="0"/>
                                          <w:sz w:val="24"/>
                                          <w:szCs w:val="24"/>
                                          <w:lang w:val="en-US" w:eastAsia="zh-CN" w:bidi="ar-SA"/>
                                        </w:rPr>
                                        <w:t>无氧铜箔</w:t>
                                      </w:r>
                                    </w:p>
                                    <w:p>
                                      <w:pPr>
                                        <w:widowControl w:val="0"/>
                                        <w:adjustRightInd w:val="0"/>
                                        <w:spacing w:line="312" w:lineRule="auto"/>
                                        <w:ind w:firstLine="567"/>
                                        <w:jc w:val="both"/>
                                        <w:rPr>
                                          <w:rFonts w:hint="default" w:ascii="宋体" w:hAnsi="Times New Roman" w:eastAsia="宋体" w:cs="Times New Roman"/>
                                          <w:kern w:val="0"/>
                                          <w:sz w:val="24"/>
                                          <w:szCs w:val="24"/>
                                          <w:lang w:val="en-US" w:eastAsia="zh-CN" w:bidi="ar-SA"/>
                                        </w:rPr>
                                      </w:pPr>
                                      <w:r>
                                        <w:rPr>
                                          <w:rFonts w:hint="eastAsia" w:ascii="宋体" w:hAnsi="Times New Roman" w:eastAsia="宋体" w:cs="Times New Roman"/>
                                          <w:kern w:val="0"/>
                                          <w:sz w:val="24"/>
                                          <w:szCs w:val="24"/>
                                          <w:lang w:val="en-US" w:eastAsia="zh-CN" w:bidi="ar-SA"/>
                                        </w:rPr>
                                        <w:t>无氧铜箔</w:t>
                                      </w:r>
                                    </w:p>
                                    <w:p>
                                      <w:pPr>
                                        <w:widowControl w:val="0"/>
                                        <w:adjustRightInd/>
                                        <w:snapToGrid/>
                                        <w:spacing w:after="0" w:line="240" w:lineRule="auto"/>
                                        <w:jc w:val="both"/>
                                        <w:rPr>
                                          <w:rFonts w:ascii="Times New Roman" w:hAnsi="Times New Roman" w:eastAsia="宋体" w:cs="Times New Roman"/>
                                          <w:kern w:val="2"/>
                                          <w:sz w:val="21"/>
                                          <w:szCs w:val="24"/>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 name="直接连接符 13"/>
                                <wps:cNvCnPr/>
                                <wps:spPr>
                                  <a:xfrm>
                                    <a:off x="10604" y="312427"/>
                                    <a:ext cx="11" cy="554"/>
                                  </a:xfrm>
                                  <a:prstGeom prst="line">
                                    <a:avLst/>
                                  </a:prstGeom>
                                  <a:noFill/>
                                  <a:ln w="6350" cap="flat" cmpd="sng" algn="ctr">
                                    <a:solidFill>
                                      <a:sysClr val="windowText" lastClr="000000"/>
                                    </a:solidFill>
                                    <a:prstDash val="solid"/>
                                    <a:miter lim="800000"/>
                                  </a:ln>
                                  <a:effectLst/>
                                </wps:spPr>
                                <wps:style>
                                  <a:lnRef idx="1">
                                    <a:schemeClr val="dk1"/>
                                  </a:lnRef>
                                  <a:fillRef idx="0">
                                    <a:schemeClr val="dk1"/>
                                  </a:fillRef>
                                  <a:effectRef idx="0">
                                    <a:schemeClr val="dk1"/>
                                  </a:effectRef>
                                  <a:fontRef idx="minor">
                                    <a:schemeClr val="tx1"/>
                                  </a:fontRef>
                                </wps:style>
                                <wps:bodyPr/>
                              </wps:wsp>
                              <wps:wsp>
                                <wps:cNvPr id="15" name="直接连接符 15"/>
                                <wps:cNvCnPr/>
                                <wps:spPr>
                                  <a:xfrm>
                                    <a:off x="10596" y="312968"/>
                                    <a:ext cx="1525" cy="12"/>
                                  </a:xfrm>
                                  <a:prstGeom prst="line">
                                    <a:avLst/>
                                  </a:prstGeom>
                                  <a:noFill/>
                                  <a:ln w="6350" cap="flat" cmpd="sng" algn="ctr">
                                    <a:solidFill>
                                      <a:sysClr val="windowText" lastClr="000000"/>
                                    </a:solidFill>
                                    <a:prstDash val="solid"/>
                                    <a:miter lim="800000"/>
                                  </a:ln>
                                  <a:effectLst/>
                                </wps:spPr>
                                <wps:style>
                                  <a:lnRef idx="1">
                                    <a:schemeClr val="dk1"/>
                                  </a:lnRef>
                                  <a:fillRef idx="0">
                                    <a:schemeClr val="dk1"/>
                                  </a:fillRef>
                                  <a:effectRef idx="0">
                                    <a:schemeClr val="dk1"/>
                                  </a:effectRef>
                                  <a:fontRef idx="minor">
                                    <a:schemeClr val="tx1"/>
                                  </a:fontRef>
                                </wps:style>
                                <wps:bodyPr/>
                              </wps:wsp>
                              <wps:wsp>
                                <wps:cNvPr id="16" name="直接连接符 16"/>
                                <wps:cNvCnPr/>
                                <wps:spPr>
                                  <a:xfrm>
                                    <a:off x="12104" y="312397"/>
                                    <a:ext cx="17" cy="582"/>
                                  </a:xfrm>
                                  <a:prstGeom prst="line">
                                    <a:avLst/>
                                  </a:prstGeom>
                                  <a:noFill/>
                                  <a:ln w="6350" cap="flat" cmpd="sng" algn="ctr">
                                    <a:solidFill>
                                      <a:sysClr val="windowText" lastClr="000000"/>
                                    </a:solidFill>
                                    <a:prstDash val="solid"/>
                                    <a:miter lim="800000"/>
                                  </a:ln>
                                  <a:effectLst/>
                                </wps:spPr>
                                <wps:style>
                                  <a:lnRef idx="1">
                                    <a:schemeClr val="dk1"/>
                                  </a:lnRef>
                                  <a:fillRef idx="0">
                                    <a:schemeClr val="dk1"/>
                                  </a:fillRef>
                                  <a:effectRef idx="0">
                                    <a:schemeClr val="dk1"/>
                                  </a:effectRef>
                                  <a:fontRef idx="minor">
                                    <a:schemeClr val="tx1"/>
                                  </a:fontRef>
                                </wps:style>
                                <wps:bodyPr/>
                              </wps:wsp>
                              <wps:wsp>
                                <wps:cNvPr id="17" name="直接箭头连接符 17"/>
                                <wps:cNvCnPr/>
                                <wps:spPr>
                                  <a:xfrm>
                                    <a:off x="11371" y="312981"/>
                                    <a:ext cx="21" cy="501"/>
                                  </a:xfrm>
                                  <a:prstGeom prst="straightConnector1">
                                    <a:avLst/>
                                  </a:prstGeom>
                                  <a:noFill/>
                                  <a:ln w="6350" cap="flat" cmpd="sng" algn="ctr">
                                    <a:solidFill>
                                      <a:sysClr val="windowText" lastClr="000000"/>
                                    </a:solidFill>
                                    <a:prstDash val="solid"/>
                                    <a:miter lim="800000"/>
                                    <a:tailEnd type="arrow" w="med" len="med"/>
                                  </a:ln>
                                  <a:effectLst/>
                                </wps:spPr>
                                <wps:style>
                                  <a:lnRef idx="1">
                                    <a:schemeClr val="dk1"/>
                                  </a:lnRef>
                                  <a:fillRef idx="0">
                                    <a:schemeClr val="dk1"/>
                                  </a:fillRef>
                                  <a:effectRef idx="0">
                                    <a:schemeClr val="dk1"/>
                                  </a:effectRef>
                                  <a:fontRef idx="minor">
                                    <a:schemeClr val="tx1"/>
                                  </a:fontRef>
                                </wps:style>
                                <wps:bodyPr/>
                              </wps:wsp>
                              <wps:wsp>
                                <wps:cNvPr id="324" name="矩形 18"/>
                                <wps:cNvSpPr/>
                                <wps:spPr>
                                  <a:xfrm>
                                    <a:off x="10209" y="313494"/>
                                    <a:ext cx="2275" cy="907"/>
                                  </a:xfrm>
                                  <a:prstGeom prst="rect">
                                    <a:avLst/>
                                  </a:prstGeom>
                                  <a:solidFill>
                                    <a:sysClr val="window" lastClr="FFFFFF"/>
                                  </a:solidFill>
                                  <a:ln w="12700" cap="flat" cmpd="sng" algn="ctr">
                                    <a:solidFill>
                                      <a:sysClr val="windowText" lastClr="000000"/>
                                    </a:solidFill>
                                    <a:prstDash val="solid"/>
                                    <a:miter lim="800000"/>
                                  </a:ln>
                                  <a:effectLst/>
                                </wps:spPr>
                                <wps:style>
                                  <a:lnRef idx="2">
                                    <a:schemeClr val="accent6"/>
                                  </a:lnRef>
                                  <a:fillRef idx="1">
                                    <a:schemeClr val="lt1"/>
                                  </a:fillRef>
                                  <a:effectRef idx="0">
                                    <a:schemeClr val="accent6"/>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val="0"/>
                                        <w:snapToGrid/>
                                        <w:spacing w:line="240" w:lineRule="auto"/>
                                        <w:ind w:firstLine="0"/>
                                        <w:jc w:val="both"/>
                                        <w:textAlignment w:val="auto"/>
                                        <w:rPr>
                                          <w:rFonts w:hint="default" w:ascii="宋体" w:hAnsi="Times New Roman" w:eastAsia="宋体" w:cs="Times New Roman"/>
                                          <w:kern w:val="0"/>
                                          <w:sz w:val="28"/>
                                          <w:szCs w:val="24"/>
                                          <w:lang w:val="en-US" w:eastAsia="zh-CN" w:bidi="ar-SA"/>
                                        </w:rPr>
                                      </w:pPr>
                                      <w:r>
                                        <w:rPr>
                                          <w:rFonts w:hint="eastAsia" w:ascii="宋体" w:hAnsi="Times New Roman" w:eastAsia="宋体" w:cs="Times New Roman"/>
                                          <w:kern w:val="0"/>
                                          <w:sz w:val="24"/>
                                          <w:szCs w:val="24"/>
                                          <w:lang w:val="en-US" w:eastAsia="zh-CN" w:bidi="ar-SA"/>
                                        </w:rPr>
                                        <w:t>铜箔+氧化铝陶瓷单面覆铜烧结</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9" name="矩形 19"/>
                                <wps:cNvSpPr/>
                                <wps:spPr>
                                  <a:xfrm>
                                    <a:off x="10638" y="315033"/>
                                    <a:ext cx="1363" cy="907"/>
                                  </a:xfrm>
                                  <a:prstGeom prst="rect">
                                    <a:avLst/>
                                  </a:prstGeom>
                                  <a:solidFill>
                                    <a:sysClr val="window" lastClr="FFFFFF"/>
                                  </a:solidFill>
                                  <a:ln w="12700" cap="flat" cmpd="sng" algn="ctr">
                                    <a:solidFill>
                                      <a:sysClr val="windowText" lastClr="000000"/>
                                    </a:solidFill>
                                    <a:prstDash val="solid"/>
                                    <a:miter lim="800000"/>
                                  </a:ln>
                                  <a:effectLst/>
                                </wps:spPr>
                                <wps:style>
                                  <a:lnRef idx="2">
                                    <a:schemeClr val="accent6"/>
                                  </a:lnRef>
                                  <a:fillRef idx="1">
                                    <a:schemeClr val="lt1"/>
                                  </a:fillRef>
                                  <a:effectRef idx="0">
                                    <a:schemeClr val="accent6"/>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val="0"/>
                                        <w:snapToGrid/>
                                        <w:spacing w:line="240" w:lineRule="auto"/>
                                        <w:ind w:firstLine="0"/>
                                        <w:jc w:val="both"/>
                                        <w:textAlignment w:val="auto"/>
                                        <w:rPr>
                                          <w:rFonts w:hint="default" w:ascii="Times New Roman" w:hAnsi="Times New Roman" w:eastAsia="宋体" w:cs="Times New Roman"/>
                                          <w:kern w:val="2"/>
                                          <w:sz w:val="24"/>
                                          <w:szCs w:val="24"/>
                                          <w:lang w:val="en-US" w:eastAsia="zh-CN"/>
                                        </w:rPr>
                                      </w:pPr>
                                      <w:r>
                                        <w:rPr>
                                          <w:rFonts w:hint="eastAsia" w:ascii="宋体" w:hAnsi="Times New Roman" w:eastAsia="宋体" w:cs="Times New Roman"/>
                                          <w:kern w:val="0"/>
                                          <w:sz w:val="24"/>
                                          <w:szCs w:val="24"/>
                                          <w:lang w:val="en-US" w:eastAsia="zh-CN" w:bidi="ar-SA"/>
                                        </w:rPr>
                                        <w:t>单面覆铜贴合检查</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0" name="直接箭头连接符 20"/>
                                <wps:cNvCnPr/>
                                <wps:spPr>
                                  <a:xfrm>
                                    <a:off x="11347" y="314401"/>
                                    <a:ext cx="11" cy="628"/>
                                  </a:xfrm>
                                  <a:prstGeom prst="straightConnector1">
                                    <a:avLst/>
                                  </a:prstGeom>
                                  <a:noFill/>
                                  <a:ln w="6350" cap="flat" cmpd="sng" algn="ctr">
                                    <a:solidFill>
                                      <a:sysClr val="windowText" lastClr="000000"/>
                                    </a:solidFill>
                                    <a:prstDash val="solid"/>
                                    <a:miter lim="800000"/>
                                    <a:tailEnd type="arrow" w="med" len="med"/>
                                  </a:ln>
                                  <a:effectLst/>
                                </wps:spPr>
                                <wps:style>
                                  <a:lnRef idx="1">
                                    <a:schemeClr val="dk1"/>
                                  </a:lnRef>
                                  <a:fillRef idx="0">
                                    <a:schemeClr val="dk1"/>
                                  </a:fillRef>
                                  <a:effectRef idx="0">
                                    <a:schemeClr val="dk1"/>
                                  </a:effectRef>
                                  <a:fontRef idx="minor">
                                    <a:schemeClr val="tx1"/>
                                  </a:fontRef>
                                </wps:style>
                                <wps:bodyPr/>
                              </wps:wsp>
                              <wps:wsp>
                                <wps:cNvPr id="21" name="直接箭头连接符 21"/>
                                <wps:cNvCnPr/>
                                <wps:spPr>
                                  <a:xfrm>
                                    <a:off x="11323" y="315933"/>
                                    <a:ext cx="21" cy="501"/>
                                  </a:xfrm>
                                  <a:prstGeom prst="straightConnector1">
                                    <a:avLst/>
                                  </a:prstGeom>
                                  <a:noFill/>
                                  <a:ln w="6350" cap="flat" cmpd="sng" algn="ctr">
                                    <a:solidFill>
                                      <a:sysClr val="windowText" lastClr="000000"/>
                                    </a:solidFill>
                                    <a:prstDash val="solid"/>
                                    <a:miter lim="800000"/>
                                    <a:tailEnd type="arrow" w="med" len="med"/>
                                  </a:ln>
                                  <a:effectLst/>
                                </wps:spPr>
                                <wps:style>
                                  <a:lnRef idx="1">
                                    <a:schemeClr val="dk1"/>
                                  </a:lnRef>
                                  <a:fillRef idx="0">
                                    <a:schemeClr val="dk1"/>
                                  </a:fillRef>
                                  <a:effectRef idx="0">
                                    <a:schemeClr val="dk1"/>
                                  </a:effectRef>
                                  <a:fontRef idx="minor">
                                    <a:schemeClr val="tx1"/>
                                  </a:fontRef>
                                </wps:style>
                                <wps:bodyPr/>
                              </wps:wsp>
                              <wps:wsp>
                                <wps:cNvPr id="23" name="直接箭头连接符 23"/>
                                <wps:cNvCnPr/>
                                <wps:spPr>
                                  <a:xfrm>
                                    <a:off x="11399" y="319746"/>
                                    <a:ext cx="21" cy="501"/>
                                  </a:xfrm>
                                  <a:prstGeom prst="straightConnector1">
                                    <a:avLst/>
                                  </a:prstGeom>
                                  <a:noFill/>
                                  <a:ln w="6350" cap="flat" cmpd="sng" algn="ctr">
                                    <a:solidFill>
                                      <a:sysClr val="windowText" lastClr="000000"/>
                                    </a:solidFill>
                                    <a:prstDash val="solid"/>
                                    <a:miter lim="800000"/>
                                    <a:tailEnd type="arrow" w="med" len="med"/>
                                  </a:ln>
                                  <a:effectLst/>
                                </wps:spPr>
                                <wps:style>
                                  <a:lnRef idx="1">
                                    <a:schemeClr val="dk1"/>
                                  </a:lnRef>
                                  <a:fillRef idx="0">
                                    <a:schemeClr val="dk1"/>
                                  </a:fillRef>
                                  <a:effectRef idx="0">
                                    <a:schemeClr val="dk1"/>
                                  </a:effectRef>
                                  <a:fontRef idx="minor">
                                    <a:schemeClr val="tx1"/>
                                  </a:fontRef>
                                </wps:style>
                                <wps:bodyPr/>
                              </wps:wsp>
                              <wps:wsp>
                                <wps:cNvPr id="325" name="矩形 26"/>
                                <wps:cNvSpPr/>
                                <wps:spPr>
                                  <a:xfrm>
                                    <a:off x="10705" y="319289"/>
                                    <a:ext cx="1425" cy="454"/>
                                  </a:xfrm>
                                  <a:prstGeom prst="rect">
                                    <a:avLst/>
                                  </a:prstGeom>
                                  <a:solidFill>
                                    <a:sysClr val="window" lastClr="FFFFFF"/>
                                  </a:solidFill>
                                  <a:ln w="12700" cap="flat" cmpd="sng" algn="ctr">
                                    <a:solidFill>
                                      <a:sysClr val="windowText" lastClr="000000"/>
                                    </a:solidFill>
                                    <a:prstDash val="solid"/>
                                    <a:miter lim="800000"/>
                                  </a:ln>
                                  <a:effectLst/>
                                </wps:spPr>
                                <wps:style>
                                  <a:lnRef idx="2">
                                    <a:schemeClr val="accent6"/>
                                  </a:lnRef>
                                  <a:fillRef idx="1">
                                    <a:schemeClr val="lt1"/>
                                  </a:fillRef>
                                  <a:effectRef idx="0">
                                    <a:schemeClr val="accent6"/>
                                  </a:effectRef>
                                  <a:fontRef idx="minor">
                                    <a:schemeClr val="dk1"/>
                                  </a:fontRef>
                                </wps:style>
                                <wps:txbx>
                                  <w:txbxContent>
                                    <w:p>
                                      <w:pPr>
                                        <w:widowControl w:val="0"/>
                                        <w:adjustRightInd/>
                                        <w:snapToGrid/>
                                        <w:spacing w:after="0" w:line="240" w:lineRule="auto"/>
                                        <w:jc w:val="both"/>
                                        <w:rPr>
                                          <w:rFonts w:hint="default" w:ascii="Times New Roman" w:hAnsi="Times New Roman" w:eastAsia="宋体" w:cs="Times New Roman"/>
                                          <w:kern w:val="2"/>
                                          <w:sz w:val="24"/>
                                          <w:szCs w:val="24"/>
                                          <w:lang w:val="en-US" w:eastAsia="zh-CN"/>
                                        </w:rPr>
                                      </w:pPr>
                                      <w:r>
                                        <w:rPr>
                                          <w:rFonts w:hint="eastAsia" w:ascii="Times New Roman" w:hAnsi="Times New Roman" w:eastAsia="宋体" w:cs="Times New Roman"/>
                                          <w:kern w:val="2"/>
                                          <w:sz w:val="24"/>
                                          <w:szCs w:val="24"/>
                                          <w:lang w:val="en-US" w:eastAsia="zh-CN"/>
                                        </w:rPr>
                                        <w:t>质检、包装</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8" name="直接箭头连接符 28"/>
                                <wps:cNvCnPr/>
                                <wps:spPr>
                                  <a:xfrm>
                                    <a:off x="11339" y="317360"/>
                                    <a:ext cx="21" cy="501"/>
                                  </a:xfrm>
                                  <a:prstGeom prst="straightConnector1">
                                    <a:avLst/>
                                  </a:prstGeom>
                                  <a:noFill/>
                                  <a:ln w="6350" cap="flat" cmpd="sng" algn="ctr">
                                    <a:solidFill>
                                      <a:sysClr val="windowText" lastClr="000000"/>
                                    </a:solidFill>
                                    <a:prstDash val="solid"/>
                                    <a:miter lim="800000"/>
                                    <a:tailEnd type="arrow" w="med" len="med"/>
                                  </a:ln>
                                  <a:effectLst/>
                                </wps:spPr>
                                <wps:style>
                                  <a:lnRef idx="1">
                                    <a:schemeClr val="dk1"/>
                                  </a:lnRef>
                                  <a:fillRef idx="0">
                                    <a:schemeClr val="dk1"/>
                                  </a:fillRef>
                                  <a:effectRef idx="0">
                                    <a:schemeClr val="dk1"/>
                                  </a:effectRef>
                                  <a:fontRef idx="minor">
                                    <a:schemeClr val="tx1"/>
                                  </a:fontRef>
                                </wps:style>
                                <wps:bodyPr/>
                              </wps:wsp>
                              <wps:wsp>
                                <wps:cNvPr id="29" name="直接箭头连接符 29"/>
                                <wps:cNvCnPr/>
                                <wps:spPr>
                                  <a:xfrm>
                                    <a:off x="11401" y="318786"/>
                                    <a:ext cx="21" cy="501"/>
                                  </a:xfrm>
                                  <a:prstGeom prst="straightConnector1">
                                    <a:avLst/>
                                  </a:prstGeom>
                                  <a:noFill/>
                                  <a:ln w="6350" cap="flat" cmpd="sng" algn="ctr">
                                    <a:solidFill>
                                      <a:sysClr val="windowText" lastClr="000000"/>
                                    </a:solidFill>
                                    <a:prstDash val="solid"/>
                                    <a:miter lim="800000"/>
                                    <a:tailEnd type="arrow" w="med" len="med"/>
                                  </a:ln>
                                  <a:effectLst/>
                                </wps:spPr>
                                <wps:style>
                                  <a:lnRef idx="1">
                                    <a:schemeClr val="dk1"/>
                                  </a:lnRef>
                                  <a:fillRef idx="0">
                                    <a:schemeClr val="dk1"/>
                                  </a:fillRef>
                                  <a:effectRef idx="0">
                                    <a:schemeClr val="dk1"/>
                                  </a:effectRef>
                                  <a:fontRef idx="minor">
                                    <a:schemeClr val="tx1"/>
                                  </a:fontRef>
                                </wps:style>
                                <wps:bodyPr/>
                              </wps:wsp>
                              <wps:wsp>
                                <wps:cNvPr id="31" name="矩形 31"/>
                                <wps:cNvSpPr/>
                                <wps:spPr>
                                  <a:xfrm>
                                    <a:off x="10199" y="316434"/>
                                    <a:ext cx="2275" cy="907"/>
                                  </a:xfrm>
                                  <a:prstGeom prst="rect">
                                    <a:avLst/>
                                  </a:prstGeom>
                                  <a:solidFill>
                                    <a:sysClr val="window" lastClr="FFFFFF"/>
                                  </a:solidFill>
                                  <a:ln w="12700" cap="flat" cmpd="sng" algn="ctr">
                                    <a:solidFill>
                                      <a:sysClr val="windowText" lastClr="000000"/>
                                    </a:solidFill>
                                    <a:prstDash val="solid"/>
                                    <a:miter lim="800000"/>
                                  </a:ln>
                                  <a:effectLst/>
                                </wps:spPr>
                                <wps:style>
                                  <a:lnRef idx="2">
                                    <a:schemeClr val="accent6"/>
                                  </a:lnRef>
                                  <a:fillRef idx="1">
                                    <a:schemeClr val="lt1"/>
                                  </a:fillRef>
                                  <a:effectRef idx="0">
                                    <a:schemeClr val="accent6"/>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val="0"/>
                                        <w:snapToGrid/>
                                        <w:spacing w:line="240" w:lineRule="auto"/>
                                        <w:ind w:firstLine="0"/>
                                        <w:jc w:val="both"/>
                                        <w:textAlignment w:val="auto"/>
                                        <w:rPr>
                                          <w:rFonts w:hint="default" w:ascii="宋体" w:hAnsi="Times New Roman" w:eastAsia="宋体" w:cs="Times New Roman"/>
                                          <w:kern w:val="0"/>
                                          <w:sz w:val="28"/>
                                          <w:szCs w:val="24"/>
                                          <w:lang w:val="en-US" w:eastAsia="zh-CN" w:bidi="ar-SA"/>
                                        </w:rPr>
                                      </w:pPr>
                                      <w:r>
                                        <w:rPr>
                                          <w:rFonts w:hint="eastAsia" w:ascii="宋体" w:hAnsi="Times New Roman" w:eastAsia="宋体" w:cs="Times New Roman"/>
                                          <w:kern w:val="0"/>
                                          <w:sz w:val="24"/>
                                          <w:szCs w:val="24"/>
                                          <w:lang w:val="en-US" w:eastAsia="zh-CN" w:bidi="ar-SA"/>
                                        </w:rPr>
                                        <w:t>铜箔+氧化铝陶瓷单面覆铜烧结</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2" name="矩形 32"/>
                                <wps:cNvSpPr/>
                                <wps:spPr>
                                  <a:xfrm>
                                    <a:off x="10704" y="317836"/>
                                    <a:ext cx="1363" cy="907"/>
                                  </a:xfrm>
                                  <a:prstGeom prst="rect">
                                    <a:avLst/>
                                  </a:prstGeom>
                                  <a:solidFill>
                                    <a:sysClr val="window" lastClr="FFFFFF"/>
                                  </a:solidFill>
                                  <a:ln w="12700" cap="flat" cmpd="sng" algn="ctr">
                                    <a:solidFill>
                                      <a:sysClr val="windowText" lastClr="000000"/>
                                    </a:solidFill>
                                    <a:prstDash val="solid"/>
                                    <a:miter lim="800000"/>
                                  </a:ln>
                                  <a:effectLst/>
                                </wps:spPr>
                                <wps:style>
                                  <a:lnRef idx="2">
                                    <a:schemeClr val="accent6"/>
                                  </a:lnRef>
                                  <a:fillRef idx="1">
                                    <a:schemeClr val="lt1"/>
                                  </a:fillRef>
                                  <a:effectRef idx="0">
                                    <a:schemeClr val="accent6"/>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val="0"/>
                                        <w:snapToGrid/>
                                        <w:spacing w:line="240" w:lineRule="auto"/>
                                        <w:ind w:firstLine="0"/>
                                        <w:jc w:val="both"/>
                                        <w:textAlignment w:val="auto"/>
                                        <w:rPr>
                                          <w:rFonts w:hint="default" w:ascii="Times New Roman" w:hAnsi="Times New Roman" w:eastAsia="宋体" w:cs="Times New Roman"/>
                                          <w:kern w:val="2"/>
                                          <w:sz w:val="24"/>
                                          <w:szCs w:val="24"/>
                                          <w:lang w:val="en-US" w:eastAsia="zh-CN"/>
                                        </w:rPr>
                                      </w:pPr>
                                      <w:r>
                                        <w:rPr>
                                          <w:rFonts w:hint="eastAsia" w:ascii="宋体" w:hAnsi="Times New Roman" w:eastAsia="宋体" w:cs="Times New Roman"/>
                                          <w:kern w:val="0"/>
                                          <w:sz w:val="24"/>
                                          <w:szCs w:val="24"/>
                                          <w:lang w:val="en-US" w:eastAsia="zh-CN" w:bidi="ar-SA"/>
                                        </w:rPr>
                                        <w:t>双面覆铜</w:t>
                                      </w:r>
                                      <w:r>
                                        <w:rPr>
                                          <w:rFonts w:hint="eastAsia" w:ascii="Times New Roman" w:hAnsi="Times New Roman" w:eastAsia="宋体" w:cs="Times New Roman"/>
                                          <w:kern w:val="2"/>
                                          <w:sz w:val="24"/>
                                          <w:szCs w:val="24"/>
                                          <w:lang w:val="en-US" w:eastAsia="zh-CN"/>
                                        </w:rPr>
                                        <w:t>贴合检查</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3" name="直接箭头连接符 33"/>
                                <wps:cNvCnPr>
                                  <a:stCxn id="19" idx="3"/>
                                </wps:cNvCnPr>
                                <wps:spPr>
                                  <a:xfrm flipV="1">
                                    <a:off x="12001" y="315481"/>
                                    <a:ext cx="1157" cy="6"/>
                                  </a:xfrm>
                                  <a:prstGeom prst="straightConnector1">
                                    <a:avLst/>
                                  </a:prstGeom>
                                  <a:noFill/>
                                  <a:ln w="12700" cap="flat" cmpd="sng" algn="ctr">
                                    <a:solidFill>
                                      <a:sysClr val="windowText" lastClr="000000"/>
                                    </a:solidFill>
                                    <a:prstDash val="sysDash"/>
                                    <a:miter lim="800000"/>
                                    <a:tailEnd type="arrow"/>
                                  </a:ln>
                                  <a:effectLst/>
                                </wps:spPr>
                                <wps:style>
                                  <a:lnRef idx="1">
                                    <a:schemeClr val="accent1"/>
                                  </a:lnRef>
                                  <a:fillRef idx="0">
                                    <a:schemeClr val="accent1"/>
                                  </a:fillRef>
                                  <a:effectRef idx="0">
                                    <a:schemeClr val="accent1"/>
                                  </a:effectRef>
                                  <a:fontRef idx="minor">
                                    <a:schemeClr val="tx1"/>
                                  </a:fontRef>
                                </wps:style>
                                <wps:bodyPr/>
                              </wps:wsp>
                              <wps:wsp>
                                <wps:cNvPr id="34" name="直接箭头连接符 34"/>
                                <wps:cNvCnPr/>
                                <wps:spPr>
                                  <a:xfrm flipV="1">
                                    <a:off x="12066" y="318258"/>
                                    <a:ext cx="1157" cy="6"/>
                                  </a:xfrm>
                                  <a:prstGeom prst="straightConnector1">
                                    <a:avLst/>
                                  </a:prstGeom>
                                  <a:noFill/>
                                  <a:ln w="12700" cap="flat" cmpd="sng" algn="ctr">
                                    <a:solidFill>
                                      <a:sysClr val="windowText" lastClr="000000"/>
                                    </a:solidFill>
                                    <a:prstDash val="sysDash"/>
                                    <a:miter lim="800000"/>
                                    <a:tailEnd type="arrow"/>
                                  </a:ln>
                                  <a:effectLst/>
                                </wps:spPr>
                                <wps:style>
                                  <a:lnRef idx="1">
                                    <a:schemeClr val="accent1"/>
                                  </a:lnRef>
                                  <a:fillRef idx="0">
                                    <a:schemeClr val="accent1"/>
                                  </a:fillRef>
                                  <a:effectRef idx="0">
                                    <a:schemeClr val="accent1"/>
                                  </a:effectRef>
                                  <a:fontRef idx="minor">
                                    <a:schemeClr val="tx1"/>
                                  </a:fontRef>
                                </wps:style>
                                <wps:bodyPr/>
                              </wps:wsp>
                              <wps:wsp>
                                <wps:cNvPr id="35" name="直接箭头连接符 35"/>
                                <wps:cNvCnPr/>
                                <wps:spPr>
                                  <a:xfrm flipV="1">
                                    <a:off x="12141" y="319496"/>
                                    <a:ext cx="1157" cy="6"/>
                                  </a:xfrm>
                                  <a:prstGeom prst="straightConnector1">
                                    <a:avLst/>
                                  </a:prstGeom>
                                  <a:noFill/>
                                  <a:ln w="12700" cap="flat" cmpd="sng" algn="ctr">
                                    <a:solidFill>
                                      <a:sysClr val="windowText" lastClr="000000"/>
                                    </a:solidFill>
                                    <a:prstDash val="sysDash"/>
                                    <a:miter lim="800000"/>
                                    <a:tailEnd type="arrow"/>
                                  </a:ln>
                                  <a:effectLst/>
                                </wps:spPr>
                                <wps:style>
                                  <a:lnRef idx="1">
                                    <a:schemeClr val="accent1"/>
                                  </a:lnRef>
                                  <a:fillRef idx="0">
                                    <a:schemeClr val="accent1"/>
                                  </a:fillRef>
                                  <a:effectRef idx="0">
                                    <a:schemeClr val="accent1"/>
                                  </a:effectRef>
                                  <a:fontRef idx="minor">
                                    <a:schemeClr val="tx1"/>
                                  </a:fontRef>
                                </wps:style>
                                <wps:bodyPr/>
                              </wps:wsp>
                              <wps:wsp>
                                <wps:cNvPr id="45" name="直接箭头连接符 45"/>
                                <wps:cNvCnPr/>
                                <wps:spPr>
                                  <a:xfrm flipV="1">
                                    <a:off x="9483" y="313950"/>
                                    <a:ext cx="762" cy="9"/>
                                  </a:xfrm>
                                  <a:prstGeom prst="straightConnector1">
                                    <a:avLst/>
                                  </a:prstGeom>
                                  <a:noFill/>
                                  <a:ln w="6350" cap="flat" cmpd="sng" algn="ctr">
                                    <a:solidFill>
                                      <a:sysClr val="windowText" lastClr="000000"/>
                                    </a:solidFill>
                                    <a:prstDash val="solid"/>
                                    <a:miter lim="800000"/>
                                    <a:tailEnd type="arrow"/>
                                  </a:ln>
                                  <a:effectLst/>
                                </wps:spPr>
                                <wps:style>
                                  <a:lnRef idx="1">
                                    <a:schemeClr val="accent1"/>
                                  </a:lnRef>
                                  <a:fillRef idx="0">
                                    <a:schemeClr val="accent1"/>
                                  </a:fillRef>
                                  <a:effectRef idx="0">
                                    <a:schemeClr val="accent1"/>
                                  </a:effectRef>
                                  <a:fontRef idx="minor">
                                    <a:schemeClr val="tx1"/>
                                  </a:fontRef>
                                </wps:style>
                                <wps:bodyPr/>
                              </wps:wsp>
                              <wps:wsp>
                                <wps:cNvPr id="46" name="直接箭头连接符 46"/>
                                <wps:cNvCnPr/>
                                <wps:spPr>
                                  <a:xfrm flipV="1">
                                    <a:off x="9448" y="316865"/>
                                    <a:ext cx="762" cy="9"/>
                                  </a:xfrm>
                                  <a:prstGeom prst="straightConnector1">
                                    <a:avLst/>
                                  </a:prstGeom>
                                  <a:noFill/>
                                  <a:ln w="6350" cap="flat" cmpd="sng" algn="ctr">
                                    <a:solidFill>
                                      <a:sysClr val="windowText" lastClr="000000"/>
                                    </a:solidFill>
                                    <a:prstDash val="solid"/>
                                    <a:miter lim="800000"/>
                                    <a:tailEnd type="arrow"/>
                                  </a:ln>
                                  <a:effectLst/>
                                </wps:spPr>
                                <wps:style>
                                  <a:lnRef idx="1">
                                    <a:schemeClr val="accent1"/>
                                  </a:lnRef>
                                  <a:fillRef idx="0">
                                    <a:schemeClr val="accent1"/>
                                  </a:fillRef>
                                  <a:effectRef idx="0">
                                    <a:schemeClr val="accent1"/>
                                  </a:effectRef>
                                  <a:fontRef idx="minor">
                                    <a:schemeClr val="tx1"/>
                                  </a:fontRef>
                                </wps:style>
                                <wps:bodyPr/>
                              </wps:wsp>
                            </wpg:grpSp>
                          </wpg:wgp>
                        </a:graphicData>
                      </a:graphic>
                    </wp:anchor>
                  </w:drawing>
                </mc:Choice>
                <mc:Fallback>
                  <w:pict>
                    <v:group id="_x0000_s1026" o:spid="_x0000_s1026" o:spt="203" style="position:absolute;left:0pt;margin-left:30.25pt;margin-top:12.85pt;height:456.8pt;width:313.9pt;z-index:251659264;mso-width-relative:page;mso-height-relative:page;" coordorigin="8511,311582" coordsize="6278,9136" o:gfxdata="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">
                      <o:lock v:ext="edit" aspectratio="f"/>
                      <v:group id="组合 55" o:spid="_x0000_s1026" o:spt="203" style="position:absolute;left:8511;top:311582;height:9136;width:6278;" coordorigin="8511,311582" coordsize="6278,9136" o:gfxdata="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PR1lLy+AAAA3AAAAA8AAAAAAAAAAQAgAAAAIgAAAGRycy9kb3ducmV2Lnht&#10;bFBLAQIUABQAAAAIAIdO4kAzLwWeOwAAADkAAAAVAAAAAAAAAAEAIAAAAA0BAABkcnMvZ3JvdXBz&#10;aGFwZXhtbC54bWxQSwUGAAAAAAYABgBgAQAAygMAAAAA&#10;">
                        <o:lock v:ext="edit" aspectratio="f"/>
                        <v:rect id="_x0000_s1026" o:spid="_x0000_s1026" o:spt="1" style="position:absolute;left:11411;top:311582;height:903;width:1763;v-text-anchor:middle;" fillcolor="#FFFFFF" filled="t" stroked="f" coordsize="21600,21600" o:gfxdata="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0wSULsAAADb&#10;AAAADwAAAAAAAAABACAAAAAiAAAAZHJzL2Rvd25yZXYueG1sUEsBAhQAFAAAAAgAh07iQDMvBZ47&#10;AAAAOQAAABAAAAAAAAAAAQAgAAAACgEAAGRycy9zaGFwZXhtbC54bWxQSwUGAAAAAAYABgBbAQAA&#10;tAMAAAAA&#10;">
                          <v:fill on="t" focussize="0,0"/>
                          <v:stroke on="f" weight="1pt" miterlimit="8" joinstyle="miter"/>
                          <v:imagedata o:title=""/>
                          <o:lock v:ext="edit" aspectratio="f"/>
                          <v:textbox>
                            <w:txbxContent>
                              <w:p>
                                <w:pPr>
                                  <w:widowControl w:val="0"/>
                                  <w:adjustRightInd/>
                                  <w:snapToGrid/>
                                  <w:spacing w:after="0" w:line="240" w:lineRule="auto"/>
                                  <w:jc w:val="both"/>
                                  <w:rPr>
                                    <w:rFonts w:hint="eastAsia" w:ascii="Times New Roman" w:hAnsi="Times New Roman" w:eastAsia="宋体" w:cs="Times New Roman"/>
                                    <w:kern w:val="2"/>
                                    <w:sz w:val="24"/>
                                    <w:szCs w:val="24"/>
                                    <w:lang w:val="en-US" w:eastAsia="zh-CN"/>
                                  </w:rPr>
                                </w:pPr>
                                <w:r>
                                  <w:rPr>
                                    <w:rFonts w:hint="eastAsia" w:ascii="Times New Roman" w:hAnsi="Times New Roman" w:eastAsia="宋体" w:cs="Times New Roman"/>
                                    <w:kern w:val="2"/>
                                    <w:sz w:val="24"/>
                                    <w:szCs w:val="24"/>
                                    <w:lang w:val="en-US" w:eastAsia="zh-CN"/>
                                  </w:rPr>
                                  <w:t>氧化铝陶瓷</w:t>
                                </w:r>
                              </w:p>
                              <w:p>
                                <w:pPr>
                                  <w:widowControl w:val="0"/>
                                  <w:jc w:val="both"/>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4"/>
                                    <w:szCs w:val="24"/>
                                    <w:lang w:val="en-US" w:eastAsia="zh-CN" w:bidi="ar-SA"/>
                                  </w:rPr>
                                  <w:t>或氧化锆陶瓷</w:t>
                                </w:r>
                              </w:p>
                            </w:txbxContent>
                          </v:textbox>
                        </v:rect>
                        <v:rect id="_x0000_s1026" o:spid="_x0000_s1026" o:spt="1" style="position:absolute;left:11019;top:320264;height:454;width:827;v-text-anchor:middle;" fillcolor="#FFFFFF" filled="t" stroked="t" coordsize="21600,21600" o:gfxdata="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MhXkG5AAAA2wAA&#10;AA8AAAAAAAAAAQAgAAAAIgAAAGRycy9kb3ducmV2LnhtbFBLAQIUABQAAAAIAIdO4kAzLwWeOwAA&#10;ADkAAAAQAAAAAAAAAAEAIAAAAAgBAABkcnMvc2hhcGV4bWwueG1sUEsFBgAAAAAGAAYAWwEAALID&#10;AAAAAA==&#10;">
                          <v:fill on="t" focussize="0,0"/>
                          <v:stroke weight="1pt" color="#000000 [3209]"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spacing w:line="240" w:lineRule="auto"/>
                                  <w:ind w:firstLine="0"/>
                                  <w:jc w:val="both"/>
                                  <w:textAlignment w:val="auto"/>
                                  <w:rPr>
                                    <w:rFonts w:hint="default" w:ascii="宋体" w:hAnsi="Times New Roman" w:eastAsia="宋体" w:cs="Times New Roman"/>
                                    <w:kern w:val="0"/>
                                    <w:sz w:val="24"/>
                                    <w:szCs w:val="24"/>
                                    <w:lang w:val="en-US" w:eastAsia="zh-CN" w:bidi="ar-SA"/>
                                  </w:rPr>
                                </w:pPr>
                                <w:r>
                                  <w:rPr>
                                    <w:rFonts w:hint="eastAsia" w:ascii="宋体" w:hAnsi="Times New Roman" w:eastAsia="宋体" w:cs="Times New Roman"/>
                                    <w:kern w:val="0"/>
                                    <w:sz w:val="24"/>
                                    <w:szCs w:val="24"/>
                                    <w:lang w:val="en-US" w:eastAsia="zh-CN" w:bidi="ar-SA"/>
                                  </w:rPr>
                                  <w:t>入库</w:t>
                                </w:r>
                              </w:p>
                              <w:p>
                                <w:pPr>
                                  <w:widowControl w:val="0"/>
                                  <w:adjustRightInd w:val="0"/>
                                  <w:spacing w:line="312" w:lineRule="auto"/>
                                  <w:ind w:firstLine="567"/>
                                  <w:jc w:val="both"/>
                                  <w:rPr>
                                    <w:rFonts w:hint="default" w:ascii="宋体" w:hAnsi="Times New Roman" w:eastAsia="宋体" w:cs="Times New Roman"/>
                                    <w:kern w:val="0"/>
                                    <w:sz w:val="24"/>
                                    <w:szCs w:val="24"/>
                                    <w:lang w:val="en-US" w:eastAsia="zh-CN" w:bidi="ar-SA"/>
                                  </w:rPr>
                                </w:pPr>
                                <w:r>
                                  <w:rPr>
                                    <w:rFonts w:hint="eastAsia" w:ascii="宋体" w:hAnsi="Times New Roman" w:eastAsia="宋体" w:cs="Times New Roman"/>
                                    <w:kern w:val="0"/>
                                    <w:sz w:val="24"/>
                                    <w:szCs w:val="24"/>
                                    <w:lang w:val="en-US" w:eastAsia="zh-CN" w:bidi="ar-SA"/>
                                  </w:rPr>
                                  <w:t>无氧铜箔</w:t>
                                </w:r>
                              </w:p>
                              <w:p>
                                <w:pPr>
                                  <w:widowControl w:val="0"/>
                                  <w:adjustRightInd/>
                                  <w:snapToGrid/>
                                  <w:spacing w:after="0" w:line="240" w:lineRule="auto"/>
                                  <w:jc w:val="both"/>
                                  <w:rPr>
                                    <w:rFonts w:ascii="Times New Roman" w:hAnsi="Times New Roman" w:eastAsia="宋体" w:cs="Times New Roman"/>
                                    <w:kern w:val="2"/>
                                    <w:sz w:val="21"/>
                                    <w:szCs w:val="24"/>
                                  </w:rPr>
                                </w:pPr>
                              </w:p>
                            </w:txbxContent>
                          </v:textbox>
                        </v:rect>
                        <v:rect id="_x0000_s1026" o:spid="_x0000_s1026" o:spt="1" style="position:absolute;left:13195;top:315240;height:454;width:1413;v-text-anchor:middle;" fillcolor="#FFFFFF" filled="t" stroked="f" coordsize="21600,21600" o:gfxdata="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xDWRL4A&#10;AADbAAAADwAAAAAAAAABACAAAAAiAAAAZHJzL2Rvd25yZXYueG1sUEsBAhQAFAAAAAgAh07iQDMv&#10;BZ47AAAAOQAAABAAAAAAAAAAAQAgAAAADQEAAGRycy9zaGFwZXhtbC54bWxQSwUGAAAAAAYABgBb&#10;AQAAtwMAAAAA&#10;">
                          <v:fill on="t" focussize="0,0"/>
                          <v:stroke on="f" weight="1pt"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spacing w:line="240" w:lineRule="auto"/>
                                  <w:ind w:firstLine="0"/>
                                  <w:jc w:val="both"/>
                                  <w:textAlignment w:val="auto"/>
                                  <w:rPr>
                                    <w:rFonts w:hint="default" w:ascii="宋体" w:hAnsi="Times New Roman" w:eastAsia="宋体" w:cs="Times New Roman"/>
                                    <w:kern w:val="0"/>
                                    <w:sz w:val="24"/>
                                    <w:szCs w:val="24"/>
                                    <w:lang w:val="en-US" w:eastAsia="zh-CN" w:bidi="ar-SA"/>
                                  </w:rPr>
                                </w:pPr>
                                <w:r>
                                  <w:rPr>
                                    <w:rFonts w:hint="eastAsia" w:ascii="宋体" w:hAnsi="Times New Roman" w:eastAsia="宋体" w:cs="Times New Roman"/>
                                    <w:kern w:val="0"/>
                                    <w:sz w:val="24"/>
                                    <w:szCs w:val="24"/>
                                    <w:lang w:val="en-US" w:eastAsia="zh-CN" w:bidi="ar-SA"/>
                                  </w:rPr>
                                  <w:t>不合格品无氧铜箔</w:t>
                                </w:r>
                              </w:p>
                              <w:p>
                                <w:pPr>
                                  <w:widowControl w:val="0"/>
                                  <w:adjustRightInd/>
                                  <w:snapToGrid/>
                                  <w:spacing w:after="0" w:line="240" w:lineRule="auto"/>
                                  <w:jc w:val="both"/>
                                  <w:rPr>
                                    <w:rFonts w:ascii="Times New Roman" w:hAnsi="Times New Roman" w:eastAsia="宋体" w:cs="Times New Roman"/>
                                    <w:kern w:val="2"/>
                                    <w:sz w:val="21"/>
                                    <w:szCs w:val="24"/>
                                  </w:rPr>
                                </w:pPr>
                              </w:p>
                            </w:txbxContent>
                          </v:textbox>
                        </v:rect>
                        <v:rect id="_x0000_s1026" o:spid="_x0000_s1026" o:spt="1" style="position:absolute;left:13235;top:318017;height:454;width:1413;v-text-anchor:middle;" fillcolor="#FFFFFF" filled="t" stroked="f" coordsize="21600,21600" o:gfxdata="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Fxz374A&#10;AADbAAAADwAAAAAAAAABACAAAAAiAAAAZHJzL2Rvd25yZXYueG1sUEsBAhQAFAAAAAgAh07iQDMv&#10;BZ47AAAAOQAAABAAAAAAAAAAAQAgAAAADQEAAGRycy9zaGFwZXhtbC54bWxQSwUGAAAAAAYABgBb&#10;AQAAtwMAAAAA&#10;">
                          <v:fill on="t" focussize="0,0"/>
                          <v:stroke on="f" weight="1pt"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spacing w:line="240" w:lineRule="auto"/>
                                  <w:ind w:firstLine="0"/>
                                  <w:jc w:val="both"/>
                                  <w:textAlignment w:val="auto"/>
                                  <w:rPr>
                                    <w:rFonts w:hint="default" w:ascii="宋体" w:hAnsi="Times New Roman" w:eastAsia="宋体" w:cs="Times New Roman"/>
                                    <w:kern w:val="0"/>
                                    <w:sz w:val="24"/>
                                    <w:szCs w:val="24"/>
                                    <w:lang w:val="en-US" w:eastAsia="zh-CN" w:bidi="ar-SA"/>
                                  </w:rPr>
                                </w:pPr>
                                <w:r>
                                  <w:rPr>
                                    <w:rFonts w:hint="eastAsia" w:ascii="宋体" w:hAnsi="Times New Roman" w:eastAsia="宋体" w:cs="Times New Roman"/>
                                    <w:kern w:val="0"/>
                                    <w:sz w:val="24"/>
                                    <w:szCs w:val="24"/>
                                    <w:lang w:val="en-US" w:eastAsia="zh-CN" w:bidi="ar-SA"/>
                                  </w:rPr>
                                  <w:t>不合格品无氧铜箔</w:t>
                                </w:r>
                              </w:p>
                              <w:p>
                                <w:pPr>
                                  <w:widowControl w:val="0"/>
                                  <w:adjustRightInd/>
                                  <w:snapToGrid/>
                                  <w:spacing w:after="0" w:line="240" w:lineRule="auto"/>
                                  <w:jc w:val="both"/>
                                  <w:rPr>
                                    <w:rFonts w:ascii="Times New Roman" w:hAnsi="Times New Roman" w:eastAsia="宋体" w:cs="Times New Roman"/>
                                    <w:kern w:val="2"/>
                                    <w:sz w:val="21"/>
                                    <w:szCs w:val="24"/>
                                  </w:rPr>
                                </w:pPr>
                              </w:p>
                            </w:txbxContent>
                          </v:textbox>
                        </v:rect>
                        <v:rect id="_x0000_s1026" o:spid="_x0000_s1026" o:spt="1" style="position:absolute;left:13377;top:318923;height:1038;width:1413;v-text-anchor:middle;" fillcolor="#FFFFFF" filled="t" stroked="f" coordsize="21600,21600" o:gfxdata="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pw+etugAAANsA&#10;AAAPAAAAAAAAAAEAIAAAACIAAABkcnMvZG93bnJldi54bWxQSwECFAAUAAAACACHTuJAMy8FnjsA&#10;AAA5AAAAEAAAAAAAAAABACAAAAAJAQAAZHJzL3NoYXBleG1sLnhtbFBLBQYAAAAABgAGAFsBAACz&#10;AwAAAAA=&#10;">
                          <v:fill on="t" focussize="0,0"/>
                          <v:stroke on="f" weight="1pt"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spacing w:line="240" w:lineRule="auto"/>
                                  <w:ind w:firstLine="0"/>
                                  <w:jc w:val="both"/>
                                  <w:textAlignment w:val="auto"/>
                                  <w:rPr>
                                    <w:rFonts w:ascii="宋体" w:hAnsi="Times New Roman" w:eastAsia="宋体" w:cs="Times New Roman"/>
                                    <w:kern w:val="0"/>
                                    <w:sz w:val="28"/>
                                    <w:szCs w:val="24"/>
                                    <w:lang w:val="en-US" w:eastAsia="zh-CN" w:bidi="ar-SA"/>
                                  </w:rPr>
                                </w:pPr>
                                <w:r>
                                  <w:rPr>
                                    <w:rFonts w:hint="eastAsia" w:ascii="宋体" w:hAnsi="Times New Roman" w:eastAsia="宋体" w:cs="Times New Roman"/>
                                    <w:kern w:val="0"/>
                                    <w:sz w:val="24"/>
                                    <w:szCs w:val="24"/>
                                    <w:lang w:val="en-US" w:eastAsia="zh-CN" w:bidi="ar-SA"/>
                                  </w:rPr>
                                  <w:t>不合格品</w:t>
                                </w:r>
                              </w:p>
                            </w:txbxContent>
                          </v:textbox>
                        </v:rect>
                        <v:rect id="_x0000_s1026" o:spid="_x0000_s1026" o:spt="1" style="position:absolute;left:8558;top:313720;height:454;width:937;v-text-anchor:middle;" fillcolor="#FFFFFF" filled="t" stroked="f" coordsize="21600,21600" o:gfxdata="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Vd7db4A&#10;AADbAAAADwAAAAAAAAABACAAAAAiAAAAZHJzL2Rvd25yZXYueG1sUEsBAhQAFAAAAAgAh07iQDMv&#10;BZ47AAAAOQAAABAAAAAAAAAAAQAgAAAADQEAAGRycy9zaGFwZXhtbC54bWxQSwUGAAAAAAYABgBb&#10;AQAAtwMAAAAA&#10;">
                          <v:fill on="t" focussize="0,0"/>
                          <v:stroke on="f" weight="1pt"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spacing w:line="240" w:lineRule="auto"/>
                                  <w:ind w:firstLine="0"/>
                                  <w:jc w:val="both"/>
                                  <w:textAlignment w:val="auto"/>
                                  <w:rPr>
                                    <w:rFonts w:hint="default" w:ascii="宋体" w:hAnsi="Times New Roman" w:eastAsia="宋体" w:cs="Times New Roman"/>
                                    <w:kern w:val="0"/>
                                    <w:sz w:val="24"/>
                                    <w:szCs w:val="24"/>
                                    <w:lang w:val="en-US" w:eastAsia="zh-CN" w:bidi="ar-SA"/>
                                  </w:rPr>
                                </w:pPr>
                                <w:r>
                                  <w:rPr>
                                    <w:rFonts w:hint="eastAsia" w:ascii="宋体" w:hAnsi="Times New Roman" w:eastAsia="宋体" w:cs="Times New Roman"/>
                                    <w:kern w:val="0"/>
                                    <w:sz w:val="24"/>
                                    <w:szCs w:val="24"/>
                                    <w:lang w:val="en-US" w:eastAsia="zh-CN" w:bidi="ar-SA"/>
                                  </w:rPr>
                                  <w:t>氮气无氧铜箔</w:t>
                                </w:r>
                              </w:p>
                              <w:p>
                                <w:pPr>
                                  <w:widowControl w:val="0"/>
                                  <w:adjustRightInd/>
                                  <w:snapToGrid/>
                                  <w:spacing w:after="0" w:line="240" w:lineRule="auto"/>
                                  <w:jc w:val="both"/>
                                  <w:rPr>
                                    <w:rFonts w:ascii="Times New Roman" w:hAnsi="Times New Roman" w:eastAsia="宋体" w:cs="Times New Roman"/>
                                    <w:kern w:val="2"/>
                                    <w:sz w:val="21"/>
                                    <w:szCs w:val="24"/>
                                  </w:rPr>
                                </w:pPr>
                              </w:p>
                            </w:txbxContent>
                          </v:textbox>
                        </v:rect>
                        <v:rect id="_x0000_s1026" o:spid="_x0000_s1026" o:spt="1" style="position:absolute;left:8511;top:316671;height:454;width:937;v-text-anchor:middle;" fillcolor="#FFFFFF" filled="t" stroked="f" coordsize="21600,21600" o:gfxdata="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CIntW/&#10;AAAA2wAAAA8AAAAAAAAAAQAgAAAAIgAAAGRycy9kb3ducmV2LnhtbFBLAQIUABQAAAAIAIdO4kAz&#10;LwWeOwAAADkAAAAQAAAAAAAAAAEAIAAAAA4BAABkcnMvc2hhcGV4bWwueG1sUEsFBgAAAAAGAAYA&#10;WwEAALgDAAAAAA==&#10;">
                          <v:fill on="t" focussize="0,0"/>
                          <v:stroke on="f" weight="1pt"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spacing w:line="240" w:lineRule="auto"/>
                                  <w:ind w:firstLine="0"/>
                                  <w:jc w:val="both"/>
                                  <w:textAlignment w:val="auto"/>
                                  <w:rPr>
                                    <w:rFonts w:hint="default" w:ascii="宋体" w:hAnsi="Times New Roman" w:eastAsia="宋体" w:cs="Times New Roman"/>
                                    <w:kern w:val="0"/>
                                    <w:sz w:val="24"/>
                                    <w:szCs w:val="24"/>
                                    <w:lang w:val="en-US" w:eastAsia="zh-CN" w:bidi="ar-SA"/>
                                  </w:rPr>
                                </w:pPr>
                                <w:r>
                                  <w:rPr>
                                    <w:rFonts w:hint="eastAsia" w:ascii="宋体" w:hAnsi="Times New Roman" w:eastAsia="宋体" w:cs="Times New Roman"/>
                                    <w:kern w:val="0"/>
                                    <w:sz w:val="24"/>
                                    <w:szCs w:val="24"/>
                                    <w:lang w:val="en-US" w:eastAsia="zh-CN" w:bidi="ar-SA"/>
                                  </w:rPr>
                                  <w:t>氮气无氧铜箔</w:t>
                                </w:r>
                              </w:p>
                              <w:p>
                                <w:pPr>
                                  <w:widowControl w:val="0"/>
                                  <w:adjustRightInd/>
                                  <w:snapToGrid/>
                                  <w:spacing w:after="0" w:line="240" w:lineRule="auto"/>
                                  <w:jc w:val="both"/>
                                  <w:rPr>
                                    <w:rFonts w:ascii="Times New Roman" w:hAnsi="Times New Roman" w:eastAsia="宋体" w:cs="Times New Roman"/>
                                    <w:kern w:val="2"/>
                                    <w:sz w:val="21"/>
                                    <w:szCs w:val="24"/>
                                  </w:rPr>
                                </w:pPr>
                              </w:p>
                            </w:txbxContent>
                          </v:textbox>
                        </v:rect>
                      </v:group>
                      <v:group id="组合 49" o:spid="_x0000_s1026" o:spt="203" style="position:absolute;left:9448;top:312017;height:8229;width:3849;" coordorigin="9448,312017" coordsize="3849,8229" o:gfxdata="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bOTEnvwAAANwAAAAPAAAAAAAAAAEAIAAAACIAAABkcnMvZG93bnJldi54&#10;bWxQSwECFAAUAAAACACHTuJAMy8FnjsAAAA5AAAAFQAAAAAAAAABACAAAAAOAQAAZHJzL2dyb3Vw&#10;c2hhcGV4bWwueG1sUEsFBgAAAAAGAAYAYAEAAMsDAAAAAA==&#10;">
                        <o:lock v:ext="edit" aspectratio="f"/>
                        <v:rect id="_x0000_s1026" o:spid="_x0000_s1026" o:spt="1" style="position:absolute;left:9907;top:312017;height:454;width:1413;v-text-anchor:middle;" fillcolor="#FFFFFF" filled="t" stroked="f" coordsize="21600,21600" o:gfxdata="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pi0eRvQAA&#10;ANoAAAAPAAAAAAAAAAEAIAAAACIAAABkcnMvZG93bnJldi54bWxQSwECFAAUAAAACACHTuJAMy8F&#10;njsAAAA5AAAAEAAAAAAAAAABACAAAAAMAQAAZHJzL3NoYXBleG1sLnhtbFBLBQYAAAAABgAGAFsB&#10;AAC2AwAAAAA=&#10;">
                          <v:fill on="t" focussize="0,0"/>
                          <v:stroke on="f" weight="1pt"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spacing w:line="240" w:lineRule="auto"/>
                                  <w:ind w:firstLine="0"/>
                                  <w:jc w:val="both"/>
                                  <w:textAlignment w:val="auto"/>
                                  <w:rPr>
                                    <w:rFonts w:hint="default" w:ascii="宋体" w:hAnsi="Times New Roman" w:eastAsia="宋体" w:cs="Times New Roman"/>
                                    <w:kern w:val="0"/>
                                    <w:sz w:val="24"/>
                                    <w:szCs w:val="24"/>
                                    <w:lang w:val="en-US" w:eastAsia="zh-CN" w:bidi="ar-SA"/>
                                  </w:rPr>
                                </w:pPr>
                                <w:r>
                                  <w:rPr>
                                    <w:rFonts w:hint="eastAsia" w:ascii="宋体" w:hAnsi="Times New Roman" w:eastAsia="宋体" w:cs="Times New Roman"/>
                                    <w:kern w:val="0"/>
                                    <w:sz w:val="24"/>
                                    <w:szCs w:val="24"/>
                                    <w:lang w:val="en-US" w:eastAsia="zh-CN" w:bidi="ar-SA"/>
                                  </w:rPr>
                                  <w:t>无氧铜箔</w:t>
                                </w:r>
                              </w:p>
                              <w:p>
                                <w:pPr>
                                  <w:widowControl w:val="0"/>
                                  <w:adjustRightInd w:val="0"/>
                                  <w:spacing w:line="312" w:lineRule="auto"/>
                                  <w:ind w:firstLine="567"/>
                                  <w:jc w:val="both"/>
                                  <w:rPr>
                                    <w:rFonts w:hint="default" w:ascii="宋体" w:hAnsi="Times New Roman" w:eastAsia="宋体" w:cs="Times New Roman"/>
                                    <w:kern w:val="0"/>
                                    <w:sz w:val="24"/>
                                    <w:szCs w:val="24"/>
                                    <w:lang w:val="en-US" w:eastAsia="zh-CN" w:bidi="ar-SA"/>
                                  </w:rPr>
                                </w:pPr>
                                <w:r>
                                  <w:rPr>
                                    <w:rFonts w:hint="eastAsia" w:ascii="宋体" w:hAnsi="Times New Roman" w:eastAsia="宋体" w:cs="Times New Roman"/>
                                    <w:kern w:val="0"/>
                                    <w:sz w:val="24"/>
                                    <w:szCs w:val="24"/>
                                    <w:lang w:val="en-US" w:eastAsia="zh-CN" w:bidi="ar-SA"/>
                                  </w:rPr>
                                  <w:t>无氧铜箔</w:t>
                                </w:r>
                              </w:p>
                              <w:p>
                                <w:pPr>
                                  <w:widowControl w:val="0"/>
                                  <w:adjustRightInd/>
                                  <w:snapToGrid/>
                                  <w:spacing w:after="0" w:line="240" w:lineRule="auto"/>
                                  <w:jc w:val="both"/>
                                  <w:rPr>
                                    <w:rFonts w:ascii="Times New Roman" w:hAnsi="Times New Roman" w:eastAsia="宋体" w:cs="Times New Roman"/>
                                    <w:kern w:val="2"/>
                                    <w:sz w:val="21"/>
                                    <w:szCs w:val="24"/>
                                  </w:rPr>
                                </w:pPr>
                              </w:p>
                            </w:txbxContent>
                          </v:textbox>
                        </v:rect>
                        <v:line id="_x0000_s1026" o:spid="_x0000_s1026" o:spt="20" style="position:absolute;left:10604;top:312427;height:554;width:11;" filled="f" stroked="t" coordsize="21600,21600" o:gfxdata="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baYTTvQAA&#10;ANsAAAAPAAAAAAAAAAEAIAAAACIAAABkcnMvZG93bnJldi54bWxQSwECFAAUAAAACACHTuJAMy8F&#10;njsAAAA5AAAAEAAAAAAAAAABACAAAAAMAQAAZHJzL3NoYXBleG1sLnhtbFBLBQYAAAAABgAGAFsB&#10;AAC2AwAAAAA=&#10;">
                          <v:fill on="f" focussize="0,0"/>
                          <v:stroke weight="0.5pt" color="#000000 [3200]" miterlimit="8" joinstyle="miter"/>
                          <v:imagedata o:title=""/>
                          <o:lock v:ext="edit" aspectratio="f"/>
                        </v:line>
                        <v:line id="_x0000_s1026" o:spid="_x0000_s1026" o:spt="20" style="position:absolute;left:10596;top:312968;height:12;width:1525;" filled="f" stroked="t" coordsize="21600,21600" o:gfxdata="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7zLk8vQAA&#10;ANsAAAAPAAAAAAAAAAEAIAAAACIAAABkcnMvZG93bnJldi54bWxQSwECFAAUAAAACACHTuJAMy8F&#10;njsAAAA5AAAAEAAAAAAAAAABACAAAAAMAQAAZHJzL3NoYXBleG1sLnhtbFBLBQYAAAAABgAGAFsB&#10;AAC2AwAAAAA=&#10;">
                          <v:fill on="f" focussize="0,0"/>
                          <v:stroke weight="0.5pt" color="#000000 [3200]" miterlimit="8" joinstyle="miter"/>
                          <v:imagedata o:title=""/>
                          <o:lock v:ext="edit" aspectratio="f"/>
                        </v:line>
                        <v:line id="_x0000_s1026" o:spid="_x0000_s1026" o:spt="20" style="position:absolute;left:12104;top:312397;height:582;width:17;" filled="f" stroked="t" coordsize="21600,21600" o:gfxdata="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LHidLvQAA&#10;ANsAAAAPAAAAAAAAAAEAIAAAACIAAABkcnMvZG93bnJldi54bWxQSwECFAAUAAAACACHTuJAMy8F&#10;njsAAAA5AAAAEAAAAAAAAAABACAAAAAMAQAAZHJzL3NoYXBleG1sLnhtbFBLBQYAAAAABgAGAFsB&#10;AAC2AwAAAAA=&#10;">
                          <v:fill on="f" focussize="0,0"/>
                          <v:stroke weight="0.5pt" color="#000000 [3200]" miterlimit="8" joinstyle="miter"/>
                          <v:imagedata o:title=""/>
                          <o:lock v:ext="edit" aspectratio="f"/>
                        </v:line>
                        <v:shape id="_x0000_s1026" o:spid="_x0000_s1026" o:spt="32" type="#_x0000_t32" style="position:absolute;left:11371;top:312981;height:501;width:21;" filled="f" stroked="t" coordsize="21600,21600" o:gfxdata="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fZXWGugAAANsA&#10;AAAPAAAAAAAAAAEAIAAAACIAAABkcnMvZG93bnJldi54bWxQSwECFAAUAAAACACHTuJAMy8FnjsA&#10;AAA5AAAAEAAAAAAAAAABACAAAAAJAQAAZHJzL3NoYXBleG1sLnhtbFBLBQYAAAAABgAGAFsBAACz&#10;AwAAAAA=&#10;">
                          <v:fill on="f" focussize="0,0"/>
                          <v:stroke weight="0.5pt" color="#000000 [3200]" miterlimit="8" joinstyle="miter" endarrow="open"/>
                          <v:imagedata o:title=""/>
                          <o:lock v:ext="edit" aspectratio="f"/>
                        </v:shape>
                        <v:rect id="矩形 18" o:spid="_x0000_s1026" o:spt="1" style="position:absolute;left:10209;top:313494;height:907;width:2275;v-text-anchor:middle;" fillcolor="#FFFFFF" filled="t" stroked="t" coordsize="21600,21600" o:gfxdata="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A65TFvQAA&#10;ANwAAAAPAAAAAAAAAAEAIAAAACIAAABkcnMvZG93bnJldi54bWxQSwECFAAUAAAACACHTuJAMy8F&#10;njsAAAA5AAAAEAAAAAAAAAABACAAAAAMAQAAZHJzL3NoYXBleG1sLnhtbFBLBQYAAAAABgAGAFsB&#10;AAC2AwAAAAA=&#10;">
                          <v:fill on="t" focussize="0,0"/>
                          <v:stroke weight="1pt" color="#000000 [3209]"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spacing w:line="240" w:lineRule="auto"/>
                                  <w:ind w:firstLine="0"/>
                                  <w:jc w:val="both"/>
                                  <w:textAlignment w:val="auto"/>
                                  <w:rPr>
                                    <w:rFonts w:hint="default" w:ascii="宋体" w:hAnsi="Times New Roman" w:eastAsia="宋体" w:cs="Times New Roman"/>
                                    <w:kern w:val="0"/>
                                    <w:sz w:val="28"/>
                                    <w:szCs w:val="24"/>
                                    <w:lang w:val="en-US" w:eastAsia="zh-CN" w:bidi="ar-SA"/>
                                  </w:rPr>
                                </w:pPr>
                                <w:r>
                                  <w:rPr>
                                    <w:rFonts w:hint="eastAsia" w:ascii="宋体" w:hAnsi="Times New Roman" w:eastAsia="宋体" w:cs="Times New Roman"/>
                                    <w:kern w:val="0"/>
                                    <w:sz w:val="24"/>
                                    <w:szCs w:val="24"/>
                                    <w:lang w:val="en-US" w:eastAsia="zh-CN" w:bidi="ar-SA"/>
                                  </w:rPr>
                                  <w:t>铜箔+氧化铝陶瓷单面覆铜烧结</w:t>
                                </w:r>
                              </w:p>
                            </w:txbxContent>
                          </v:textbox>
                        </v:rect>
                        <v:rect id="_x0000_s1026" o:spid="_x0000_s1026" o:spt="1" style="position:absolute;left:10638;top:315033;height:907;width:1363;v-text-anchor:middle;" fillcolor="#FFFFFF" filled="t" stroked="t" coordsize="21600,21600" o:gfxdata="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a6rvLsAAADb&#10;AAAADwAAAAAAAAABACAAAAAiAAAAZHJzL2Rvd25yZXYueG1sUEsBAhQAFAAAAAgAh07iQDMvBZ47&#10;AAAAOQAAABAAAAAAAAAAAQAgAAAACgEAAGRycy9zaGFwZXhtbC54bWxQSwUGAAAAAAYABgBbAQAA&#10;tAMAAAAA&#10;">
                          <v:fill on="t" focussize="0,0"/>
                          <v:stroke weight="1pt" color="#000000 [3209]"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spacing w:line="240" w:lineRule="auto"/>
                                  <w:ind w:firstLine="0"/>
                                  <w:jc w:val="both"/>
                                  <w:textAlignment w:val="auto"/>
                                  <w:rPr>
                                    <w:rFonts w:hint="default" w:ascii="Times New Roman" w:hAnsi="Times New Roman" w:eastAsia="宋体" w:cs="Times New Roman"/>
                                    <w:kern w:val="2"/>
                                    <w:sz w:val="24"/>
                                    <w:szCs w:val="24"/>
                                    <w:lang w:val="en-US" w:eastAsia="zh-CN"/>
                                  </w:rPr>
                                </w:pPr>
                                <w:r>
                                  <w:rPr>
                                    <w:rFonts w:hint="eastAsia" w:ascii="宋体" w:hAnsi="Times New Roman" w:eastAsia="宋体" w:cs="Times New Roman"/>
                                    <w:kern w:val="0"/>
                                    <w:sz w:val="24"/>
                                    <w:szCs w:val="24"/>
                                    <w:lang w:val="en-US" w:eastAsia="zh-CN" w:bidi="ar-SA"/>
                                  </w:rPr>
                                  <w:t>单面覆铜贴合检查</w:t>
                                </w:r>
                              </w:p>
                            </w:txbxContent>
                          </v:textbox>
                        </v:rect>
                        <v:shape id="_x0000_s1026" o:spid="_x0000_s1026" o:spt="32" type="#_x0000_t32" style="position:absolute;left:11347;top:314401;height:628;width:11;" filled="f" stroked="t" coordsize="21600,21600" o:gfxdata="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e4CdPtwAAANsAAAAP&#10;AAAAAAAAAAEAIAAAACIAAABkcnMvZG93bnJldi54bWxQSwECFAAUAAAACACHTuJAMy8FnjsAAAA5&#10;AAAAEAAAAAAAAAABACAAAAAGAQAAZHJzL3NoYXBleG1sLnhtbFBLBQYAAAAABgAGAFsBAACwAwAA&#10;AAA=&#10;">
                          <v:fill on="f" focussize="0,0"/>
                          <v:stroke weight="0.5pt" color="#000000 [3200]" miterlimit="8" joinstyle="miter" endarrow="open"/>
                          <v:imagedata o:title=""/>
                          <o:lock v:ext="edit" aspectratio="f"/>
                        </v:shape>
                        <v:shape id="_x0000_s1026" o:spid="_x0000_s1026" o:spt="32" type="#_x0000_t32" style="position:absolute;left:11323;top:315933;height:501;width:21;" filled="f" stroked="t" coordsize="21600,21600" o:gfxdata="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GsgtS8AAAA&#10;2wAAAA8AAAAAAAAAAQAgAAAAIgAAAGRycy9kb3ducmV2LnhtbFBLAQIUABQAAAAIAIdO4kAzLwWe&#10;OwAAADkAAAAQAAAAAAAAAAEAIAAAAAsBAABkcnMvc2hhcGV4bWwueG1sUEsFBgAAAAAGAAYAWwEA&#10;ALUDAAAAAA==&#10;">
                          <v:fill on="f" focussize="0,0"/>
                          <v:stroke weight="0.5pt" color="#000000 [3200]" miterlimit="8" joinstyle="miter" endarrow="open"/>
                          <v:imagedata o:title=""/>
                          <o:lock v:ext="edit" aspectratio="f"/>
                        </v:shape>
                        <v:shape id="_x0000_s1026" o:spid="_x0000_s1026" o:spt="32" type="#_x0000_t32" style="position:absolute;left:11399;top:319746;height:501;width:21;" filled="f" stroked="t" coordsize="21600,21600" o:gfxdata="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uMrk4vQAA&#10;ANsAAAAPAAAAAAAAAAEAIAAAACIAAABkcnMvZG93bnJldi54bWxQSwECFAAUAAAACACHTuJAMy8F&#10;njsAAAA5AAAAEAAAAAAAAAABACAAAAAMAQAAZHJzL3NoYXBleG1sLnhtbFBLBQYAAAAABgAGAFsB&#10;AAC2AwAAAAA=&#10;">
                          <v:fill on="f" focussize="0,0"/>
                          <v:stroke weight="0.5pt" color="#000000 [3200]" miterlimit="8" joinstyle="miter" endarrow="open"/>
                          <v:imagedata o:title=""/>
                          <o:lock v:ext="edit" aspectratio="f"/>
                        </v:shape>
                        <v:rect id="矩形 26" o:spid="_x0000_s1026" o:spt="1" style="position:absolute;left:10705;top:319289;height:454;width:1425;v-text-anchor:middle;" fillcolor="#FFFFFF" filled="t" stroked="t" coordsize="21600,21600" o:gfxdata="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vpzFevQAA&#10;ANwAAAAPAAAAAAAAAAEAIAAAACIAAABkcnMvZG93bnJldi54bWxQSwECFAAUAAAACACHTuJAMy8F&#10;njsAAAA5AAAAEAAAAAAAAAABACAAAAAMAQAAZHJzL3NoYXBleG1sLnhtbFBLBQYAAAAABgAGAFsB&#10;AAC2AwAAAAA=&#10;">
                          <v:fill on="t" focussize="0,0"/>
                          <v:stroke weight="1pt" color="#000000 [3209]" miterlimit="8" joinstyle="miter"/>
                          <v:imagedata o:title=""/>
                          <o:lock v:ext="edit" aspectratio="f"/>
                          <v:textbox>
                            <w:txbxContent>
                              <w:p>
                                <w:pPr>
                                  <w:widowControl w:val="0"/>
                                  <w:adjustRightInd/>
                                  <w:snapToGrid/>
                                  <w:spacing w:after="0" w:line="240" w:lineRule="auto"/>
                                  <w:jc w:val="both"/>
                                  <w:rPr>
                                    <w:rFonts w:hint="default" w:ascii="Times New Roman" w:hAnsi="Times New Roman" w:eastAsia="宋体" w:cs="Times New Roman"/>
                                    <w:kern w:val="2"/>
                                    <w:sz w:val="24"/>
                                    <w:szCs w:val="24"/>
                                    <w:lang w:val="en-US" w:eastAsia="zh-CN"/>
                                  </w:rPr>
                                </w:pPr>
                                <w:r>
                                  <w:rPr>
                                    <w:rFonts w:hint="eastAsia" w:ascii="Times New Roman" w:hAnsi="Times New Roman" w:eastAsia="宋体" w:cs="Times New Roman"/>
                                    <w:kern w:val="2"/>
                                    <w:sz w:val="24"/>
                                    <w:szCs w:val="24"/>
                                    <w:lang w:val="en-US" w:eastAsia="zh-CN"/>
                                  </w:rPr>
                                  <w:t>质检、包装</w:t>
                                </w:r>
                              </w:p>
                            </w:txbxContent>
                          </v:textbox>
                        </v:rect>
                        <v:shape id="_x0000_s1026" o:spid="_x0000_s1026" o:spt="32" type="#_x0000_t32" style="position:absolute;left:11339;top:317360;height:501;width:21;" filled="f" stroked="t" coordsize="21600,21600" o:gfxdata="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glitJtwAAANsAAAAP&#10;AAAAAAAAAAEAIAAAACIAAABkcnMvZG93bnJldi54bWxQSwECFAAUAAAACACHTuJAMy8FnjsAAAA5&#10;AAAAEAAAAAAAAAABACAAAAAGAQAAZHJzL3NoYXBleG1sLnhtbFBLBQYAAAAABgAGAFsBAACwAwAA&#10;AAA=&#10;">
                          <v:fill on="f" focussize="0,0"/>
                          <v:stroke weight="0.5pt" color="#000000 [3200]" miterlimit="8" joinstyle="miter" endarrow="open"/>
                          <v:imagedata o:title=""/>
                          <o:lock v:ext="edit" aspectratio="f"/>
                        </v:shape>
                        <v:shape id="_x0000_s1026" o:spid="_x0000_s1026" o:spt="32" type="#_x0000_t32" style="position:absolute;left:11401;top:318786;height:501;width:21;" filled="f" stroked="t" coordsize="21600,21600" o:gfxdata="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9qO0r4A&#10;AADbAAAADwAAAAAAAAABACAAAAAiAAAAZHJzL2Rvd25yZXYueG1sUEsBAhQAFAAAAAgAh07iQDMv&#10;BZ47AAAAOQAAABAAAAAAAAAAAQAgAAAADQEAAGRycy9zaGFwZXhtbC54bWxQSwUGAAAAAAYABgBb&#10;AQAAtwMAAAAA&#10;">
                          <v:fill on="f" focussize="0,0"/>
                          <v:stroke weight="0.5pt" color="#000000 [3200]" miterlimit="8" joinstyle="miter" endarrow="open"/>
                          <v:imagedata o:title=""/>
                          <o:lock v:ext="edit" aspectratio="f"/>
                        </v:shape>
                        <v:rect id="_x0000_s1026" o:spid="_x0000_s1026" o:spt="1" style="position:absolute;left:10199;top:316434;height:907;width:2275;v-text-anchor:middle;" fillcolor="#FFFFFF" filled="t" stroked="t" coordsize="21600,21600" o:gfxdata="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cbfvavQAA&#10;ANsAAAAPAAAAAAAAAAEAIAAAACIAAABkcnMvZG93bnJldi54bWxQSwECFAAUAAAACACHTuJAMy8F&#10;njsAAAA5AAAAEAAAAAAAAAABACAAAAAMAQAAZHJzL3NoYXBleG1sLnhtbFBLBQYAAAAABgAGAFsB&#10;AAC2AwAAAAA=&#10;">
                          <v:fill on="t" focussize="0,0"/>
                          <v:stroke weight="1pt" color="#000000 [3209]"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spacing w:line="240" w:lineRule="auto"/>
                                  <w:ind w:firstLine="0"/>
                                  <w:jc w:val="both"/>
                                  <w:textAlignment w:val="auto"/>
                                  <w:rPr>
                                    <w:rFonts w:hint="default" w:ascii="宋体" w:hAnsi="Times New Roman" w:eastAsia="宋体" w:cs="Times New Roman"/>
                                    <w:kern w:val="0"/>
                                    <w:sz w:val="28"/>
                                    <w:szCs w:val="24"/>
                                    <w:lang w:val="en-US" w:eastAsia="zh-CN" w:bidi="ar-SA"/>
                                  </w:rPr>
                                </w:pPr>
                                <w:r>
                                  <w:rPr>
                                    <w:rFonts w:hint="eastAsia" w:ascii="宋体" w:hAnsi="Times New Roman" w:eastAsia="宋体" w:cs="Times New Roman"/>
                                    <w:kern w:val="0"/>
                                    <w:sz w:val="24"/>
                                    <w:szCs w:val="24"/>
                                    <w:lang w:val="en-US" w:eastAsia="zh-CN" w:bidi="ar-SA"/>
                                  </w:rPr>
                                  <w:t>铜箔+氧化铝陶瓷单面覆铜烧结</w:t>
                                </w:r>
                              </w:p>
                            </w:txbxContent>
                          </v:textbox>
                        </v:rect>
                        <v:rect id="_x0000_s1026" o:spid="_x0000_s1026" o:spt="1" style="position:absolute;left:10704;top:317836;height:907;width:1363;v-text-anchor:middle;" fillcolor="#FFFFFF" filled="t" stroked="t" coordsize="21600,21600" o:gfxdata="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sv2WtvQAA&#10;ANsAAAAPAAAAAAAAAAEAIAAAACIAAABkcnMvZG93bnJldi54bWxQSwECFAAUAAAACACHTuJAMy8F&#10;njsAAAA5AAAAEAAAAAAAAAABACAAAAAMAQAAZHJzL3NoYXBleG1sLnhtbFBLBQYAAAAABgAGAFsB&#10;AAC2AwAAAAA=&#10;">
                          <v:fill on="t" focussize="0,0"/>
                          <v:stroke weight="1pt" color="#000000 [3209]"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spacing w:line="240" w:lineRule="auto"/>
                                  <w:ind w:firstLine="0"/>
                                  <w:jc w:val="both"/>
                                  <w:textAlignment w:val="auto"/>
                                  <w:rPr>
                                    <w:rFonts w:hint="default" w:ascii="Times New Roman" w:hAnsi="Times New Roman" w:eastAsia="宋体" w:cs="Times New Roman"/>
                                    <w:kern w:val="2"/>
                                    <w:sz w:val="24"/>
                                    <w:szCs w:val="24"/>
                                    <w:lang w:val="en-US" w:eastAsia="zh-CN"/>
                                  </w:rPr>
                                </w:pPr>
                                <w:r>
                                  <w:rPr>
                                    <w:rFonts w:hint="eastAsia" w:ascii="宋体" w:hAnsi="Times New Roman" w:eastAsia="宋体" w:cs="Times New Roman"/>
                                    <w:kern w:val="0"/>
                                    <w:sz w:val="24"/>
                                    <w:szCs w:val="24"/>
                                    <w:lang w:val="en-US" w:eastAsia="zh-CN" w:bidi="ar-SA"/>
                                  </w:rPr>
                                  <w:t>双面覆铜</w:t>
                                </w:r>
                                <w:r>
                                  <w:rPr>
                                    <w:rFonts w:hint="eastAsia" w:ascii="Times New Roman" w:hAnsi="Times New Roman" w:eastAsia="宋体" w:cs="Times New Roman"/>
                                    <w:kern w:val="2"/>
                                    <w:sz w:val="24"/>
                                    <w:szCs w:val="24"/>
                                    <w:lang w:val="en-US" w:eastAsia="zh-CN"/>
                                  </w:rPr>
                                  <w:t>贴合检查</w:t>
                                </w:r>
                              </w:p>
                            </w:txbxContent>
                          </v:textbox>
                        </v:rect>
                        <v:shape id="_x0000_s1026" o:spid="_x0000_s1026" o:spt="32" type="#_x0000_t32" style="position:absolute;left:12001;top:315481;flip:y;height:6;width:1157;" filled="f" stroked="t" coordsize="21600,21600" o:gfxdata="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rFRKG8AAAA&#10;2wAAAA8AAAAAAAAAAQAgAAAAIgAAAGRycy9kb3ducmV2LnhtbFBLAQIUABQAAAAIAIdO4kAzLwWe&#10;OwAAADkAAAAQAAAAAAAAAAEAIAAAAAsBAABkcnMvc2hhcGV4bWwueG1sUEsFBgAAAAAGAAYAWwEA&#10;ALUDAAAAAA==&#10;">
                          <v:fill on="f" focussize="0,0"/>
                          <v:stroke weight="1pt" color="#000000 [3204]" miterlimit="8" joinstyle="miter" dashstyle="3 1" endarrow="open"/>
                          <v:imagedata o:title=""/>
                          <o:lock v:ext="edit" aspectratio="f"/>
                        </v:shape>
                        <v:shape id="_x0000_s1026" o:spid="_x0000_s1026" o:spt="32" type="#_x0000_t32" style="position:absolute;left:12066;top:318258;flip:y;height:6;width:1157;" filled="f" stroked="t" coordsize="21600,21600" o:gfxdata="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Szc1bsAAADb&#10;AAAADwAAAAAAAAABACAAAAAiAAAAZHJzL2Rvd25yZXYueG1sUEsBAhQAFAAAAAgAh07iQDMvBZ47&#10;AAAAOQAAABAAAAAAAAAAAQAgAAAACgEAAGRycy9zaGFwZXhtbC54bWxQSwUGAAAAAAYABgBbAQAA&#10;tAMAAAAA&#10;">
                          <v:fill on="f" focussize="0,0"/>
                          <v:stroke weight="1pt" color="#000000 [3204]" miterlimit="8" joinstyle="miter" dashstyle="3 1" endarrow="open"/>
                          <v:imagedata o:title=""/>
                          <o:lock v:ext="edit" aspectratio="f"/>
                        </v:shape>
                        <v:shape id="_x0000_s1026" o:spid="_x0000_s1026" o:spt="32" type="#_x0000_t32" style="position:absolute;left:12141;top:319496;flip:y;height:6;width:1157;" filled="f" stroked="t" coordsize="21600,21600" o:gfxdata="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pgeU68AAAA&#10;2wAAAA8AAAAAAAAAAQAgAAAAIgAAAGRycy9kb3ducmV2LnhtbFBLAQIUABQAAAAIAIdO4kAzLwWe&#10;OwAAADkAAAAQAAAAAAAAAAEAIAAAAAsBAABkcnMvc2hhcGV4bWwueG1sUEsFBgAAAAAGAAYAWwEA&#10;ALUDAAAAAA==&#10;">
                          <v:fill on="f" focussize="0,0"/>
                          <v:stroke weight="1pt" color="#000000 [3204]" miterlimit="8" joinstyle="miter" dashstyle="3 1" endarrow="open"/>
                          <v:imagedata o:title=""/>
                          <o:lock v:ext="edit" aspectratio="f"/>
                        </v:shape>
                        <v:shape id="_x0000_s1026" o:spid="_x0000_s1026" o:spt="32" type="#_x0000_t32" style="position:absolute;left:9483;top:313950;flip:y;height:9;width:762;" filled="f" stroked="t" coordsize="21600,21600" o:gfxdata="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LXEJW/&#10;AAAA2wAAAA8AAAAAAAAAAQAgAAAAIgAAAGRycy9kb3ducmV2LnhtbFBLAQIUABQAAAAIAIdO4kAz&#10;LwWeOwAAADkAAAAQAAAAAAAAAAEAIAAAAA4BAABkcnMvc2hhcGV4bWwueG1sUEsFBgAAAAAGAAYA&#10;WwEAALgDAAAAAA==&#10;">
                          <v:fill on="f" focussize="0,0"/>
                          <v:stroke weight="0.5pt" color="#000000 [3204]" miterlimit="8" joinstyle="miter" endarrow="open"/>
                          <v:imagedata o:title=""/>
                          <o:lock v:ext="edit" aspectratio="f"/>
                        </v:shape>
                        <v:shape id="_x0000_s1026" o:spid="_x0000_s1026" o:spt="32" type="#_x0000_t32" style="position:absolute;left:9448;top:316865;flip:y;height:9;width:762;" filled="f" stroked="t" coordsize="21600,21600" o:gfxdata="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gWO4r4A&#10;AADbAAAADwAAAAAAAAABACAAAAAiAAAAZHJzL2Rvd25yZXYueG1sUEsBAhQAFAAAAAgAh07iQDMv&#10;BZ47AAAAOQAAABAAAAAAAAAAAQAgAAAADQEAAGRycy9zaGFwZXhtbC54bWxQSwUGAAAAAAYABgBb&#10;AQAAtwMAAAAA&#10;">
                          <v:fill on="f" focussize="0,0"/>
                          <v:stroke weight="0.5pt" color="#000000 [3204]" miterlimit="8" joinstyle="miter" endarrow="open"/>
                          <v:imagedata o:title=""/>
                          <o:lock v:ext="edit" aspectratio="f"/>
                        </v:shape>
                      </v:group>
                    </v:group>
                  </w:pict>
                </mc:Fallback>
              </mc:AlternateContent>
            </w:r>
          </w:p>
          <w:p>
            <w:pPr>
              <w:keepNext w:val="0"/>
              <w:keepLines w:val="0"/>
              <w:pageBreakBefore w:val="0"/>
              <w:widowControl w:val="0"/>
              <w:kinsoku/>
              <w:wordWrap/>
              <w:overflowPunct/>
              <w:topLinePunct w:val="0"/>
              <w:autoSpaceDE w:val="0"/>
              <w:autoSpaceDN w:val="0"/>
              <w:bidi w:val="0"/>
              <w:adjustRightInd w:val="0"/>
              <w:snapToGrid/>
              <w:spacing w:before="0" w:after="0" w:line="240" w:lineRule="auto"/>
              <w:ind w:left="0" w:leftChars="0" w:firstLine="0" w:firstLineChars="0"/>
              <w:jc w:val="center"/>
              <w:textAlignment w:val="auto"/>
              <w:rPr>
                <w:rFonts w:hint="default" w:ascii="Times New Roman" w:hAnsi="Times New Roman" w:eastAsia="宋体" w:cs="宋体"/>
                <w:b/>
                <w:bCs w:val="0"/>
                <w:color w:val="auto"/>
                <w:sz w:val="24"/>
                <w:szCs w:val="21"/>
                <w:lang w:val="en-US" w:eastAsia="zh-CN" w:bidi="ar-SA"/>
              </w:rPr>
            </w:pPr>
          </w:p>
          <w:p>
            <w:pPr>
              <w:keepNext w:val="0"/>
              <w:keepLines w:val="0"/>
              <w:pageBreakBefore w:val="0"/>
              <w:widowControl w:val="0"/>
              <w:kinsoku/>
              <w:wordWrap/>
              <w:overflowPunct/>
              <w:topLinePunct w:val="0"/>
              <w:autoSpaceDE w:val="0"/>
              <w:autoSpaceDN w:val="0"/>
              <w:bidi w:val="0"/>
              <w:adjustRightInd w:val="0"/>
              <w:snapToGrid/>
              <w:spacing w:before="0" w:after="0" w:line="240" w:lineRule="auto"/>
              <w:ind w:left="0" w:leftChars="0" w:firstLine="0" w:firstLineChars="0"/>
              <w:jc w:val="left"/>
              <w:textAlignment w:val="auto"/>
              <w:rPr>
                <w:rFonts w:hint="default" w:ascii="Times New Roman" w:hAnsi="Times New Roman" w:eastAsia="宋体" w:cs="宋体"/>
                <w:b/>
                <w:bCs w:val="0"/>
                <w:color w:val="auto"/>
                <w:sz w:val="24"/>
                <w:szCs w:val="21"/>
                <w:lang w:val="en-US" w:eastAsia="zh-CN" w:bidi="ar-SA"/>
              </w:rPr>
            </w:pPr>
          </w:p>
          <w:p>
            <w:pPr>
              <w:keepNext w:val="0"/>
              <w:keepLines w:val="0"/>
              <w:pageBreakBefore w:val="0"/>
              <w:widowControl w:val="0"/>
              <w:kinsoku/>
              <w:wordWrap/>
              <w:overflowPunct/>
              <w:topLinePunct w:val="0"/>
              <w:autoSpaceDE w:val="0"/>
              <w:autoSpaceDN w:val="0"/>
              <w:bidi w:val="0"/>
              <w:adjustRightInd w:val="0"/>
              <w:snapToGrid/>
              <w:spacing w:before="0" w:after="0" w:line="240" w:lineRule="auto"/>
              <w:ind w:left="0" w:leftChars="0" w:firstLine="0" w:firstLineChars="0"/>
              <w:jc w:val="left"/>
              <w:textAlignment w:val="auto"/>
              <w:rPr>
                <w:rFonts w:hint="default" w:ascii="Times New Roman" w:hAnsi="Times New Roman" w:eastAsia="宋体" w:cs="宋体"/>
                <w:b/>
                <w:bCs w:val="0"/>
                <w:color w:val="auto"/>
                <w:sz w:val="24"/>
                <w:szCs w:val="21"/>
                <w:lang w:val="en-US" w:eastAsia="zh-CN" w:bidi="ar-SA"/>
              </w:rPr>
            </w:pPr>
          </w:p>
          <w:p>
            <w:pPr>
              <w:keepNext w:val="0"/>
              <w:keepLines w:val="0"/>
              <w:pageBreakBefore w:val="0"/>
              <w:widowControl w:val="0"/>
              <w:kinsoku/>
              <w:wordWrap/>
              <w:overflowPunct/>
              <w:topLinePunct w:val="0"/>
              <w:autoSpaceDE w:val="0"/>
              <w:autoSpaceDN w:val="0"/>
              <w:bidi w:val="0"/>
              <w:adjustRightInd w:val="0"/>
              <w:snapToGrid/>
              <w:spacing w:before="0" w:after="0" w:line="240" w:lineRule="auto"/>
              <w:ind w:left="0" w:leftChars="0" w:firstLine="0" w:firstLineChars="0"/>
              <w:jc w:val="left"/>
              <w:textAlignment w:val="auto"/>
              <w:rPr>
                <w:rFonts w:hint="default" w:ascii="Times New Roman" w:hAnsi="Times New Roman" w:eastAsia="宋体" w:cs="宋体"/>
                <w:b/>
                <w:bCs w:val="0"/>
                <w:color w:val="auto"/>
                <w:sz w:val="24"/>
                <w:szCs w:val="21"/>
                <w:lang w:val="en-US" w:eastAsia="zh-CN" w:bidi="ar-SA"/>
              </w:rPr>
            </w:pPr>
          </w:p>
          <w:p>
            <w:pPr>
              <w:keepNext w:val="0"/>
              <w:keepLines w:val="0"/>
              <w:pageBreakBefore w:val="0"/>
              <w:widowControl w:val="0"/>
              <w:kinsoku/>
              <w:wordWrap/>
              <w:overflowPunct/>
              <w:topLinePunct w:val="0"/>
              <w:autoSpaceDE w:val="0"/>
              <w:autoSpaceDN w:val="0"/>
              <w:bidi w:val="0"/>
              <w:adjustRightInd w:val="0"/>
              <w:snapToGrid/>
              <w:spacing w:before="0" w:after="0" w:line="240" w:lineRule="auto"/>
              <w:ind w:left="0" w:leftChars="0" w:firstLine="0" w:firstLineChars="0"/>
              <w:jc w:val="left"/>
              <w:textAlignment w:val="auto"/>
              <w:rPr>
                <w:rFonts w:hint="default" w:ascii="Times New Roman" w:hAnsi="Times New Roman" w:eastAsia="宋体" w:cs="宋体"/>
                <w:b/>
                <w:bCs w:val="0"/>
                <w:color w:val="auto"/>
                <w:sz w:val="24"/>
                <w:szCs w:val="21"/>
                <w:lang w:val="en-US" w:eastAsia="zh-CN" w:bidi="ar-SA"/>
              </w:rPr>
            </w:pPr>
          </w:p>
          <w:p>
            <w:pPr>
              <w:keepNext w:val="0"/>
              <w:keepLines w:val="0"/>
              <w:pageBreakBefore w:val="0"/>
              <w:widowControl w:val="0"/>
              <w:kinsoku/>
              <w:wordWrap/>
              <w:overflowPunct/>
              <w:topLinePunct w:val="0"/>
              <w:autoSpaceDE w:val="0"/>
              <w:autoSpaceDN w:val="0"/>
              <w:bidi w:val="0"/>
              <w:adjustRightInd w:val="0"/>
              <w:snapToGrid/>
              <w:spacing w:before="0" w:after="0" w:line="240" w:lineRule="auto"/>
              <w:ind w:left="0" w:leftChars="0" w:firstLine="0" w:firstLineChars="0"/>
              <w:jc w:val="left"/>
              <w:textAlignment w:val="auto"/>
              <w:rPr>
                <w:rFonts w:hint="default" w:ascii="Times New Roman" w:hAnsi="Times New Roman" w:eastAsia="宋体" w:cs="宋体"/>
                <w:b/>
                <w:bCs w:val="0"/>
                <w:color w:val="auto"/>
                <w:sz w:val="24"/>
                <w:szCs w:val="21"/>
                <w:lang w:val="en-US" w:eastAsia="zh-CN" w:bidi="ar-SA"/>
              </w:rPr>
            </w:pPr>
          </w:p>
          <w:p>
            <w:pPr>
              <w:keepNext w:val="0"/>
              <w:keepLines w:val="0"/>
              <w:pageBreakBefore w:val="0"/>
              <w:widowControl w:val="0"/>
              <w:kinsoku/>
              <w:wordWrap/>
              <w:overflowPunct/>
              <w:topLinePunct w:val="0"/>
              <w:autoSpaceDE w:val="0"/>
              <w:autoSpaceDN w:val="0"/>
              <w:bidi w:val="0"/>
              <w:adjustRightInd w:val="0"/>
              <w:snapToGrid/>
              <w:spacing w:before="0" w:after="0" w:line="240" w:lineRule="auto"/>
              <w:ind w:left="0" w:leftChars="0" w:firstLine="0" w:firstLineChars="0"/>
              <w:jc w:val="left"/>
              <w:textAlignment w:val="auto"/>
              <w:rPr>
                <w:rFonts w:hint="default" w:ascii="Times New Roman" w:hAnsi="Times New Roman" w:eastAsia="宋体" w:cs="宋体"/>
                <w:b/>
                <w:bCs w:val="0"/>
                <w:color w:val="auto"/>
                <w:sz w:val="24"/>
                <w:szCs w:val="21"/>
                <w:lang w:val="en-US" w:eastAsia="zh-CN" w:bidi="ar-SA"/>
              </w:rPr>
            </w:pPr>
          </w:p>
          <w:p>
            <w:pPr>
              <w:keepNext w:val="0"/>
              <w:keepLines w:val="0"/>
              <w:pageBreakBefore w:val="0"/>
              <w:widowControl w:val="0"/>
              <w:kinsoku/>
              <w:wordWrap/>
              <w:overflowPunct/>
              <w:topLinePunct w:val="0"/>
              <w:autoSpaceDE w:val="0"/>
              <w:autoSpaceDN w:val="0"/>
              <w:bidi w:val="0"/>
              <w:adjustRightInd w:val="0"/>
              <w:snapToGrid/>
              <w:spacing w:before="0" w:after="0" w:line="240" w:lineRule="auto"/>
              <w:ind w:left="0" w:leftChars="0" w:firstLine="0" w:firstLineChars="0"/>
              <w:jc w:val="left"/>
              <w:textAlignment w:val="auto"/>
              <w:rPr>
                <w:rFonts w:hint="default" w:ascii="Times New Roman" w:hAnsi="Times New Roman" w:eastAsia="宋体" w:cs="宋体"/>
                <w:b/>
                <w:bCs w:val="0"/>
                <w:color w:val="auto"/>
                <w:sz w:val="24"/>
                <w:szCs w:val="21"/>
                <w:lang w:val="en-US" w:eastAsia="zh-CN" w:bidi="ar-SA"/>
              </w:rPr>
            </w:pPr>
          </w:p>
          <w:p>
            <w:pPr>
              <w:keepNext w:val="0"/>
              <w:keepLines w:val="0"/>
              <w:pageBreakBefore w:val="0"/>
              <w:widowControl w:val="0"/>
              <w:kinsoku/>
              <w:wordWrap/>
              <w:overflowPunct/>
              <w:topLinePunct w:val="0"/>
              <w:autoSpaceDE w:val="0"/>
              <w:autoSpaceDN w:val="0"/>
              <w:bidi w:val="0"/>
              <w:adjustRightInd w:val="0"/>
              <w:snapToGrid/>
              <w:spacing w:before="0" w:after="0" w:line="240" w:lineRule="auto"/>
              <w:ind w:left="0" w:leftChars="0" w:firstLine="0" w:firstLineChars="0"/>
              <w:jc w:val="left"/>
              <w:textAlignment w:val="auto"/>
              <w:rPr>
                <w:rFonts w:hint="default" w:ascii="Times New Roman" w:hAnsi="Times New Roman" w:eastAsia="宋体" w:cs="宋体"/>
                <w:b/>
                <w:bCs w:val="0"/>
                <w:color w:val="auto"/>
                <w:sz w:val="24"/>
                <w:szCs w:val="21"/>
                <w:lang w:val="en-US" w:eastAsia="zh-CN" w:bidi="ar-SA"/>
              </w:rPr>
            </w:pPr>
          </w:p>
          <w:p>
            <w:pPr>
              <w:keepNext w:val="0"/>
              <w:keepLines w:val="0"/>
              <w:pageBreakBefore w:val="0"/>
              <w:widowControl w:val="0"/>
              <w:kinsoku/>
              <w:wordWrap/>
              <w:overflowPunct/>
              <w:topLinePunct w:val="0"/>
              <w:autoSpaceDE w:val="0"/>
              <w:autoSpaceDN w:val="0"/>
              <w:bidi w:val="0"/>
              <w:adjustRightInd w:val="0"/>
              <w:snapToGrid/>
              <w:spacing w:before="0" w:after="0" w:line="240" w:lineRule="auto"/>
              <w:ind w:left="0" w:leftChars="0" w:firstLine="0" w:firstLineChars="0"/>
              <w:jc w:val="left"/>
              <w:textAlignment w:val="auto"/>
              <w:rPr>
                <w:rFonts w:hint="default" w:ascii="Times New Roman" w:hAnsi="Times New Roman" w:eastAsia="宋体" w:cs="宋体"/>
                <w:b/>
                <w:bCs w:val="0"/>
                <w:color w:val="auto"/>
                <w:sz w:val="24"/>
                <w:szCs w:val="21"/>
                <w:lang w:val="en-US" w:eastAsia="zh-CN" w:bidi="ar-SA"/>
              </w:rPr>
            </w:pPr>
          </w:p>
          <w:p>
            <w:pPr>
              <w:keepNext w:val="0"/>
              <w:keepLines w:val="0"/>
              <w:pageBreakBefore w:val="0"/>
              <w:widowControl w:val="0"/>
              <w:kinsoku/>
              <w:wordWrap/>
              <w:overflowPunct/>
              <w:topLinePunct w:val="0"/>
              <w:autoSpaceDE w:val="0"/>
              <w:autoSpaceDN w:val="0"/>
              <w:bidi w:val="0"/>
              <w:adjustRightInd w:val="0"/>
              <w:snapToGrid/>
              <w:spacing w:before="0" w:after="0" w:line="240" w:lineRule="auto"/>
              <w:ind w:left="0" w:leftChars="0" w:firstLine="0" w:firstLineChars="0"/>
              <w:jc w:val="left"/>
              <w:textAlignment w:val="auto"/>
              <w:rPr>
                <w:rFonts w:hint="default" w:ascii="Times New Roman" w:hAnsi="Times New Roman" w:eastAsia="宋体" w:cs="宋体"/>
                <w:b/>
                <w:bCs w:val="0"/>
                <w:color w:val="auto"/>
                <w:sz w:val="24"/>
                <w:szCs w:val="21"/>
                <w:lang w:val="en-US" w:eastAsia="zh-CN" w:bidi="ar-SA"/>
              </w:rPr>
            </w:pPr>
          </w:p>
          <w:p>
            <w:pPr>
              <w:keepNext w:val="0"/>
              <w:keepLines w:val="0"/>
              <w:pageBreakBefore w:val="0"/>
              <w:widowControl w:val="0"/>
              <w:kinsoku/>
              <w:wordWrap/>
              <w:overflowPunct/>
              <w:topLinePunct w:val="0"/>
              <w:autoSpaceDE w:val="0"/>
              <w:autoSpaceDN w:val="0"/>
              <w:bidi w:val="0"/>
              <w:adjustRightInd w:val="0"/>
              <w:snapToGrid/>
              <w:spacing w:before="0" w:after="0" w:line="240" w:lineRule="auto"/>
              <w:ind w:left="0" w:leftChars="0" w:firstLine="0" w:firstLineChars="0"/>
              <w:jc w:val="left"/>
              <w:textAlignment w:val="auto"/>
              <w:rPr>
                <w:rFonts w:hint="default" w:ascii="Times New Roman" w:hAnsi="Times New Roman" w:eastAsia="宋体" w:cs="宋体"/>
                <w:b/>
                <w:bCs w:val="0"/>
                <w:color w:val="auto"/>
                <w:sz w:val="24"/>
                <w:szCs w:val="21"/>
                <w:lang w:val="en-US" w:eastAsia="zh-CN" w:bidi="ar-SA"/>
              </w:rPr>
            </w:pPr>
          </w:p>
          <w:p>
            <w:pPr>
              <w:widowControl w:val="0"/>
              <w:adjustRightInd/>
              <w:snapToGrid/>
              <w:spacing w:after="0" w:line="240" w:lineRule="auto"/>
              <w:jc w:val="left"/>
              <w:rPr>
                <w:rFonts w:hint="default" w:ascii="Times New Roman" w:hAnsi="Times New Roman" w:eastAsia="宋体" w:cs="Times New Roman"/>
                <w:b/>
                <w:bCs w:val="0"/>
                <w:color w:val="auto"/>
                <w:kern w:val="2"/>
                <w:sz w:val="21"/>
                <w:szCs w:val="24"/>
                <w:lang w:eastAsia="zh-CN"/>
              </w:rPr>
            </w:pPr>
          </w:p>
          <w:p>
            <w:pPr>
              <w:widowControl w:val="0"/>
              <w:jc w:val="left"/>
              <w:rPr>
                <w:rFonts w:hint="default" w:ascii="Times New Roman" w:hAnsi="Times New Roman" w:eastAsia="宋体" w:cs="Times New Roman"/>
                <w:b/>
                <w:bCs w:val="0"/>
                <w:color w:val="auto"/>
                <w:kern w:val="2"/>
                <w:sz w:val="21"/>
                <w:szCs w:val="24"/>
                <w:lang w:val="en-US" w:eastAsia="zh-CN" w:bidi="ar-SA"/>
              </w:rPr>
            </w:pPr>
          </w:p>
          <w:p>
            <w:pPr>
              <w:widowControl w:val="0"/>
              <w:jc w:val="both"/>
              <w:rPr>
                <w:rFonts w:hint="default" w:ascii="Times New Roman" w:hAnsi="Times New Roman" w:eastAsia="宋体" w:cs="Times New Roman"/>
                <w:b/>
                <w:bCs w:val="0"/>
                <w:color w:val="auto"/>
                <w:kern w:val="2"/>
                <w:sz w:val="21"/>
                <w:szCs w:val="24"/>
                <w:lang w:val="en-US" w:eastAsia="zh-CN" w:bidi="ar-SA"/>
              </w:rPr>
            </w:pPr>
          </w:p>
          <w:p>
            <w:pPr>
              <w:widowControl w:val="0"/>
              <w:jc w:val="both"/>
              <w:rPr>
                <w:rFonts w:hint="default" w:ascii="Times New Roman" w:hAnsi="Times New Roman" w:eastAsia="宋体" w:cs="Times New Roman"/>
                <w:b/>
                <w:bCs w:val="0"/>
                <w:color w:val="auto"/>
                <w:kern w:val="2"/>
                <w:sz w:val="21"/>
                <w:szCs w:val="24"/>
                <w:lang w:val="en-US" w:eastAsia="zh-CN" w:bidi="ar-SA"/>
              </w:rPr>
            </w:pPr>
          </w:p>
          <w:p>
            <w:pPr>
              <w:widowControl w:val="0"/>
              <w:jc w:val="both"/>
              <w:rPr>
                <w:rFonts w:hint="default" w:ascii="Times New Roman" w:hAnsi="Times New Roman" w:eastAsia="宋体" w:cs="Times New Roman"/>
                <w:b/>
                <w:bCs w:val="0"/>
                <w:color w:val="auto"/>
                <w:kern w:val="2"/>
                <w:sz w:val="21"/>
                <w:szCs w:val="24"/>
                <w:lang w:val="en-US" w:eastAsia="zh-CN" w:bidi="ar-SA"/>
              </w:rPr>
            </w:pPr>
          </w:p>
          <w:p>
            <w:pPr>
              <w:widowControl w:val="0"/>
              <w:jc w:val="both"/>
              <w:rPr>
                <w:rFonts w:hint="default" w:ascii="Times New Roman" w:hAnsi="Times New Roman" w:eastAsia="宋体" w:cs="Times New Roman"/>
                <w:b/>
                <w:bCs w:val="0"/>
                <w:color w:val="auto"/>
                <w:kern w:val="2"/>
                <w:sz w:val="21"/>
                <w:szCs w:val="24"/>
                <w:lang w:val="en-US" w:eastAsia="zh-CN" w:bidi="ar-SA"/>
              </w:rPr>
            </w:pPr>
          </w:p>
          <w:p>
            <w:pPr>
              <w:widowControl w:val="0"/>
              <w:jc w:val="both"/>
              <w:rPr>
                <w:rFonts w:hint="default" w:ascii="Times New Roman" w:hAnsi="Times New Roman" w:eastAsia="宋体" w:cs="Times New Roman"/>
                <w:b/>
                <w:bCs w:val="0"/>
                <w:color w:val="auto"/>
                <w:kern w:val="2"/>
                <w:sz w:val="21"/>
                <w:szCs w:val="24"/>
                <w:lang w:val="en-US" w:eastAsia="zh-CN" w:bidi="ar-SA"/>
              </w:rPr>
            </w:pPr>
          </w:p>
          <w:p>
            <w:pPr>
              <w:widowControl w:val="0"/>
              <w:jc w:val="both"/>
              <w:rPr>
                <w:rFonts w:hint="default" w:ascii="Times New Roman" w:hAnsi="Times New Roman" w:eastAsia="宋体" w:cs="Times New Roman"/>
                <w:b/>
                <w:bCs w:val="0"/>
                <w:color w:val="auto"/>
                <w:kern w:val="2"/>
                <w:sz w:val="21"/>
                <w:szCs w:val="24"/>
                <w:lang w:val="en-US" w:eastAsia="zh-CN" w:bidi="ar-SA"/>
              </w:rPr>
            </w:pPr>
          </w:p>
          <w:p>
            <w:pPr>
              <w:widowControl w:val="0"/>
              <w:jc w:val="both"/>
              <w:rPr>
                <w:rFonts w:hint="default" w:ascii="Times New Roman" w:hAnsi="Times New Roman" w:eastAsia="宋体" w:cs="Times New Roman"/>
                <w:b/>
                <w:bCs w:val="0"/>
                <w:color w:val="auto"/>
                <w:kern w:val="2"/>
                <w:sz w:val="21"/>
                <w:szCs w:val="24"/>
                <w:lang w:val="en-US" w:eastAsia="zh-CN" w:bidi="ar-SA"/>
              </w:rPr>
            </w:pPr>
          </w:p>
          <w:p>
            <w:pPr>
              <w:widowControl w:val="0"/>
              <w:jc w:val="both"/>
              <w:rPr>
                <w:rFonts w:hint="default" w:ascii="Times New Roman" w:hAnsi="Times New Roman" w:eastAsia="宋体" w:cs="Times New Roman"/>
                <w:b/>
                <w:bCs w:val="0"/>
                <w:color w:val="auto"/>
                <w:kern w:val="2"/>
                <w:sz w:val="21"/>
                <w:szCs w:val="24"/>
                <w:lang w:val="en-US" w:eastAsia="zh-CN" w:bidi="ar-SA"/>
              </w:rPr>
            </w:pPr>
          </w:p>
          <w:p>
            <w:pPr>
              <w:widowControl w:val="0"/>
              <w:jc w:val="both"/>
              <w:rPr>
                <w:rFonts w:hint="default" w:ascii="Times New Roman" w:hAnsi="Times New Roman" w:eastAsia="宋体" w:cs="Times New Roman"/>
                <w:b/>
                <w:bCs w:val="0"/>
                <w:color w:val="auto"/>
                <w:kern w:val="2"/>
                <w:sz w:val="21"/>
                <w:szCs w:val="24"/>
                <w:lang w:val="en-US" w:eastAsia="zh-CN" w:bidi="ar-SA"/>
              </w:rPr>
            </w:pPr>
          </w:p>
          <w:p>
            <w:pPr>
              <w:widowControl w:val="0"/>
              <w:jc w:val="both"/>
              <w:rPr>
                <w:rFonts w:hint="default" w:ascii="Times New Roman" w:hAnsi="Times New Roman" w:eastAsia="宋体" w:cs="Times New Roman"/>
                <w:b/>
                <w:bCs w:val="0"/>
                <w:color w:val="auto"/>
                <w:kern w:val="2"/>
                <w:sz w:val="21"/>
                <w:szCs w:val="24"/>
                <w:lang w:val="en-US" w:eastAsia="zh-CN" w:bidi="ar-SA"/>
              </w:rPr>
            </w:pPr>
          </w:p>
          <w:p>
            <w:pPr>
              <w:widowControl w:val="0"/>
              <w:jc w:val="both"/>
              <w:rPr>
                <w:rFonts w:hint="default" w:ascii="Times New Roman" w:hAnsi="Times New Roman" w:eastAsia="宋体" w:cs="Times New Roman"/>
                <w:b/>
                <w:bCs w:val="0"/>
                <w:color w:val="auto"/>
                <w:kern w:val="2"/>
                <w:sz w:val="21"/>
                <w:szCs w:val="24"/>
                <w:lang w:val="en-US" w:eastAsia="zh-CN" w:bidi="ar-SA"/>
              </w:rPr>
            </w:pPr>
          </w:p>
          <w:p>
            <w:pPr>
              <w:widowControl w:val="0"/>
              <w:jc w:val="both"/>
              <w:rPr>
                <w:rFonts w:hint="default" w:ascii="Times New Roman" w:hAnsi="Times New Roman" w:eastAsia="宋体" w:cs="Times New Roman"/>
                <w:b/>
                <w:bCs w:val="0"/>
                <w:color w:val="auto"/>
                <w:kern w:val="2"/>
                <w:sz w:val="21"/>
                <w:szCs w:val="24"/>
                <w:lang w:val="en-US" w:eastAsia="zh-CN" w:bidi="ar-SA"/>
              </w:rPr>
            </w:pPr>
          </w:p>
          <w:p>
            <w:pPr>
              <w:keepNext w:val="0"/>
              <w:keepLines w:val="0"/>
              <w:pageBreakBefore w:val="0"/>
              <w:widowControl w:val="0"/>
              <w:kinsoku/>
              <w:wordWrap/>
              <w:overflowPunct/>
              <w:topLinePunct w:val="0"/>
              <w:autoSpaceDE w:val="0"/>
              <w:autoSpaceDN w:val="0"/>
              <w:bidi w:val="0"/>
              <w:adjustRightInd w:val="0"/>
              <w:snapToGrid/>
              <w:spacing w:before="0" w:after="0" w:line="240" w:lineRule="auto"/>
              <w:ind w:left="0" w:leftChars="0" w:firstLine="0" w:firstLineChars="0"/>
              <w:jc w:val="center"/>
              <w:textAlignment w:val="auto"/>
              <w:rPr>
                <w:rFonts w:hint="default" w:ascii="Times New Roman" w:hAnsi="Times New Roman" w:eastAsia="宋体" w:cs="宋体"/>
                <w:b/>
                <w:bCs w:val="0"/>
                <w:color w:val="auto"/>
                <w:sz w:val="24"/>
                <w:szCs w:val="21"/>
                <w:lang w:val="en-US" w:eastAsia="zh-CN" w:bidi="ar-SA"/>
              </w:rPr>
            </w:pPr>
            <w:r>
              <w:rPr>
                <w:rFonts w:hint="default" w:ascii="Times New Roman" w:hAnsi="Times New Roman" w:eastAsia="宋体" w:cs="宋体"/>
                <w:b/>
                <w:bCs w:val="0"/>
                <w:color w:val="auto"/>
                <w:sz w:val="24"/>
                <w:szCs w:val="21"/>
                <w:lang w:val="en-US" w:eastAsia="zh-CN" w:bidi="ar-SA"/>
              </w:rPr>
              <w:t>图2.</w:t>
            </w:r>
            <w:r>
              <w:rPr>
                <w:rFonts w:hint="eastAsia" w:ascii="Times New Roman" w:hAnsi="Times New Roman" w:eastAsia="宋体" w:cs="宋体"/>
                <w:b/>
                <w:bCs w:val="0"/>
                <w:color w:val="auto"/>
                <w:sz w:val="24"/>
                <w:szCs w:val="21"/>
                <w:lang w:val="en-US" w:eastAsia="zh-CN" w:bidi="ar-SA"/>
              </w:rPr>
              <w:t>2</w:t>
            </w:r>
            <w:r>
              <w:rPr>
                <w:rFonts w:hint="default" w:ascii="Times New Roman" w:hAnsi="Times New Roman" w:eastAsia="宋体" w:cs="宋体"/>
                <w:b/>
                <w:bCs w:val="0"/>
                <w:color w:val="auto"/>
                <w:sz w:val="24"/>
                <w:szCs w:val="21"/>
                <w:lang w:val="en-US" w:eastAsia="zh-CN" w:bidi="ar-SA"/>
              </w:rPr>
              <w:t xml:space="preserve"> </w:t>
            </w:r>
            <w:r>
              <w:rPr>
                <w:rFonts w:hint="eastAsia" w:ascii="Times New Roman" w:hAnsi="Times New Roman" w:eastAsia="宋体" w:cs="宋体"/>
                <w:b/>
                <w:bCs w:val="0"/>
                <w:color w:val="auto"/>
                <w:sz w:val="24"/>
                <w:szCs w:val="21"/>
                <w:lang w:val="en-US" w:eastAsia="zh-CN" w:bidi="ar-SA"/>
              </w:rPr>
              <w:t>陶瓷覆铜板</w:t>
            </w:r>
            <w:r>
              <w:rPr>
                <w:rFonts w:hint="default" w:ascii="Times New Roman" w:hAnsi="Times New Roman" w:eastAsia="宋体" w:cs="宋体"/>
                <w:b/>
                <w:bCs w:val="0"/>
                <w:color w:val="auto"/>
                <w:sz w:val="24"/>
                <w:szCs w:val="21"/>
                <w:lang w:val="en-US" w:eastAsia="zh-CN" w:bidi="ar-SA"/>
              </w:rPr>
              <w:t>生产工艺流程及产污环节图</w:t>
            </w:r>
          </w:p>
          <w:p>
            <w:pPr>
              <w:pStyle w:val="26"/>
              <w:spacing w:before="0" w:beforeLines="0" w:after="0" w:afterLines="0" w:line="240" w:lineRule="auto"/>
              <w:ind w:firstLine="0" w:firstLineChars="0"/>
              <w:jc w:val="center"/>
              <w:rPr>
                <w:rFonts w:hint="eastAsia"/>
                <w:b/>
                <w:color w:val="auto"/>
                <w:sz w:val="24"/>
                <w:szCs w:val="21"/>
              </w:rPr>
            </w:pPr>
          </w:p>
          <w:p>
            <w:pPr>
              <w:keepNext w:val="0"/>
              <w:keepLines w:val="0"/>
              <w:pageBreakBefore w:val="0"/>
              <w:widowControl/>
              <w:kinsoku/>
              <w:wordWrap/>
              <w:overflowPunct/>
              <w:topLinePunct w:val="0"/>
              <w:autoSpaceDE/>
              <w:autoSpaceDN/>
              <w:bidi w:val="0"/>
              <w:adjustRightInd w:val="0"/>
              <w:snapToGrid w:val="0"/>
              <w:spacing w:after="0" w:line="360" w:lineRule="auto"/>
              <w:ind w:firstLine="482" w:firstLineChars="200"/>
              <w:textAlignment w:val="auto"/>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工艺流程说明：</w:t>
            </w:r>
          </w:p>
          <w:p>
            <w:pPr>
              <w:keepNext w:val="0"/>
              <w:keepLines w:val="0"/>
              <w:pageBreakBefore w:val="0"/>
              <w:widowControl/>
              <w:suppressLineNumbers w:val="0"/>
              <w:kinsoku/>
              <w:wordWrap/>
              <w:overflowPunct/>
              <w:topLinePunct w:val="0"/>
              <w:autoSpaceDE/>
              <w:autoSpaceDN/>
              <w:bidi w:val="0"/>
              <w:adjustRightInd/>
              <w:snapToGrid/>
              <w:spacing w:after="0" w:line="360" w:lineRule="auto"/>
              <w:ind w:left="0" w:leftChars="0" w:firstLine="482" w:firstLineChars="200"/>
              <w:jc w:val="left"/>
              <w:textAlignment w:val="auto"/>
              <w:rPr>
                <w:rFonts w:hint="default" w:ascii="Times New Roman" w:hAnsi="Times New Roman" w:eastAsia="宋体" w:cs="Times New Roman"/>
                <w:kern w:val="2"/>
                <w:sz w:val="24"/>
                <w:szCs w:val="24"/>
                <w:highlight w:val="none"/>
                <w:lang w:val="en-US"/>
              </w:rPr>
            </w:pPr>
            <w:r>
              <w:rPr>
                <w:rFonts w:hint="eastAsia" w:ascii="Times New Roman" w:hAnsi="Times New Roman" w:eastAsia="宋体" w:cs="Times New Roman"/>
                <w:b/>
                <w:bCs/>
                <w:color w:val="auto"/>
                <w:kern w:val="2"/>
                <w:sz w:val="24"/>
                <w:szCs w:val="24"/>
                <w:lang w:val="en-US" w:eastAsia="zh-CN"/>
              </w:rPr>
              <w:t>（1）</w:t>
            </w:r>
            <w:r>
              <w:rPr>
                <w:rFonts w:hint="default" w:ascii="Times New Roman" w:hAnsi="Times New Roman" w:eastAsia="宋体" w:cs="Times New Roman"/>
                <w:b/>
                <w:bCs/>
                <w:color w:val="auto"/>
                <w:kern w:val="2"/>
                <w:sz w:val="24"/>
                <w:szCs w:val="24"/>
                <w:lang w:val="en-US" w:eastAsia="zh-CN"/>
              </w:rPr>
              <w:t>烧结：</w:t>
            </w:r>
            <w:r>
              <w:rPr>
                <w:rFonts w:hint="default" w:ascii="Times New Roman" w:hAnsi="Times New Roman" w:eastAsia="宋体" w:cs="Times New Roman"/>
                <w:color w:val="000000"/>
                <w:kern w:val="0"/>
                <w:sz w:val="24"/>
                <w:szCs w:val="24"/>
                <w:lang w:val="en-US" w:eastAsia="zh-CN" w:bidi="ar"/>
              </w:rPr>
              <w:t>将外购的铜片和外购的瓷片一起送入烧结炉</w:t>
            </w:r>
            <w:r>
              <w:rPr>
                <w:rFonts w:hint="eastAsia" w:ascii="Times New Roman" w:hAnsi="Times New Roman" w:eastAsia="宋体" w:cs="Times New Roman"/>
                <w:color w:val="000000"/>
                <w:kern w:val="0"/>
                <w:sz w:val="24"/>
                <w:szCs w:val="24"/>
                <w:lang w:val="en-US" w:eastAsia="zh-CN" w:bidi="ar"/>
              </w:rPr>
              <w:t>并充入氮气作为保护器气</w:t>
            </w:r>
            <w:r>
              <w:rPr>
                <w:rFonts w:hint="default" w:ascii="Times New Roman" w:hAnsi="Times New Roman" w:eastAsia="宋体" w:cs="Times New Roman"/>
                <w:color w:val="000000"/>
                <w:kern w:val="0"/>
                <w:sz w:val="24"/>
                <w:szCs w:val="24"/>
                <w:lang w:val="en-US" w:eastAsia="zh-CN" w:bidi="ar"/>
              </w:rPr>
              <w:t>进行高温烧结，温度为600~1100℃（电加热 30min 左右），铜片和瓷片发生键合，铜片紧密的贴在陶瓷基板上，形成覆铜陶瓷基板。</w:t>
            </w:r>
            <w:r>
              <w:rPr>
                <w:rFonts w:hint="eastAsia" w:ascii="Times New Roman" w:hAnsi="Times New Roman" w:eastAsia="宋体" w:cs="Times New Roman"/>
                <w:color w:val="000000"/>
                <w:kern w:val="0"/>
                <w:sz w:val="24"/>
                <w:szCs w:val="24"/>
                <w:lang w:val="en-US" w:eastAsia="zh-CN" w:bidi="ar"/>
              </w:rPr>
              <w:t>通过炉子的间接冷却水循环系统冷却后，检查是否烧结合格，重复两次，完成陶瓷板的</w:t>
            </w:r>
            <w:r>
              <w:rPr>
                <w:rFonts w:hint="default" w:ascii="Times New Roman" w:hAnsi="Times New Roman" w:eastAsia="宋体" w:cs="Times New Roman"/>
                <w:color w:val="000000"/>
                <w:kern w:val="0"/>
                <w:sz w:val="24"/>
                <w:szCs w:val="24"/>
                <w:lang w:val="en-US" w:eastAsia="zh-CN" w:bidi="ar"/>
              </w:rPr>
              <w:t>双面覆铜。</w:t>
            </w:r>
            <w:r>
              <w:rPr>
                <w:rFonts w:hint="eastAsia" w:ascii="Times New Roman" w:hAnsi="Times New Roman" w:eastAsia="宋体" w:cs="Times New Roman"/>
                <w:color w:val="000000"/>
                <w:kern w:val="0"/>
                <w:sz w:val="24"/>
                <w:szCs w:val="24"/>
                <w:highlight w:val="none"/>
                <w:lang w:val="en-US" w:eastAsia="zh-CN" w:bidi="ar"/>
              </w:rPr>
              <w:t>烧结氮气无组织排在室内，通过车间的换风系统，排向室外。</w:t>
            </w:r>
          </w:p>
          <w:p>
            <w:pPr>
              <w:keepNext w:val="0"/>
              <w:keepLines w:val="0"/>
              <w:pageBreakBefore w:val="0"/>
              <w:widowControl/>
              <w:suppressLineNumbers w:val="0"/>
              <w:kinsoku/>
              <w:wordWrap/>
              <w:overflowPunct/>
              <w:topLinePunct w:val="0"/>
              <w:autoSpaceDE/>
              <w:autoSpaceDN/>
              <w:bidi w:val="0"/>
              <w:adjustRightInd/>
              <w:snapToGrid/>
              <w:spacing w:after="0" w:line="360" w:lineRule="auto"/>
              <w:ind w:left="0" w:leftChars="0" w:firstLine="482" w:firstLineChars="200"/>
              <w:jc w:val="left"/>
              <w:textAlignment w:val="auto"/>
              <w:rPr>
                <w:rFonts w:hint="default" w:ascii="Times New Roman" w:hAnsi="Times New Roman" w:eastAsia="宋体" w:cs="Times New Roman"/>
                <w:color w:val="auto"/>
                <w:kern w:val="2"/>
                <w:sz w:val="24"/>
                <w:szCs w:val="24"/>
                <w:highlight w:val="none"/>
                <w:lang w:val="en-US" w:eastAsia="zh-CN"/>
              </w:rPr>
            </w:pPr>
            <w:r>
              <w:rPr>
                <w:rFonts w:hint="eastAsia" w:ascii="Times New Roman" w:hAnsi="Times New Roman" w:eastAsia="宋体" w:cs="Times New Roman"/>
                <w:b/>
                <w:bCs/>
                <w:color w:val="auto"/>
                <w:kern w:val="2"/>
                <w:sz w:val="24"/>
                <w:szCs w:val="24"/>
                <w:highlight w:val="none"/>
                <w:lang w:val="en-US" w:eastAsia="zh-CN"/>
              </w:rPr>
              <w:t>（2）</w:t>
            </w:r>
            <w:r>
              <w:rPr>
                <w:rFonts w:hint="default" w:ascii="Times New Roman" w:hAnsi="Times New Roman" w:eastAsia="宋体" w:cs="Times New Roman"/>
                <w:b/>
                <w:bCs/>
                <w:color w:val="auto"/>
                <w:kern w:val="2"/>
                <w:sz w:val="24"/>
                <w:szCs w:val="24"/>
                <w:highlight w:val="none"/>
                <w:lang w:val="en-US" w:eastAsia="zh-CN"/>
              </w:rPr>
              <w:t>质检</w:t>
            </w:r>
            <w:r>
              <w:rPr>
                <w:rFonts w:hint="default" w:ascii="Times New Roman" w:hAnsi="Times New Roman" w:eastAsia="宋体" w:cs="Times New Roman"/>
                <w:color w:val="auto"/>
                <w:kern w:val="2"/>
                <w:sz w:val="24"/>
                <w:szCs w:val="24"/>
                <w:highlight w:val="none"/>
                <w:lang w:val="en-US" w:eastAsia="zh-CN"/>
              </w:rPr>
              <w:t>：</w:t>
            </w:r>
            <w:r>
              <w:rPr>
                <w:rFonts w:hint="eastAsia" w:ascii="Times New Roman" w:hAnsi="Times New Roman" w:eastAsia="宋体" w:cs="Times New Roman"/>
                <w:color w:val="auto"/>
                <w:kern w:val="2"/>
                <w:sz w:val="24"/>
                <w:szCs w:val="24"/>
                <w:highlight w:val="none"/>
                <w:lang w:val="en-US" w:eastAsia="zh-CN"/>
              </w:rPr>
              <w:t>用卡尺、耐压仪、以及分析仪等仪器</w:t>
            </w:r>
            <w:r>
              <w:rPr>
                <w:rFonts w:hint="default" w:ascii="Times New Roman" w:hAnsi="Times New Roman" w:eastAsia="宋体" w:cs="Times New Roman"/>
                <w:color w:val="auto"/>
                <w:kern w:val="2"/>
                <w:sz w:val="24"/>
                <w:szCs w:val="24"/>
                <w:highlight w:val="none"/>
                <w:lang w:val="en-US" w:eastAsia="zh-CN"/>
              </w:rPr>
              <w:t>检查烧结是否合格，是否有破损</w:t>
            </w:r>
            <w:r>
              <w:rPr>
                <w:rFonts w:hint="eastAsia" w:ascii="Times New Roman" w:hAnsi="Times New Roman" w:eastAsia="宋体" w:cs="Times New Roman"/>
                <w:color w:val="auto"/>
                <w:kern w:val="2"/>
                <w:sz w:val="24"/>
                <w:szCs w:val="24"/>
                <w:highlight w:val="none"/>
                <w:lang w:val="en-US" w:eastAsia="zh-CN"/>
              </w:rPr>
              <w:t>，质检过程不涉及药剂。</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left"/>
              <w:textAlignment w:val="auto"/>
              <w:rPr>
                <w:rFonts w:hint="eastAsia" w:ascii="宋体" w:hAnsi="宋体" w:eastAsia="宋体" w:cs="宋体"/>
                <w:color w:val="000000"/>
                <w:kern w:val="0"/>
                <w:sz w:val="24"/>
                <w:szCs w:val="24"/>
                <w:lang w:val="en-US" w:eastAsia="zh-CN" w:bidi="ar"/>
              </w:rPr>
            </w:pPr>
            <w:r>
              <w:rPr>
                <w:rFonts w:hint="eastAsia" w:ascii="Times New Roman" w:hAnsi="Times New Roman" w:eastAsia="宋体" w:cs="Times New Roman"/>
                <w:b/>
                <w:bCs/>
                <w:kern w:val="0"/>
                <w:sz w:val="24"/>
                <w:szCs w:val="24"/>
                <w:highlight w:val="none"/>
                <w:lang w:val="en-US" w:eastAsia="zh-CN" w:bidi="ar-SA"/>
              </w:rPr>
              <w:t>（3）</w:t>
            </w:r>
            <w:r>
              <w:rPr>
                <w:rFonts w:hint="default" w:ascii="Times New Roman" w:hAnsi="Times New Roman" w:eastAsia="宋体" w:cs="Times New Roman"/>
                <w:b/>
                <w:bCs/>
                <w:kern w:val="0"/>
                <w:sz w:val="24"/>
                <w:szCs w:val="24"/>
                <w:highlight w:val="none"/>
                <w:lang w:val="en-US" w:eastAsia="zh-CN" w:bidi="ar-SA"/>
              </w:rPr>
              <w:t>包装</w:t>
            </w:r>
            <w:r>
              <w:rPr>
                <w:rFonts w:hint="default" w:ascii="Times New Roman" w:hAnsi="Times New Roman" w:eastAsia="宋体" w:cs="Times New Roman"/>
                <w:kern w:val="0"/>
                <w:sz w:val="24"/>
                <w:szCs w:val="24"/>
                <w:highlight w:val="none"/>
                <w:lang w:val="en-US" w:eastAsia="zh-CN" w:bidi="ar-SA"/>
              </w:rPr>
              <w:t>：将质检合格的陶瓷覆</w:t>
            </w:r>
            <w:r>
              <w:rPr>
                <w:rFonts w:hint="default" w:ascii="Times New Roman" w:hAnsi="Times New Roman" w:eastAsia="宋体" w:cs="Times New Roman"/>
                <w:kern w:val="0"/>
                <w:sz w:val="24"/>
                <w:szCs w:val="24"/>
                <w:lang w:val="en-US" w:eastAsia="zh-CN" w:bidi="ar-SA"/>
              </w:rPr>
              <w:t>铜板包装包装好后存入成品仓</w:t>
            </w:r>
          </w:p>
          <w:p>
            <w:pPr>
              <w:pStyle w:val="9"/>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left="0" w:leftChars="0" w:firstLine="0" w:firstLineChars="0"/>
              <w:textAlignment w:val="auto"/>
              <w:rPr>
                <w:rFonts w:hint="eastAsia" w:ascii="宋体" w:hAnsi="宋体" w:eastAsia="宋体" w:cs="宋体"/>
                <w:b/>
                <w:bCs/>
                <w:color w:val="000000"/>
                <w:kern w:val="0"/>
                <w:sz w:val="24"/>
                <w:szCs w:val="24"/>
                <w:lang w:val="en-US" w:eastAsia="zh-CN" w:bidi="ar"/>
              </w:rPr>
            </w:pPr>
            <w:r>
              <w:rPr>
                <w:rFonts w:hint="default" w:ascii="宋体" w:hAnsi="宋体" w:eastAsia="宋体" w:cs="宋体"/>
                <w:b/>
                <w:bCs/>
                <w:color w:val="000000"/>
                <w:kern w:val="0"/>
                <w:sz w:val="24"/>
                <w:szCs w:val="24"/>
                <w:u w:val="none" w:color="auto"/>
                <w:lang w:val="en-US" w:eastAsia="zh-CN" w:bidi="ar"/>
              </w:rPr>
              <w:t>2、</w:t>
            </w:r>
            <w:r>
              <w:rPr>
                <w:rFonts w:hint="eastAsia" w:ascii="宋体" w:hAnsi="宋体" w:eastAsia="宋体" w:cs="宋体"/>
                <w:b/>
                <w:bCs/>
                <w:color w:val="000000"/>
                <w:kern w:val="0"/>
                <w:sz w:val="24"/>
                <w:szCs w:val="24"/>
                <w:lang w:val="en-US" w:eastAsia="zh-CN" w:bidi="ar"/>
              </w:rPr>
              <w:t>项目重大变动情况</w:t>
            </w:r>
          </w:p>
          <w:p>
            <w:pPr>
              <w:pStyle w:val="9"/>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leftChars="0" w:firstLine="480" w:firstLineChars="200"/>
              <w:textAlignment w:val="auto"/>
              <w:rPr>
                <w:rFonts w:hint="eastAsia" w:ascii="宋体" w:hAnsi="宋体" w:eastAsia="宋体" w:cs="宋体"/>
                <w:b w:val="0"/>
                <w:bCs w:val="0"/>
                <w:lang w:val="en-US" w:eastAsia="zh-CN"/>
              </w:rPr>
            </w:pPr>
            <w:r>
              <w:rPr>
                <w:rFonts w:hint="eastAsia" w:ascii="宋体" w:hAnsi="宋体" w:eastAsia="宋体" w:cs="宋体"/>
                <w:b w:val="0"/>
                <w:bCs w:val="0"/>
                <w:lang w:val="en-US" w:eastAsia="zh-CN"/>
              </w:rPr>
              <w:t>《</w:t>
            </w:r>
            <w:r>
              <w:rPr>
                <w:rFonts w:hint="eastAsia" w:ascii="宋体" w:hAnsi="宋体" w:eastAsia="宋体" w:cs="宋体"/>
                <w:lang w:val="en-US" w:eastAsia="zh-CN"/>
              </w:rPr>
              <w:t>印</w:t>
            </w:r>
            <w:r>
              <w:rPr>
                <w:rFonts w:hint="eastAsia" w:ascii="宋体" w:hAnsi="宋体" w:eastAsia="宋体" w:cs="宋体"/>
                <w:b w:val="0"/>
                <w:bCs w:val="0"/>
                <w:lang w:val="en-US" w:eastAsia="zh-CN"/>
              </w:rPr>
              <w:t>发&lt;污染影响类建设项目重大变动清单（试行）&gt;的通知》（环办环评涵[2020]688号），对项目是否涉及重大变动判定如下：</w:t>
            </w:r>
          </w:p>
          <w:p>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215" w:leftChars="0"/>
              <w:jc w:val="center"/>
              <w:textAlignment w:val="auto"/>
              <w:rPr>
                <w:rFonts w:hint="default" w:ascii="Times New Roman" w:hAnsi="宋体" w:eastAsia="宋体" w:cs="Times New Roman"/>
                <w:b/>
                <w:bCs/>
                <w:kern w:val="2"/>
                <w:sz w:val="24"/>
                <w:szCs w:val="24"/>
                <w:lang w:val="en-US" w:eastAsia="zh-CN" w:bidi="ar-SA"/>
              </w:rPr>
            </w:pPr>
            <w:r>
              <w:rPr>
                <w:rFonts w:hint="eastAsia" w:ascii="Times New Roman" w:hAnsi="宋体" w:eastAsia="宋体" w:cs="Times New Roman"/>
                <w:b/>
                <w:bCs/>
                <w:kern w:val="2"/>
                <w:sz w:val="24"/>
                <w:szCs w:val="24"/>
                <w:lang w:val="en-US" w:eastAsia="zh-CN" w:bidi="ar-SA"/>
              </w:rPr>
              <w:t>表2.6 项目变动情况分析表</w:t>
            </w:r>
          </w:p>
          <w:tbl>
            <w:tblPr>
              <w:tblStyle w:val="15"/>
              <w:tblW w:w="81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4"/>
              <w:gridCol w:w="4350"/>
              <w:gridCol w:w="1894"/>
              <w:gridCol w:w="1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4914" w:type="dxa"/>
                  <w:gridSpan w:val="2"/>
                  <w:noWrap w:val="0"/>
                  <w:vAlign w:val="center"/>
                </w:tcPr>
                <w:p>
                  <w:pPr>
                    <w:keepNext w:val="0"/>
                    <w:keepLines w:val="0"/>
                    <w:pageBreakBefore w:val="0"/>
                    <w:widowControl w:val="0"/>
                    <w:kinsoku/>
                    <w:wordWrap/>
                    <w:overflowPunct w:val="0"/>
                    <w:topLinePunct w:val="0"/>
                    <w:autoSpaceDE/>
                    <w:autoSpaceDN/>
                    <w:bidi w:val="0"/>
                    <w:adjustRightInd/>
                    <w:snapToGrid w:val="0"/>
                    <w:spacing w:after="0" w:line="240" w:lineRule="auto"/>
                    <w:ind w:left="0" w:firstLine="0"/>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《关于印发&lt;污染影响类建设项目重大变动清单（试行）&gt;的通知》（环办环评函〔2020〕688号）中属于重大变动的规定内容</w:t>
                  </w:r>
                </w:p>
              </w:tc>
              <w:tc>
                <w:tcPr>
                  <w:tcW w:w="1894" w:type="dxa"/>
                  <w:noWrap w:val="0"/>
                  <w:vAlign w:val="center"/>
                </w:tcPr>
                <w:p>
                  <w:pPr>
                    <w:keepNext w:val="0"/>
                    <w:keepLines w:val="0"/>
                    <w:pageBreakBefore w:val="0"/>
                    <w:widowControl w:val="0"/>
                    <w:kinsoku/>
                    <w:wordWrap/>
                    <w:overflowPunct w:val="0"/>
                    <w:topLinePunct w:val="0"/>
                    <w:autoSpaceDE/>
                    <w:autoSpaceDN/>
                    <w:bidi w:val="0"/>
                    <w:adjustRightInd/>
                    <w:snapToGrid w:val="0"/>
                    <w:spacing w:after="0" w:line="240" w:lineRule="auto"/>
                    <w:ind w:left="0" w:firstLine="0"/>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本项目实际情况</w:t>
                  </w:r>
                </w:p>
              </w:tc>
              <w:tc>
                <w:tcPr>
                  <w:tcW w:w="1347" w:type="dxa"/>
                  <w:noWrap w:val="0"/>
                  <w:vAlign w:val="center"/>
                </w:tcPr>
                <w:p>
                  <w:pPr>
                    <w:keepNext w:val="0"/>
                    <w:keepLines w:val="0"/>
                    <w:pageBreakBefore w:val="0"/>
                    <w:widowControl w:val="0"/>
                    <w:kinsoku/>
                    <w:wordWrap/>
                    <w:overflowPunct w:val="0"/>
                    <w:topLinePunct w:val="0"/>
                    <w:autoSpaceDE/>
                    <w:autoSpaceDN/>
                    <w:bidi w:val="0"/>
                    <w:adjustRightInd/>
                    <w:snapToGrid w:val="0"/>
                    <w:spacing w:after="0" w:line="240" w:lineRule="auto"/>
                    <w:ind w:left="0" w:firstLine="0"/>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是否属于重大变动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564" w:type="dxa"/>
                  <w:noWrap w:val="0"/>
                  <w:vAlign w:val="center"/>
                </w:tcPr>
                <w:p>
                  <w:pPr>
                    <w:keepNext w:val="0"/>
                    <w:keepLines w:val="0"/>
                    <w:pageBreakBefore w:val="0"/>
                    <w:widowControl w:val="0"/>
                    <w:kinsoku/>
                    <w:wordWrap/>
                    <w:overflowPunct w:val="0"/>
                    <w:topLinePunct w:val="0"/>
                    <w:autoSpaceDE/>
                    <w:autoSpaceDN/>
                    <w:bidi w:val="0"/>
                    <w:adjustRightInd/>
                    <w:snapToGrid w:val="0"/>
                    <w:spacing w:after="0" w:line="240" w:lineRule="auto"/>
                    <w:ind w:left="0" w:firstLine="0"/>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性质</w:t>
                  </w:r>
                </w:p>
              </w:tc>
              <w:tc>
                <w:tcPr>
                  <w:tcW w:w="4350"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1、建设项目开发、使用功能发生变化的</w:t>
                  </w:r>
                </w:p>
              </w:tc>
              <w:tc>
                <w:tcPr>
                  <w:tcW w:w="1894"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本项目实际建设过程中开发使用功能未发生变化</w:t>
                  </w:r>
                </w:p>
              </w:tc>
              <w:tc>
                <w:tcPr>
                  <w:tcW w:w="1347"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564"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val="0"/>
                    <w:spacing w:after="0" w:line="240" w:lineRule="auto"/>
                    <w:ind w:left="0" w:firstLine="0"/>
                    <w:jc w:val="center"/>
                    <w:textAlignment w:val="auto"/>
                    <w:rPr>
                      <w:rFonts w:hint="default" w:ascii="Times New Roman" w:hAnsi="Times New Roman" w:eastAsia="宋体" w:cs="Times New Roman"/>
                      <w:b/>
                      <w:bCs/>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规模</w:t>
                  </w:r>
                </w:p>
              </w:tc>
              <w:tc>
                <w:tcPr>
                  <w:tcW w:w="4350"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2、生产、处置或储存能力增大30%及以上的</w:t>
                  </w:r>
                </w:p>
              </w:tc>
              <w:tc>
                <w:tcPr>
                  <w:tcW w:w="1894"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现阶段为阶段性建设，生产、处置或储存能力未发生增大</w:t>
                  </w:r>
                </w:p>
              </w:tc>
              <w:tc>
                <w:tcPr>
                  <w:tcW w:w="1347"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56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val="0"/>
                    <w:spacing w:after="0" w:line="240" w:lineRule="auto"/>
                    <w:ind w:left="0" w:firstLine="0"/>
                    <w:jc w:val="center"/>
                    <w:textAlignment w:val="auto"/>
                    <w:rPr>
                      <w:rFonts w:hint="default" w:ascii="Times New Roman" w:hAnsi="Times New Roman" w:eastAsia="宋体" w:cs="Times New Roman"/>
                      <w:b/>
                      <w:bCs/>
                      <w:color w:val="auto"/>
                      <w:sz w:val="21"/>
                      <w:szCs w:val="21"/>
                      <w:vertAlign w:val="baseline"/>
                      <w:lang w:val="en-US" w:eastAsia="zh-CN" w:bidi="ar-SA"/>
                    </w:rPr>
                  </w:pPr>
                </w:p>
              </w:tc>
              <w:tc>
                <w:tcPr>
                  <w:tcW w:w="4350"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3、生产、处置或储存能力增大，导致废水第一类污染物排放量增加的</w:t>
                  </w:r>
                </w:p>
              </w:tc>
              <w:tc>
                <w:tcPr>
                  <w:tcW w:w="1894"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不涉及第一类污染物排放</w:t>
                  </w:r>
                </w:p>
              </w:tc>
              <w:tc>
                <w:tcPr>
                  <w:tcW w:w="1347"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56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val="0"/>
                    <w:spacing w:after="0" w:line="240" w:lineRule="auto"/>
                    <w:ind w:left="0" w:firstLine="0"/>
                    <w:jc w:val="center"/>
                    <w:textAlignment w:val="auto"/>
                    <w:rPr>
                      <w:rFonts w:hint="default" w:ascii="Times New Roman" w:hAnsi="Times New Roman" w:eastAsia="宋体" w:cs="Times New Roman"/>
                      <w:b/>
                      <w:bCs/>
                      <w:color w:val="auto"/>
                      <w:sz w:val="21"/>
                      <w:szCs w:val="21"/>
                      <w:vertAlign w:val="baseline"/>
                      <w:lang w:val="en-US" w:eastAsia="zh-CN" w:bidi="ar-SA"/>
                    </w:rPr>
                  </w:pPr>
                </w:p>
              </w:tc>
              <w:tc>
                <w:tcPr>
                  <w:tcW w:w="4350"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4、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10%及以上的</w:t>
                  </w:r>
                </w:p>
              </w:tc>
              <w:tc>
                <w:tcPr>
                  <w:tcW w:w="1894"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本项目属于环境质量达标区，项目生产、处置或储存能力未增大</w:t>
                  </w:r>
                </w:p>
              </w:tc>
              <w:tc>
                <w:tcPr>
                  <w:tcW w:w="1347"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564" w:type="dxa"/>
                  <w:noWrap w:val="0"/>
                  <w:vAlign w:val="center"/>
                </w:tcPr>
                <w:p>
                  <w:pPr>
                    <w:keepNext w:val="0"/>
                    <w:keepLines w:val="0"/>
                    <w:pageBreakBefore w:val="0"/>
                    <w:widowControl w:val="0"/>
                    <w:kinsoku/>
                    <w:wordWrap/>
                    <w:overflowPunct w:val="0"/>
                    <w:topLinePunct w:val="0"/>
                    <w:autoSpaceDE/>
                    <w:autoSpaceDN/>
                    <w:bidi w:val="0"/>
                    <w:adjustRightInd/>
                    <w:snapToGrid w:val="0"/>
                    <w:spacing w:after="0" w:line="240" w:lineRule="auto"/>
                    <w:ind w:left="0" w:firstLine="0"/>
                    <w:jc w:val="center"/>
                    <w:textAlignment w:val="auto"/>
                    <w:rPr>
                      <w:rFonts w:hint="default" w:ascii="Times New Roman" w:hAnsi="Times New Roman" w:eastAsia="宋体" w:cs="Times New Roman"/>
                      <w:b/>
                      <w:bCs/>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地点</w:t>
                  </w:r>
                </w:p>
              </w:tc>
              <w:tc>
                <w:tcPr>
                  <w:tcW w:w="4350"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5、重新选址；在原厂址附近调整（包括总平面布置变化）导致环境防护距离范围变化且新增敏感点的</w:t>
                  </w:r>
                </w:p>
              </w:tc>
              <w:tc>
                <w:tcPr>
                  <w:tcW w:w="1894"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项目选址于</w:t>
                  </w:r>
                </w:p>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环评批复一致</w:t>
                  </w:r>
                </w:p>
              </w:tc>
              <w:tc>
                <w:tcPr>
                  <w:tcW w:w="1347"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564"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val="0"/>
                    <w:spacing w:after="0" w:line="240" w:lineRule="auto"/>
                    <w:ind w:left="0" w:firstLine="0"/>
                    <w:jc w:val="center"/>
                    <w:textAlignment w:val="auto"/>
                    <w:rPr>
                      <w:rFonts w:hint="default" w:ascii="Times New Roman" w:hAnsi="Times New Roman" w:eastAsia="宋体" w:cs="Times New Roman"/>
                      <w:b/>
                      <w:bCs/>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生产工艺</w:t>
                  </w:r>
                </w:p>
              </w:tc>
              <w:tc>
                <w:tcPr>
                  <w:tcW w:w="4350"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left"/>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6、新增产品品种或生产工艺（含主要生产装置、设备及配套设施）、主要原辅材料、燃料变化，导致以下情形之一：</w:t>
                  </w:r>
                </w:p>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left"/>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（1）新增排放污染物种类的（毒性、挥发性降低的除外）；</w:t>
                  </w:r>
                </w:p>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left"/>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（2）位于环境质量不达标区的建设项目相应污染物排放量增加的；</w:t>
                  </w:r>
                </w:p>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left"/>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（3）废水第一类污染物排放量增加的；</w:t>
                  </w:r>
                </w:p>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left"/>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（4）其他污染物排放量增加10%及以上的</w:t>
                  </w:r>
                </w:p>
              </w:tc>
              <w:tc>
                <w:tcPr>
                  <w:tcW w:w="1894"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现阶段为阶段性建设，生产工艺与环评一致，未新增产品品种和生产工艺</w:t>
                  </w:r>
                </w:p>
              </w:tc>
              <w:tc>
                <w:tcPr>
                  <w:tcW w:w="1347"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41" w:hRule="atLeast"/>
                <w:jc w:val="center"/>
              </w:trPr>
              <w:tc>
                <w:tcPr>
                  <w:tcW w:w="56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val="0"/>
                    <w:spacing w:after="0" w:line="240" w:lineRule="auto"/>
                    <w:ind w:left="0" w:firstLine="0"/>
                    <w:jc w:val="center"/>
                    <w:textAlignment w:val="auto"/>
                    <w:rPr>
                      <w:rFonts w:hint="default" w:ascii="Times New Roman" w:hAnsi="Times New Roman" w:eastAsia="宋体" w:cs="Times New Roman"/>
                      <w:b/>
                      <w:bCs/>
                      <w:color w:val="auto"/>
                      <w:sz w:val="21"/>
                      <w:szCs w:val="21"/>
                      <w:vertAlign w:val="baseline"/>
                      <w:lang w:val="en-US" w:eastAsia="zh-CN" w:bidi="ar-SA"/>
                    </w:rPr>
                  </w:pPr>
                </w:p>
              </w:tc>
              <w:tc>
                <w:tcPr>
                  <w:tcW w:w="4350"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left"/>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7、物料运输、装卸、贮存方式变化，导致大气污染物无组织排放量增加10%及以上的</w:t>
                  </w:r>
                </w:p>
              </w:tc>
              <w:tc>
                <w:tcPr>
                  <w:tcW w:w="1894"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物料运输、装卸、</w:t>
                  </w:r>
                </w:p>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贮存方式不变</w:t>
                  </w:r>
                </w:p>
              </w:tc>
              <w:tc>
                <w:tcPr>
                  <w:tcW w:w="1347"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564"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val="0"/>
                    <w:spacing w:after="0" w:line="240" w:lineRule="auto"/>
                    <w:ind w:left="0" w:firstLine="0"/>
                    <w:jc w:val="center"/>
                    <w:textAlignment w:val="auto"/>
                    <w:rPr>
                      <w:rFonts w:hint="default" w:ascii="Times New Roman" w:hAnsi="Times New Roman" w:eastAsia="宋体" w:cs="Times New Roman"/>
                      <w:b/>
                      <w:bCs/>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环境保护措施</w:t>
                  </w:r>
                </w:p>
              </w:tc>
              <w:tc>
                <w:tcPr>
                  <w:tcW w:w="4350"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left"/>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8、废气、废水污染防治措施变化，导致第6条中所列情形之一（废气无组织排放改为有组织排放、污染防治措施强化或改进的除外）或大气污染物无组织排放量增加10%及以上的</w:t>
                  </w:r>
                </w:p>
              </w:tc>
              <w:tc>
                <w:tcPr>
                  <w:tcW w:w="1894"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废气、废水污染</w:t>
                  </w:r>
                </w:p>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防治措施未变化</w:t>
                  </w:r>
                </w:p>
              </w:tc>
              <w:tc>
                <w:tcPr>
                  <w:tcW w:w="1347"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56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val="0"/>
                    <w:spacing w:after="0" w:line="240" w:lineRule="auto"/>
                    <w:ind w:left="0" w:firstLine="0"/>
                    <w:jc w:val="center"/>
                    <w:textAlignment w:val="auto"/>
                    <w:rPr>
                      <w:rFonts w:hint="default" w:ascii="Times New Roman" w:hAnsi="Times New Roman" w:eastAsia="宋体" w:cs="Times New Roman"/>
                      <w:b/>
                      <w:bCs/>
                      <w:color w:val="auto"/>
                      <w:sz w:val="21"/>
                      <w:szCs w:val="21"/>
                      <w:vertAlign w:val="baseline"/>
                      <w:lang w:val="en-US" w:eastAsia="zh-CN" w:bidi="ar-SA"/>
                    </w:rPr>
                  </w:pPr>
                </w:p>
              </w:tc>
              <w:tc>
                <w:tcPr>
                  <w:tcW w:w="4350"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left"/>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9、新增废水直接排放口；废水由间接排放改为直接排放；废水直接排放口位置变化，导致不利环境影响加重的</w:t>
                  </w:r>
                </w:p>
              </w:tc>
              <w:tc>
                <w:tcPr>
                  <w:tcW w:w="1894"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不涉及废水</w:t>
                  </w:r>
                </w:p>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直接排放口</w:t>
                  </w:r>
                </w:p>
              </w:tc>
              <w:tc>
                <w:tcPr>
                  <w:tcW w:w="1347"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56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val="0"/>
                    <w:spacing w:after="0" w:line="240" w:lineRule="auto"/>
                    <w:ind w:left="0" w:firstLine="0"/>
                    <w:jc w:val="center"/>
                    <w:textAlignment w:val="auto"/>
                    <w:rPr>
                      <w:rFonts w:hint="default" w:ascii="Times New Roman" w:hAnsi="Times New Roman" w:eastAsia="宋体" w:cs="Times New Roman"/>
                      <w:b/>
                      <w:bCs/>
                      <w:color w:val="auto"/>
                      <w:sz w:val="21"/>
                      <w:szCs w:val="21"/>
                      <w:vertAlign w:val="baseline"/>
                      <w:lang w:val="en-US" w:eastAsia="zh-CN" w:bidi="ar-SA"/>
                    </w:rPr>
                  </w:pPr>
                </w:p>
              </w:tc>
              <w:tc>
                <w:tcPr>
                  <w:tcW w:w="4350"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left"/>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10、新增废气主要排放口（废气无组织排放改为有组织排放的除外）；主要排放口排气筒高度降低10%及以上的</w:t>
                  </w:r>
                </w:p>
              </w:tc>
              <w:tc>
                <w:tcPr>
                  <w:tcW w:w="1894"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未新增废气</w:t>
                  </w:r>
                </w:p>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主要排放口</w:t>
                  </w:r>
                </w:p>
              </w:tc>
              <w:tc>
                <w:tcPr>
                  <w:tcW w:w="1347"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56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val="0"/>
                    <w:spacing w:after="0" w:line="240" w:lineRule="auto"/>
                    <w:ind w:left="0" w:firstLine="0"/>
                    <w:jc w:val="center"/>
                    <w:textAlignment w:val="auto"/>
                    <w:rPr>
                      <w:rFonts w:hint="default" w:ascii="Times New Roman" w:hAnsi="Times New Roman" w:eastAsia="宋体" w:cs="Times New Roman"/>
                      <w:b/>
                      <w:bCs/>
                      <w:color w:val="auto"/>
                      <w:sz w:val="21"/>
                      <w:szCs w:val="21"/>
                      <w:vertAlign w:val="baseline"/>
                      <w:lang w:val="en-US" w:eastAsia="zh-CN" w:bidi="ar-SA"/>
                    </w:rPr>
                  </w:pPr>
                </w:p>
              </w:tc>
              <w:tc>
                <w:tcPr>
                  <w:tcW w:w="4350"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left"/>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11、噪声、土壤或地下水污染防治措施变化，导致不利环境影响加重的</w:t>
                  </w:r>
                </w:p>
              </w:tc>
              <w:tc>
                <w:tcPr>
                  <w:tcW w:w="1894"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未发生变化</w:t>
                  </w:r>
                </w:p>
              </w:tc>
              <w:tc>
                <w:tcPr>
                  <w:tcW w:w="1347"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56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val="0"/>
                    <w:spacing w:after="0" w:line="240" w:lineRule="auto"/>
                    <w:ind w:left="0" w:firstLine="0"/>
                    <w:jc w:val="center"/>
                    <w:textAlignment w:val="auto"/>
                    <w:rPr>
                      <w:rFonts w:hint="default" w:ascii="Times New Roman" w:hAnsi="Times New Roman" w:eastAsia="宋体" w:cs="Times New Roman"/>
                      <w:b/>
                      <w:bCs/>
                      <w:color w:val="auto"/>
                      <w:sz w:val="21"/>
                      <w:szCs w:val="21"/>
                      <w:vertAlign w:val="baseline"/>
                      <w:lang w:val="en-US" w:eastAsia="zh-CN" w:bidi="ar-SA"/>
                    </w:rPr>
                  </w:pPr>
                </w:p>
              </w:tc>
              <w:tc>
                <w:tcPr>
                  <w:tcW w:w="4350"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left"/>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12、固体废物利用处置方式由委托外单位利用处置改为自行利用处置的（自行利用处置设施单独开展环境影响评价的除外）；固体废物自行处置方式变化，导致不利环境影响加重的</w:t>
                  </w:r>
                </w:p>
              </w:tc>
              <w:tc>
                <w:tcPr>
                  <w:tcW w:w="1894"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未发生变化，与环评批复一致</w:t>
                  </w:r>
                </w:p>
              </w:tc>
              <w:tc>
                <w:tcPr>
                  <w:tcW w:w="1347"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56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val="0"/>
                    <w:spacing w:after="0" w:line="240" w:lineRule="auto"/>
                    <w:ind w:left="0" w:firstLine="0"/>
                    <w:jc w:val="center"/>
                    <w:textAlignment w:val="auto"/>
                    <w:rPr>
                      <w:rFonts w:hint="default" w:ascii="Times New Roman" w:hAnsi="Times New Roman" w:eastAsia="宋体" w:cs="Times New Roman"/>
                      <w:b/>
                      <w:bCs/>
                      <w:color w:val="auto"/>
                      <w:sz w:val="21"/>
                      <w:szCs w:val="21"/>
                      <w:vertAlign w:val="baseline"/>
                      <w:lang w:val="en-US" w:eastAsia="zh-CN" w:bidi="ar-SA"/>
                    </w:rPr>
                  </w:pPr>
                </w:p>
              </w:tc>
              <w:tc>
                <w:tcPr>
                  <w:tcW w:w="4350"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left"/>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13、事故废水暂存能力或拦截设施变化，导致环境风险防范能力弱化或降低的</w:t>
                  </w:r>
                </w:p>
              </w:tc>
              <w:tc>
                <w:tcPr>
                  <w:tcW w:w="1894"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未发生变化</w:t>
                  </w:r>
                </w:p>
              </w:tc>
              <w:tc>
                <w:tcPr>
                  <w:tcW w:w="1347"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不属于</w:t>
                  </w:r>
                </w:p>
              </w:tc>
            </w:tr>
          </w:tbl>
          <w:p>
            <w:pPr>
              <w:numPr>
                <w:ilvl w:val="0"/>
                <w:numId w:val="0"/>
              </w:numPr>
              <w:spacing w:after="0" w:line="480" w:lineRule="exact"/>
              <w:ind w:firstLine="480" w:firstLineChars="200"/>
              <w:rPr>
                <w:rFonts w:hint="eastAsia" w:ascii="Times New Roman" w:hAnsi="Times New Roman" w:cs="Times New Roman" w:eastAsiaTheme="minorEastAsia"/>
                <w:sz w:val="24"/>
                <w:szCs w:val="24"/>
                <w:lang w:val="en-US" w:eastAsia="zh-CN"/>
              </w:rPr>
            </w:pPr>
          </w:p>
          <w:p>
            <w:pPr>
              <w:numPr>
                <w:ilvl w:val="0"/>
                <w:numId w:val="0"/>
              </w:numPr>
              <w:spacing w:after="0" w:line="480" w:lineRule="exact"/>
              <w:ind w:firstLine="480" w:firstLineChars="200"/>
              <w:rPr>
                <w:rFonts w:hint="eastAsia" w:ascii="Times New Roman" w:hAnsi="Times New Roman" w:cs="Times New Roman" w:eastAsiaTheme="minorEastAsia"/>
                <w:sz w:val="24"/>
                <w:szCs w:val="24"/>
                <w:lang w:val="en-US" w:eastAsia="zh-CN"/>
              </w:rPr>
            </w:pPr>
          </w:p>
          <w:p>
            <w:pPr>
              <w:numPr>
                <w:ilvl w:val="0"/>
                <w:numId w:val="0"/>
              </w:numPr>
              <w:spacing w:after="0" w:line="480" w:lineRule="exact"/>
              <w:ind w:firstLine="480" w:firstLineChars="200"/>
              <w:rPr>
                <w:rFonts w:hint="eastAsia" w:ascii="Times New Roman" w:hAnsi="Times New Roman" w:cs="Times New Roman" w:eastAsiaTheme="minorEastAsia"/>
                <w:sz w:val="24"/>
                <w:szCs w:val="24"/>
                <w:lang w:val="en-US" w:eastAsia="zh-CN"/>
              </w:rPr>
            </w:pPr>
          </w:p>
          <w:p>
            <w:pPr>
              <w:numPr>
                <w:ilvl w:val="0"/>
                <w:numId w:val="0"/>
              </w:numPr>
              <w:spacing w:after="0" w:line="480" w:lineRule="exact"/>
              <w:ind w:firstLine="480" w:firstLineChars="200"/>
              <w:rPr>
                <w:rFonts w:hint="eastAsia" w:ascii="Times New Roman" w:hAnsi="Times New Roman" w:cs="Times New Roman" w:eastAsiaTheme="minorEastAsia"/>
                <w:sz w:val="24"/>
                <w:szCs w:val="24"/>
                <w:lang w:val="en-US" w:eastAsia="zh-CN"/>
              </w:rPr>
            </w:pPr>
          </w:p>
          <w:p>
            <w:pPr>
              <w:numPr>
                <w:ilvl w:val="0"/>
                <w:numId w:val="0"/>
              </w:numPr>
              <w:spacing w:after="0" w:line="480" w:lineRule="exact"/>
              <w:rPr>
                <w:rFonts w:hint="eastAsia" w:ascii="Times New Roman" w:hAnsi="Times New Roman" w:cs="Times New Roman" w:eastAsiaTheme="minorEastAsia"/>
                <w:sz w:val="24"/>
                <w:szCs w:val="24"/>
                <w:lang w:val="en-US" w:eastAsia="zh-CN"/>
              </w:rPr>
            </w:pPr>
          </w:p>
          <w:p>
            <w:pPr>
              <w:numPr>
                <w:ilvl w:val="0"/>
                <w:numId w:val="0"/>
              </w:numPr>
              <w:spacing w:after="0" w:line="480" w:lineRule="exact"/>
              <w:rPr>
                <w:rFonts w:hint="eastAsia" w:ascii="Times New Roman" w:hAnsi="Times New Roman" w:cs="Times New Roman" w:eastAsiaTheme="minorEastAsia"/>
                <w:sz w:val="24"/>
                <w:szCs w:val="24"/>
                <w:lang w:val="en-US" w:eastAsia="zh-CN"/>
              </w:rPr>
            </w:pPr>
          </w:p>
          <w:p>
            <w:pPr>
              <w:numPr>
                <w:ilvl w:val="0"/>
                <w:numId w:val="0"/>
              </w:numPr>
              <w:spacing w:after="0" w:line="480" w:lineRule="exact"/>
              <w:rPr>
                <w:rFonts w:hint="default" w:ascii="Times New Roman" w:hAnsi="Times New Roman" w:cs="Times New Roman" w:eastAsiaTheme="minorEastAsia"/>
                <w:sz w:val="24"/>
                <w:szCs w:val="24"/>
                <w:lang w:val="en-US" w:eastAsia="zh-CN"/>
              </w:rPr>
            </w:pPr>
          </w:p>
        </w:tc>
      </w:tr>
    </w:tbl>
    <w:p>
      <w:pPr>
        <w:pStyle w:val="9"/>
        <w:sectPr>
          <w:footerReference r:id="rId10" w:type="default"/>
          <w:pgSz w:w="11906" w:h="16838"/>
          <w:pgMar w:top="1440" w:right="1800" w:bottom="1440" w:left="1800" w:header="851" w:footer="992" w:gutter="0"/>
          <w:cols w:space="425" w:num="1"/>
          <w:docGrid w:type="lines" w:linePitch="312" w:charSpace="0"/>
        </w:sectPr>
      </w:pPr>
    </w:p>
    <w:p>
      <w:pPr>
        <w:spacing w:after="0"/>
        <w:rPr>
          <w:rFonts w:hint="eastAsia" w:ascii="宋体" w:hAnsi="宋体" w:eastAsia="宋体" w:cs="宋体"/>
          <w:b/>
          <w:bCs/>
          <w:sz w:val="28"/>
          <w:szCs w:val="28"/>
        </w:rPr>
      </w:pPr>
      <w:r>
        <w:rPr>
          <w:rFonts w:hint="eastAsia" w:ascii="宋体" w:hAnsi="宋体" w:eastAsia="宋体" w:cs="宋体"/>
          <w:b/>
          <w:bCs/>
          <w:sz w:val="28"/>
          <w:szCs w:val="28"/>
        </w:rPr>
        <w:t>表三</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22" w:type="dxa"/>
          </w:tcPr>
          <w:p>
            <w:pPr>
              <w:keepNext w:val="0"/>
              <w:keepLines w:val="0"/>
              <w:pageBreakBefore w:val="0"/>
              <w:widowControl/>
              <w:tabs>
                <w:tab w:val="left" w:pos="900"/>
              </w:tabs>
              <w:kinsoku/>
              <w:wordWrap/>
              <w:overflowPunct/>
              <w:topLinePunct w:val="0"/>
              <w:autoSpaceDE/>
              <w:autoSpaceDN/>
              <w:bidi w:val="0"/>
              <w:adjustRightInd w:val="0"/>
              <w:snapToGrid w:val="0"/>
              <w:spacing w:after="0" w:line="360" w:lineRule="auto"/>
              <w:ind w:firstLine="0" w:firstLineChars="0"/>
              <w:textAlignment w:val="baseline"/>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t>环境保护设施</w:t>
            </w:r>
          </w:p>
          <w:p>
            <w:pPr>
              <w:keepNext w:val="0"/>
              <w:keepLines w:val="0"/>
              <w:pageBreakBefore w:val="0"/>
              <w:widowControl/>
              <w:numPr>
                <w:ilvl w:val="0"/>
                <w:numId w:val="0"/>
              </w:numPr>
              <w:tabs>
                <w:tab w:val="left" w:pos="900"/>
              </w:tabs>
              <w:kinsoku/>
              <w:wordWrap/>
              <w:overflowPunct/>
              <w:topLinePunct w:val="0"/>
              <w:autoSpaceDE/>
              <w:autoSpaceDN/>
              <w:bidi w:val="0"/>
              <w:adjustRightInd w:val="0"/>
              <w:snapToGrid w:val="0"/>
              <w:spacing w:after="0" w:line="360" w:lineRule="auto"/>
              <w:ind w:firstLine="0" w:firstLineChars="0"/>
              <w:textAlignment w:val="baseline"/>
              <w:rPr>
                <w:rFonts w:hint="default" w:ascii="Times New Roman" w:hAnsi="Times New Roman" w:eastAsia="宋体" w:cs="Times New Roman"/>
                <w:b/>
                <w:sz w:val="24"/>
                <w:szCs w:val="24"/>
                <w:lang w:val="en-US" w:eastAsia="zh-CN"/>
              </w:rPr>
            </w:pPr>
            <w:r>
              <w:rPr>
                <w:rFonts w:hint="default" w:ascii="Times New Roman" w:hAnsi="Times New Roman" w:eastAsia="宋体" w:cs="Times New Roman"/>
                <w:b/>
                <w:sz w:val="24"/>
                <w:szCs w:val="24"/>
                <w:lang w:val="en-US" w:eastAsia="zh-CN" w:bidi="ar-SA"/>
              </w:rPr>
              <w:t>1、</w:t>
            </w:r>
            <w:r>
              <w:rPr>
                <w:rFonts w:hint="default" w:ascii="Times New Roman" w:hAnsi="Times New Roman" w:eastAsia="宋体" w:cs="Times New Roman"/>
                <w:b/>
                <w:sz w:val="24"/>
                <w:szCs w:val="24"/>
              </w:rPr>
              <w:t>废气</w:t>
            </w:r>
            <w:r>
              <w:rPr>
                <w:rFonts w:hint="default" w:ascii="Times New Roman" w:hAnsi="Times New Roman" w:eastAsia="宋体" w:cs="Times New Roman"/>
                <w:b/>
                <w:sz w:val="24"/>
                <w:szCs w:val="24"/>
                <w:lang w:val="en-US" w:eastAsia="zh-CN"/>
              </w:rPr>
              <w:t>污染治理/处置设施分析</w:t>
            </w:r>
          </w:p>
          <w:p>
            <w:pPr>
              <w:keepNext w:val="0"/>
              <w:keepLines w:val="0"/>
              <w:pageBreakBefore w:val="0"/>
              <w:widowControl/>
              <w:numPr>
                <w:ilvl w:val="0"/>
                <w:numId w:val="0"/>
              </w:numPr>
              <w:tabs>
                <w:tab w:val="left" w:pos="900"/>
              </w:tabs>
              <w:kinsoku/>
              <w:wordWrap/>
              <w:overflowPunct/>
              <w:topLinePunct w:val="0"/>
              <w:autoSpaceDE/>
              <w:autoSpaceDN/>
              <w:bidi w:val="0"/>
              <w:adjustRightInd w:val="0"/>
              <w:snapToGrid w:val="0"/>
              <w:spacing w:after="0" w:line="360" w:lineRule="auto"/>
              <w:ind w:firstLine="480" w:firstLineChars="200"/>
              <w:textAlignment w:val="baseline"/>
              <w:rPr>
                <w:rFonts w:hint="default" w:ascii="Times New Roman" w:hAnsi="Times New Roman" w:eastAsia="宋体" w:cs="Times New Roman"/>
                <w:b/>
                <w:sz w:val="24"/>
                <w:szCs w:val="24"/>
                <w:lang w:val="en-US" w:eastAsia="zh-CN"/>
              </w:rPr>
            </w:pPr>
            <w:r>
              <w:rPr>
                <w:rFonts w:hint="default" w:ascii="Times New Roman" w:hAnsi="Times New Roman" w:eastAsia="宋体" w:cs="Times New Roman"/>
                <w:color w:val="auto"/>
                <w:sz w:val="24"/>
                <w:szCs w:val="24"/>
                <w:highlight w:val="none"/>
                <w:lang w:val="en-US" w:eastAsia="zh-CN"/>
              </w:rPr>
              <w:t>本项目仅做陶瓷覆铜板生产的烧结工序，烧结工序不产生废气，故不对运营期的废气做废气污染治理/处置设施分析</w:t>
            </w:r>
            <w:r>
              <w:rPr>
                <w:rFonts w:hint="default" w:ascii="Times New Roman" w:hAnsi="Times New Roman" w:eastAsia="宋体" w:cs="Times New Roman"/>
                <w:b w:val="0"/>
                <w:bCs/>
                <w:sz w:val="24"/>
                <w:szCs w:val="24"/>
                <w:lang w:val="en-US" w:eastAsia="zh-CN"/>
              </w:rPr>
              <w:t>。</w:t>
            </w:r>
          </w:p>
          <w:p>
            <w:pPr>
              <w:keepNext w:val="0"/>
              <w:keepLines w:val="0"/>
              <w:pageBreakBefore w:val="0"/>
              <w:widowControl/>
              <w:tabs>
                <w:tab w:val="left" w:pos="900"/>
              </w:tabs>
              <w:kinsoku/>
              <w:wordWrap/>
              <w:overflowPunct/>
              <w:topLinePunct w:val="0"/>
              <w:autoSpaceDE/>
              <w:autoSpaceDN/>
              <w:bidi w:val="0"/>
              <w:adjustRightInd w:val="0"/>
              <w:snapToGrid w:val="0"/>
              <w:spacing w:after="0" w:line="360" w:lineRule="auto"/>
              <w:ind w:firstLine="0" w:firstLineChars="0"/>
              <w:textAlignment w:val="baseline"/>
              <w:rPr>
                <w:rFonts w:hint="default" w:ascii="Times New Roman" w:hAnsi="Times New Roman" w:eastAsia="宋体" w:cs="Times New Roman"/>
                <w:b/>
                <w:sz w:val="24"/>
                <w:szCs w:val="24"/>
                <w:lang w:val="en-US" w:eastAsia="zh-CN"/>
              </w:rPr>
            </w:pPr>
            <w:r>
              <w:rPr>
                <w:rFonts w:hint="default" w:ascii="Times New Roman" w:hAnsi="Times New Roman" w:eastAsia="宋体" w:cs="Times New Roman"/>
                <w:b/>
                <w:sz w:val="24"/>
                <w:szCs w:val="24"/>
                <w:lang w:val="en-US" w:eastAsia="zh-CN"/>
              </w:rPr>
              <w:t>2</w:t>
            </w:r>
            <w:r>
              <w:rPr>
                <w:rFonts w:hint="default" w:ascii="Times New Roman" w:hAnsi="Times New Roman" w:eastAsia="宋体" w:cs="Times New Roman"/>
                <w:b/>
                <w:sz w:val="24"/>
                <w:szCs w:val="24"/>
              </w:rPr>
              <w:t>、废水</w:t>
            </w:r>
            <w:r>
              <w:rPr>
                <w:rFonts w:hint="default" w:ascii="Times New Roman" w:hAnsi="Times New Roman" w:eastAsia="宋体" w:cs="Times New Roman"/>
                <w:b/>
                <w:sz w:val="24"/>
                <w:szCs w:val="24"/>
                <w:lang w:val="en-US" w:eastAsia="zh-CN"/>
              </w:rPr>
              <w:t>污染物治理/处置设施分析</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项目无生产废水，</w:t>
            </w:r>
            <w:r>
              <w:rPr>
                <w:rFonts w:hint="default" w:ascii="Times New Roman" w:hAnsi="Times New Roman" w:eastAsia="宋体" w:cs="Times New Roman"/>
                <w:sz w:val="24"/>
                <w:szCs w:val="24"/>
                <w:lang w:val="en-US" w:eastAsia="zh-CN"/>
              </w:rPr>
              <w:t>废水</w:t>
            </w:r>
            <w:r>
              <w:rPr>
                <w:rFonts w:hint="eastAsia" w:ascii="Times New Roman" w:hAnsi="Times New Roman" w:eastAsia="宋体" w:cs="Times New Roman"/>
                <w:sz w:val="24"/>
                <w:szCs w:val="24"/>
                <w:lang w:val="en-US" w:eastAsia="zh-CN"/>
              </w:rPr>
              <w:t>均</w:t>
            </w:r>
            <w:r>
              <w:rPr>
                <w:rFonts w:hint="default" w:ascii="Times New Roman" w:hAnsi="Times New Roman" w:eastAsia="宋体" w:cs="Times New Roman"/>
                <w:sz w:val="24"/>
                <w:szCs w:val="24"/>
                <w:lang w:val="en-US" w:eastAsia="zh-CN"/>
              </w:rPr>
              <w:t>为生活污水。</w:t>
            </w:r>
          </w:p>
          <w:p>
            <w:pPr>
              <w:widowControl w:val="0"/>
              <w:adjustRightInd/>
              <w:snapToGrid/>
              <w:spacing w:after="0" w:line="240" w:lineRule="auto"/>
              <w:ind w:left="215"/>
              <w:jc w:val="center"/>
              <w:rPr>
                <w:rFonts w:hint="default" w:ascii="宋体" w:hAnsi="宋体" w:eastAsia="宋体" w:cs="宋体"/>
                <w:b/>
                <w:bCs/>
                <w:kern w:val="2"/>
                <w:sz w:val="24"/>
                <w:szCs w:val="24"/>
                <w:lang w:val="en-US" w:eastAsia="zh-CN" w:bidi="ar-SA"/>
              </w:rPr>
            </w:pPr>
            <w:r>
              <w:rPr>
                <w:rFonts w:hint="eastAsia" w:asciiTheme="minorEastAsia" w:hAnsiTheme="minorEastAsia" w:eastAsiaTheme="minorEastAsia" w:cstheme="minorEastAsia"/>
                <w:b/>
                <w:bCs/>
                <w:kern w:val="2"/>
                <w:sz w:val="24"/>
                <w:szCs w:val="24"/>
                <w:lang w:val="en-US" w:eastAsia="zh-CN" w:bidi="ar-SA"/>
              </w:rPr>
              <w:t>表3.1 废水污染物情况一览表</w:t>
            </w:r>
          </w:p>
          <w:tbl>
            <w:tblPr>
              <w:tblStyle w:val="15"/>
              <w:tblW w:w="8359" w:type="dxa"/>
              <w:tblInd w:w="-6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7"/>
              <w:gridCol w:w="413"/>
              <w:gridCol w:w="1212"/>
              <w:gridCol w:w="713"/>
              <w:gridCol w:w="675"/>
              <w:gridCol w:w="687"/>
              <w:gridCol w:w="638"/>
              <w:gridCol w:w="650"/>
              <w:gridCol w:w="662"/>
              <w:gridCol w:w="888"/>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0" w:type="pct"/>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default" w:ascii="Times New Roman" w:hAnsi="Times New Roman" w:eastAsia="宋体" w:cs="Times New Roman"/>
                      <w:b w:val="0"/>
                      <w:bCs/>
                      <w:color w:val="auto"/>
                      <w:sz w:val="21"/>
                      <w:szCs w:val="21"/>
                      <w:vertAlign w:val="baseline"/>
                      <w:lang w:val="en-US" w:eastAsia="zh-CN" w:bidi="ar-SA"/>
                    </w:rPr>
                    <w:t>废水类别</w:t>
                  </w:r>
                </w:p>
              </w:tc>
              <w:tc>
                <w:tcPr>
                  <w:tcW w:w="247" w:type="pct"/>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default" w:ascii="Times New Roman" w:hAnsi="Times New Roman" w:eastAsia="宋体" w:cs="Times New Roman"/>
                      <w:b w:val="0"/>
                      <w:bCs/>
                      <w:color w:val="auto"/>
                      <w:sz w:val="21"/>
                      <w:szCs w:val="21"/>
                      <w:vertAlign w:val="baseline"/>
                      <w:lang w:val="en-US" w:eastAsia="zh-CN" w:bidi="ar-SA"/>
                    </w:rPr>
                    <w:t>来源</w:t>
                  </w:r>
                </w:p>
              </w:tc>
              <w:tc>
                <w:tcPr>
                  <w:tcW w:w="724" w:type="pct"/>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default" w:ascii="Times New Roman" w:hAnsi="Times New Roman" w:eastAsia="宋体" w:cs="Times New Roman"/>
                      <w:b w:val="0"/>
                      <w:bCs/>
                      <w:color w:val="auto"/>
                      <w:sz w:val="21"/>
                      <w:szCs w:val="21"/>
                      <w:vertAlign w:val="baseline"/>
                      <w:lang w:val="en-US" w:eastAsia="zh-CN" w:bidi="ar-SA"/>
                    </w:rPr>
                    <w:t>污染物种类</w:t>
                  </w:r>
                </w:p>
              </w:tc>
              <w:tc>
                <w:tcPr>
                  <w:tcW w:w="426" w:type="pct"/>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default" w:ascii="Times New Roman" w:hAnsi="Times New Roman" w:eastAsia="宋体" w:cs="Times New Roman"/>
                      <w:b w:val="0"/>
                      <w:bCs/>
                      <w:color w:val="auto"/>
                      <w:sz w:val="21"/>
                      <w:szCs w:val="21"/>
                      <w:vertAlign w:val="baseline"/>
                      <w:lang w:val="en-US" w:eastAsia="zh-CN" w:bidi="ar-SA"/>
                    </w:rPr>
                    <w:t>排放规律</w:t>
                  </w:r>
                </w:p>
              </w:tc>
              <w:tc>
                <w:tcPr>
                  <w:tcW w:w="403" w:type="pct"/>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default" w:ascii="Times New Roman" w:hAnsi="Times New Roman" w:eastAsia="宋体" w:cs="Times New Roman"/>
                      <w:b w:val="0"/>
                      <w:bCs/>
                      <w:color w:val="auto"/>
                      <w:sz w:val="21"/>
                      <w:szCs w:val="21"/>
                      <w:vertAlign w:val="baseline"/>
                      <w:lang w:val="en-US" w:eastAsia="zh-CN" w:bidi="ar-SA"/>
                    </w:rPr>
                    <w:t>排放量</w:t>
                  </w:r>
                </w:p>
              </w:tc>
              <w:tc>
                <w:tcPr>
                  <w:tcW w:w="410" w:type="pct"/>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default" w:ascii="Times New Roman" w:hAnsi="Times New Roman" w:eastAsia="宋体" w:cs="Times New Roman"/>
                      <w:b w:val="0"/>
                      <w:bCs/>
                      <w:color w:val="auto"/>
                      <w:sz w:val="21"/>
                      <w:szCs w:val="21"/>
                      <w:vertAlign w:val="baseline"/>
                      <w:lang w:val="en-US" w:eastAsia="zh-CN" w:bidi="ar-SA"/>
                    </w:rPr>
                    <w:t>治理设施</w:t>
                  </w:r>
                </w:p>
              </w:tc>
              <w:tc>
                <w:tcPr>
                  <w:tcW w:w="381" w:type="pct"/>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default" w:ascii="Times New Roman" w:hAnsi="Times New Roman" w:eastAsia="宋体" w:cs="Times New Roman"/>
                      <w:b w:val="0"/>
                      <w:bCs/>
                      <w:color w:val="auto"/>
                      <w:sz w:val="21"/>
                      <w:szCs w:val="21"/>
                      <w:vertAlign w:val="baseline"/>
                      <w:lang w:val="en-US" w:eastAsia="zh-CN" w:bidi="ar-SA"/>
                    </w:rPr>
                    <w:t>处理工艺</w:t>
                  </w:r>
                </w:p>
              </w:tc>
              <w:tc>
                <w:tcPr>
                  <w:tcW w:w="388" w:type="pct"/>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default" w:ascii="Times New Roman" w:hAnsi="Times New Roman" w:eastAsia="宋体" w:cs="Times New Roman"/>
                      <w:b w:val="0"/>
                      <w:bCs/>
                      <w:color w:val="auto"/>
                      <w:sz w:val="21"/>
                      <w:szCs w:val="21"/>
                      <w:vertAlign w:val="baseline"/>
                      <w:lang w:val="en-US" w:eastAsia="zh-CN" w:bidi="ar-SA"/>
                    </w:rPr>
                    <w:t>处理能力</w:t>
                  </w:r>
                </w:p>
              </w:tc>
              <w:tc>
                <w:tcPr>
                  <w:tcW w:w="395" w:type="pct"/>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default" w:ascii="Times New Roman" w:hAnsi="Times New Roman" w:eastAsia="宋体" w:cs="Times New Roman"/>
                      <w:b w:val="0"/>
                      <w:bCs/>
                      <w:color w:val="auto"/>
                      <w:sz w:val="21"/>
                      <w:szCs w:val="21"/>
                      <w:vertAlign w:val="baseline"/>
                      <w:lang w:val="en-US" w:eastAsia="zh-CN" w:bidi="ar-SA"/>
                    </w:rPr>
                    <w:t>设计指标</w:t>
                  </w:r>
                </w:p>
              </w:tc>
              <w:tc>
                <w:tcPr>
                  <w:tcW w:w="531" w:type="pct"/>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default" w:ascii="Times New Roman" w:hAnsi="Times New Roman" w:eastAsia="宋体" w:cs="Times New Roman"/>
                      <w:b w:val="0"/>
                      <w:bCs/>
                      <w:color w:val="auto"/>
                      <w:sz w:val="21"/>
                      <w:szCs w:val="21"/>
                      <w:vertAlign w:val="baseline"/>
                      <w:lang w:val="en-US" w:eastAsia="zh-CN" w:bidi="ar-SA"/>
                    </w:rPr>
                    <w:t>废水回用量</w:t>
                  </w:r>
                </w:p>
              </w:tc>
              <w:tc>
                <w:tcPr>
                  <w:tcW w:w="678" w:type="pct"/>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default" w:ascii="Times New Roman" w:hAnsi="Times New Roman" w:eastAsia="宋体" w:cs="Times New Roman"/>
                      <w:b w:val="0"/>
                      <w:bCs/>
                      <w:color w:val="auto"/>
                      <w:sz w:val="21"/>
                      <w:szCs w:val="21"/>
                      <w:vertAlign w:val="baseline"/>
                      <w:lang w:val="en-US" w:eastAsia="zh-CN" w:bidi="ar-SA"/>
                    </w:rPr>
                    <w:t>排放去向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2" w:hRule="atLeast"/>
              </w:trPr>
              <w:tc>
                <w:tcPr>
                  <w:tcW w:w="410" w:type="pct"/>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default" w:ascii="Times New Roman" w:hAnsi="Times New Roman" w:eastAsia="宋体" w:cs="Times New Roman"/>
                      <w:b w:val="0"/>
                      <w:bCs/>
                      <w:color w:val="auto"/>
                      <w:sz w:val="21"/>
                      <w:szCs w:val="21"/>
                      <w:vertAlign w:val="baseline"/>
                      <w:lang w:val="en-US" w:eastAsia="zh-CN" w:bidi="ar-SA"/>
                    </w:rPr>
                    <w:t>生活污水</w:t>
                  </w:r>
                </w:p>
              </w:tc>
              <w:tc>
                <w:tcPr>
                  <w:tcW w:w="247" w:type="pct"/>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default" w:ascii="Times New Roman" w:hAnsi="Times New Roman" w:eastAsia="宋体" w:cs="Times New Roman"/>
                      <w:b w:val="0"/>
                      <w:bCs/>
                      <w:color w:val="auto"/>
                      <w:sz w:val="21"/>
                      <w:szCs w:val="21"/>
                      <w:vertAlign w:val="baseline"/>
                      <w:lang w:val="en-US" w:eastAsia="zh-CN" w:bidi="ar-SA"/>
                    </w:rPr>
                    <w:t>员工生活</w:t>
                  </w:r>
                </w:p>
              </w:tc>
              <w:tc>
                <w:tcPr>
                  <w:tcW w:w="724" w:type="pct"/>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default" w:ascii="Times New Roman" w:hAnsi="Times New Roman" w:eastAsia="宋体" w:cs="Times New Roman"/>
                      <w:b w:val="0"/>
                      <w:bCs/>
                      <w:color w:val="auto"/>
                      <w:sz w:val="21"/>
                      <w:szCs w:val="21"/>
                      <w:vertAlign w:val="baseline"/>
                      <w:lang w:val="en-US" w:eastAsia="zh-CN" w:bidi="ar-SA"/>
                    </w:rPr>
                    <w:t>pH、COD、BOD</w:t>
                  </w:r>
                  <w:r>
                    <w:rPr>
                      <w:rFonts w:hint="default" w:ascii="Times New Roman" w:hAnsi="Times New Roman" w:eastAsia="宋体" w:cs="Times New Roman"/>
                      <w:b w:val="0"/>
                      <w:bCs/>
                      <w:color w:val="auto"/>
                      <w:sz w:val="21"/>
                      <w:szCs w:val="21"/>
                      <w:vertAlign w:val="subscript"/>
                      <w:lang w:val="en-US" w:eastAsia="zh-CN" w:bidi="ar-SA"/>
                    </w:rPr>
                    <w:t>5</w:t>
                  </w:r>
                  <w:r>
                    <w:rPr>
                      <w:rFonts w:hint="default" w:ascii="Times New Roman" w:hAnsi="Times New Roman" w:eastAsia="宋体" w:cs="Times New Roman"/>
                      <w:b w:val="0"/>
                      <w:bCs/>
                      <w:color w:val="auto"/>
                      <w:sz w:val="21"/>
                      <w:szCs w:val="21"/>
                      <w:vertAlign w:val="baseline"/>
                      <w:lang w:val="en-US" w:eastAsia="zh-CN" w:bidi="ar-SA"/>
                    </w:rPr>
                    <w:t>、SS、NH</w:t>
                  </w:r>
                  <w:r>
                    <w:rPr>
                      <w:rFonts w:hint="default" w:ascii="Times New Roman" w:hAnsi="Times New Roman" w:eastAsia="宋体" w:cs="Times New Roman"/>
                      <w:b w:val="0"/>
                      <w:bCs/>
                      <w:color w:val="auto"/>
                      <w:sz w:val="21"/>
                      <w:szCs w:val="21"/>
                      <w:vertAlign w:val="subscript"/>
                      <w:lang w:val="en-US" w:eastAsia="zh-CN" w:bidi="ar-SA"/>
                    </w:rPr>
                    <w:t>3</w:t>
                  </w:r>
                  <w:r>
                    <w:rPr>
                      <w:rFonts w:hint="default" w:ascii="Times New Roman" w:hAnsi="Times New Roman" w:eastAsia="宋体" w:cs="Times New Roman"/>
                      <w:b w:val="0"/>
                      <w:bCs/>
                      <w:color w:val="auto"/>
                      <w:sz w:val="21"/>
                      <w:szCs w:val="21"/>
                      <w:vertAlign w:val="baseline"/>
                      <w:lang w:val="en-US" w:eastAsia="zh-CN" w:bidi="ar-SA"/>
                    </w:rPr>
                    <w:t>-H</w:t>
                  </w:r>
                </w:p>
              </w:tc>
              <w:tc>
                <w:tcPr>
                  <w:tcW w:w="426" w:type="pct"/>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default" w:ascii="Times New Roman" w:hAnsi="Times New Roman" w:eastAsia="宋体" w:cs="Times New Roman"/>
                      <w:b w:val="0"/>
                      <w:bCs/>
                      <w:color w:val="auto"/>
                      <w:sz w:val="21"/>
                      <w:szCs w:val="21"/>
                      <w:vertAlign w:val="baseline"/>
                      <w:lang w:val="en-US" w:eastAsia="zh-CN" w:bidi="ar-SA"/>
                    </w:rPr>
                    <w:t>间歇</w:t>
                  </w:r>
                </w:p>
              </w:tc>
              <w:tc>
                <w:tcPr>
                  <w:tcW w:w="403" w:type="pct"/>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lang w:val="en-US" w:eastAsia="zh-CN" w:bidi="ar-SA"/>
                    </w:rPr>
                  </w:pPr>
                  <w:r>
                    <w:rPr>
                      <w:rFonts w:hint="default" w:ascii="Times New Roman" w:hAnsi="Times New Roman" w:eastAsia="宋体" w:cs="Times New Roman"/>
                      <w:b w:val="0"/>
                      <w:bCs/>
                      <w:color w:val="auto"/>
                      <w:sz w:val="21"/>
                      <w:szCs w:val="21"/>
                      <w:lang w:val="en-US" w:eastAsia="zh-CN" w:bidi="ar-SA"/>
                    </w:rPr>
                    <w:t>540</w:t>
                  </w:r>
                </w:p>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default" w:ascii="Times New Roman" w:hAnsi="Times New Roman" w:eastAsia="宋体" w:cs="Times New Roman"/>
                      <w:b w:val="0"/>
                      <w:bCs/>
                      <w:color w:val="auto"/>
                      <w:sz w:val="21"/>
                      <w:szCs w:val="21"/>
                      <w:lang w:val="en-US" w:eastAsia="zh-CN" w:bidi="ar-SA"/>
                    </w:rPr>
                    <w:t>t/a</w:t>
                  </w:r>
                </w:p>
              </w:tc>
              <w:tc>
                <w:tcPr>
                  <w:tcW w:w="410" w:type="pct"/>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default" w:ascii="Times New Roman" w:hAnsi="Times New Roman" w:eastAsia="宋体" w:cs="Times New Roman"/>
                      <w:b w:val="0"/>
                      <w:bCs/>
                      <w:color w:val="auto"/>
                      <w:sz w:val="21"/>
                      <w:szCs w:val="21"/>
                      <w:vertAlign w:val="baseline"/>
                      <w:lang w:val="en-US" w:eastAsia="zh-CN" w:bidi="ar-SA"/>
                    </w:rPr>
                    <w:t>化粪池</w:t>
                  </w:r>
                </w:p>
              </w:tc>
              <w:tc>
                <w:tcPr>
                  <w:tcW w:w="381" w:type="pct"/>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default" w:ascii="Times New Roman" w:hAnsi="Times New Roman" w:eastAsia="宋体" w:cs="Times New Roman"/>
                      <w:b w:val="0"/>
                      <w:bCs/>
                      <w:color w:val="auto"/>
                      <w:sz w:val="21"/>
                      <w:szCs w:val="21"/>
                      <w:vertAlign w:val="baseline"/>
                      <w:lang w:val="en-US" w:eastAsia="zh-CN" w:bidi="ar-SA"/>
                    </w:rPr>
                    <w:t>化粪池</w:t>
                  </w:r>
                </w:p>
              </w:tc>
              <w:tc>
                <w:tcPr>
                  <w:tcW w:w="388" w:type="pct"/>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default" w:ascii="Times New Roman" w:hAnsi="Times New Roman" w:eastAsia="宋体" w:cs="Times New Roman"/>
                      <w:b w:val="0"/>
                      <w:bCs/>
                      <w:color w:val="auto"/>
                      <w:sz w:val="21"/>
                      <w:szCs w:val="21"/>
                      <w:lang w:val="en-US" w:eastAsia="zh-CN" w:bidi="ar-SA"/>
                    </w:rPr>
                    <w:t>2t/d</w:t>
                  </w:r>
                </w:p>
              </w:tc>
              <w:tc>
                <w:tcPr>
                  <w:tcW w:w="395" w:type="pct"/>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default" w:ascii="Times New Roman" w:hAnsi="Times New Roman" w:eastAsia="宋体" w:cs="Times New Roman"/>
                      <w:b w:val="0"/>
                      <w:bCs/>
                      <w:color w:val="auto"/>
                      <w:sz w:val="21"/>
                      <w:szCs w:val="21"/>
                      <w:lang w:val="en-US" w:eastAsia="zh-CN" w:bidi="ar-SA"/>
                    </w:rPr>
                    <w:t>2t/d</w:t>
                  </w:r>
                </w:p>
              </w:tc>
              <w:tc>
                <w:tcPr>
                  <w:tcW w:w="531" w:type="pct"/>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default" w:ascii="Times New Roman" w:hAnsi="Times New Roman" w:eastAsia="宋体" w:cs="Times New Roman"/>
                      <w:b w:val="0"/>
                      <w:bCs/>
                      <w:color w:val="auto"/>
                      <w:sz w:val="21"/>
                      <w:szCs w:val="21"/>
                      <w:vertAlign w:val="baseline"/>
                      <w:lang w:val="en-US" w:eastAsia="zh-CN" w:bidi="ar-SA"/>
                    </w:rPr>
                    <w:t>/</w:t>
                  </w:r>
                </w:p>
              </w:tc>
              <w:tc>
                <w:tcPr>
                  <w:tcW w:w="678" w:type="pct"/>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default" w:ascii="Times New Roman" w:hAnsi="Times New Roman" w:eastAsia="宋体" w:cs="Times New Roman"/>
                      <w:b w:val="0"/>
                      <w:bCs/>
                      <w:color w:val="auto"/>
                      <w:sz w:val="21"/>
                      <w:szCs w:val="21"/>
                      <w:vertAlign w:val="baseline"/>
                      <w:lang w:val="en-US" w:eastAsia="zh-CN" w:bidi="ar-SA"/>
                    </w:rPr>
                    <w:t>接入市政污水管网</w:t>
                  </w:r>
                  <w:r>
                    <w:rPr>
                      <w:rFonts w:hint="default" w:ascii="Times New Roman" w:hAnsi="Times New Roman" w:eastAsia="宋体" w:cs="Times New Roman"/>
                      <w:b w:val="0"/>
                      <w:bCs/>
                      <w:color w:val="auto"/>
                      <w:sz w:val="21"/>
                      <w:szCs w:val="21"/>
                      <w:lang w:val="en-US" w:eastAsia="zh-CN" w:bidi="ar-SA"/>
                    </w:rPr>
                    <w:t>纳入金寨县污水处理厂处理</w:t>
                  </w:r>
                </w:p>
              </w:tc>
            </w:tr>
          </w:tbl>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Times New Roman" w:hAnsi="Times New Roman" w:eastAsia="宋体" w:cs="Times New Roman"/>
                <w:b/>
                <w:sz w:val="24"/>
                <w:szCs w:val="24"/>
                <w:lang w:val="en-US" w:eastAsia="zh-CN"/>
              </w:rPr>
            </w:pPr>
            <w:r>
              <w:rPr>
                <w:rFonts w:hint="eastAsia" w:asciiTheme="minorEastAsia" w:hAnsiTheme="minorEastAsia" w:eastAsiaTheme="minorEastAsia" w:cstheme="minorEastAsia"/>
                <w:sz w:val="24"/>
                <w:szCs w:val="24"/>
                <w:lang w:val="en-US" w:eastAsia="zh-CN"/>
              </w:rPr>
              <w:t>生活污水：生活污水经化粪池预处理后接入市政污水管网，依托六安市金寨县污水处理厂处理。生产中的间接冷却水循环利用定期补充，不外排。循环水机见附图</w:t>
            </w:r>
            <w:r>
              <w:rPr>
                <w:rFonts w:hint="eastAsia" w:asciiTheme="minorEastAsia" w:hAnsiTheme="minorEastAsia" w:eastAsiaTheme="minorEastAsia" w:cstheme="minorEastAsia"/>
                <w:sz w:val="24"/>
                <w:szCs w:val="24"/>
                <w:highlight w:val="none"/>
                <w:lang w:val="en-US" w:eastAsia="zh-CN"/>
              </w:rPr>
              <w:t>附</w:t>
            </w:r>
            <w:r>
              <w:rPr>
                <w:rFonts w:hint="eastAsia" w:ascii="Times New Roman" w:hAnsi="Times New Roman" w:cs="Times New Roman" w:eastAsiaTheme="minorEastAsia"/>
                <w:sz w:val="24"/>
                <w:szCs w:val="24"/>
                <w:highlight w:val="none"/>
                <w:lang w:val="en-US" w:eastAsia="zh-CN"/>
              </w:rPr>
              <w:t>4</w:t>
            </w:r>
            <w:r>
              <w:rPr>
                <w:rFonts w:hint="default" w:ascii="Times New Roman" w:hAnsi="Times New Roman" w:cs="Times New Roman" w:eastAsiaTheme="minorEastAsia"/>
                <w:sz w:val="24"/>
                <w:szCs w:val="24"/>
                <w:highlight w:val="none"/>
                <w:lang w:val="en-US" w:eastAsia="zh-CN"/>
              </w:rPr>
              <w:t>。</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482" w:firstLineChars="200"/>
              <w:textAlignment w:val="auto"/>
              <w:rPr>
                <w:rFonts w:hint="eastAsia" w:ascii="宋体" w:hAnsi="宋体" w:eastAsia="宋体" w:cs="宋体"/>
                <w:b/>
                <w:sz w:val="24"/>
                <w:szCs w:val="24"/>
                <w:lang w:val="en-US" w:eastAsia="zh-CN"/>
              </w:rPr>
            </w:pPr>
            <w:r>
              <w:rPr>
                <w:rFonts w:hint="default" w:ascii="Times New Roman" w:hAnsi="Times New Roman" w:cs="Times New Roman" w:eastAsiaTheme="minorEastAsia"/>
                <w:b/>
                <w:bCs/>
                <w:sz w:val="24"/>
                <w:szCs w:val="24"/>
                <w:lang w:val="en-US" w:eastAsia="zh-CN"/>
              </w:rPr>
              <w:t>3、</w:t>
            </w:r>
            <w:r>
              <w:rPr>
                <w:rFonts w:hint="eastAsia" w:asciiTheme="minorEastAsia" w:hAnsiTheme="minorEastAsia" w:eastAsiaTheme="minorEastAsia" w:cstheme="minorEastAsia"/>
                <w:b/>
                <w:bCs/>
                <w:sz w:val="24"/>
                <w:szCs w:val="24"/>
              </w:rPr>
              <w:t>噪声</w:t>
            </w:r>
            <w:r>
              <w:rPr>
                <w:rFonts w:hint="eastAsia" w:ascii="宋体" w:hAnsi="宋体" w:eastAsia="宋体" w:cs="宋体"/>
                <w:b/>
                <w:sz w:val="24"/>
                <w:szCs w:val="24"/>
                <w:lang w:val="en-US" w:eastAsia="zh-CN"/>
              </w:rPr>
              <w:t>治理</w:t>
            </w:r>
            <w:r>
              <w:rPr>
                <w:rFonts w:hint="default" w:ascii="Times New Roman" w:hAnsi="Times New Roman" w:eastAsia="宋体" w:cs="Times New Roman"/>
                <w:b/>
                <w:sz w:val="24"/>
                <w:szCs w:val="24"/>
                <w:lang w:val="en-US" w:eastAsia="zh-CN"/>
              </w:rPr>
              <w:t>/</w:t>
            </w:r>
            <w:r>
              <w:rPr>
                <w:rFonts w:hint="eastAsia" w:ascii="宋体" w:hAnsi="宋体" w:eastAsia="宋体" w:cs="宋体"/>
                <w:b/>
                <w:sz w:val="24"/>
                <w:szCs w:val="24"/>
                <w:lang w:val="en-US" w:eastAsia="zh-CN"/>
              </w:rPr>
              <w:t>处置设施分析</w:t>
            </w:r>
          </w:p>
          <w:p>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215" w:leftChars="0" w:firstLine="480" w:firstLineChars="200"/>
              <w:jc w:val="both"/>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噪声主要来自于生产设备噪声，本项目已采取基础减震、设备隔音、厂房隔声以及选用低噪声设备等措施，详见下表。</w:t>
            </w:r>
          </w:p>
          <w:p>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215" w:leftChars="0" w:firstLine="482" w:firstLineChars="200"/>
              <w:jc w:val="center"/>
              <w:textAlignment w:val="auto"/>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表</w:t>
            </w:r>
            <w:r>
              <w:rPr>
                <w:rFonts w:hint="default" w:ascii="Times New Roman" w:hAnsi="Times New Roman" w:eastAsia="宋体" w:cs="Times New Roman"/>
                <w:b/>
                <w:bCs/>
                <w:kern w:val="2"/>
                <w:sz w:val="24"/>
                <w:szCs w:val="24"/>
                <w:lang w:val="en-US" w:eastAsia="zh-CN" w:bidi="ar-SA"/>
              </w:rPr>
              <w:t>3.2</w:t>
            </w:r>
            <w:r>
              <w:rPr>
                <w:rFonts w:hint="eastAsia" w:ascii="Times New Roman" w:hAnsi="Times New Roman" w:eastAsia="宋体" w:cs="Times New Roman"/>
                <w:b/>
                <w:bCs/>
                <w:kern w:val="2"/>
                <w:sz w:val="24"/>
                <w:szCs w:val="24"/>
                <w:lang w:val="en-US" w:eastAsia="zh-CN" w:bidi="ar-SA"/>
              </w:rPr>
              <w:t xml:space="preserve"> 噪声污染物情况一览表</w:t>
            </w:r>
          </w:p>
          <w:tbl>
            <w:tblPr>
              <w:tblStyle w:val="14"/>
              <w:tblW w:w="485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2117"/>
              <w:gridCol w:w="750"/>
              <w:gridCol w:w="738"/>
              <w:gridCol w:w="1012"/>
              <w:gridCol w:w="875"/>
              <w:gridCol w:w="813"/>
              <w:gridCol w:w="11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348" w:type="pct"/>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序号</w:t>
                  </w:r>
                </w:p>
              </w:tc>
              <w:tc>
                <w:tcPr>
                  <w:tcW w:w="1314" w:type="pct"/>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设备名称</w:t>
                  </w:r>
                </w:p>
              </w:tc>
              <w:tc>
                <w:tcPr>
                  <w:tcW w:w="465"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单位</w:t>
                  </w:r>
                </w:p>
              </w:tc>
              <w:tc>
                <w:tcPr>
                  <w:tcW w:w="458"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数量</w:t>
                  </w:r>
                </w:p>
              </w:tc>
              <w:tc>
                <w:tcPr>
                  <w:tcW w:w="628"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源强</w:t>
                  </w:r>
                  <w:r>
                    <w:rPr>
                      <w:rFonts w:hint="default" w:ascii="Times New Roman" w:hAnsi="Times New Roman" w:eastAsia="宋体" w:cs="Times New Roman"/>
                      <w:color w:val="auto"/>
                      <w:sz w:val="21"/>
                      <w:szCs w:val="21"/>
                    </w:rPr>
                    <w:t>dB(A)</w:t>
                  </w:r>
                </w:p>
              </w:tc>
              <w:tc>
                <w:tcPr>
                  <w:tcW w:w="543"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噪声源位置</w:t>
                  </w:r>
                </w:p>
              </w:tc>
              <w:tc>
                <w:tcPr>
                  <w:tcW w:w="504"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运行方式</w:t>
                  </w:r>
                </w:p>
              </w:tc>
              <w:tc>
                <w:tcPr>
                  <w:tcW w:w="737"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sz w:val="21"/>
                      <w:szCs w:val="21"/>
                      <w:lang w:eastAsia="zh-CN"/>
                    </w:rPr>
                    <w:t>治理设施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348" w:type="pct"/>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1314"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氮气储气罐</w:t>
                  </w:r>
                </w:p>
              </w:tc>
              <w:tc>
                <w:tcPr>
                  <w:tcW w:w="465"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台</w:t>
                  </w:r>
                </w:p>
              </w:tc>
              <w:tc>
                <w:tcPr>
                  <w:tcW w:w="458"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628"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75~80</w:t>
                  </w:r>
                </w:p>
              </w:tc>
              <w:tc>
                <w:tcPr>
                  <w:tcW w:w="543"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车间</w:t>
                  </w:r>
                </w:p>
              </w:tc>
              <w:tc>
                <w:tcPr>
                  <w:tcW w:w="504"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连续</w:t>
                  </w:r>
                </w:p>
              </w:tc>
              <w:tc>
                <w:tcPr>
                  <w:tcW w:w="737" w:type="pct"/>
                  <w:vMerge w:val="restar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eastAsia="宋体" w:cs="Times New Roman"/>
                      <w:snapToGrid w:val="0"/>
                      <w:color w:val="auto"/>
                      <w:kern w:val="0"/>
                      <w:sz w:val="21"/>
                      <w:szCs w:val="21"/>
                    </w:rPr>
                    <w:t>选用低噪声设备；设置减振机座、加装减震弹簧和橡皮垫等减振降噪措施；厂房隔声；空气进出口采用软连接，以减少风管振动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348" w:type="pct"/>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1314"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DBC气氛烧结炉</w:t>
                  </w:r>
                </w:p>
              </w:tc>
              <w:tc>
                <w:tcPr>
                  <w:tcW w:w="465"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台</w:t>
                  </w:r>
                </w:p>
              </w:tc>
              <w:tc>
                <w:tcPr>
                  <w:tcW w:w="458"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w:t>
                  </w:r>
                </w:p>
              </w:tc>
              <w:tc>
                <w:tcPr>
                  <w:tcW w:w="628"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75~80</w:t>
                  </w:r>
                </w:p>
              </w:tc>
              <w:tc>
                <w:tcPr>
                  <w:tcW w:w="543"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车间</w:t>
                  </w:r>
                </w:p>
              </w:tc>
              <w:tc>
                <w:tcPr>
                  <w:tcW w:w="504"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连续</w:t>
                  </w:r>
                </w:p>
              </w:tc>
              <w:tc>
                <w:tcPr>
                  <w:tcW w:w="737" w:type="pct"/>
                  <w:vMerge w:val="continue"/>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348" w:type="pct"/>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w:t>
                  </w:r>
                </w:p>
              </w:tc>
              <w:tc>
                <w:tcPr>
                  <w:tcW w:w="1314"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气氛控制炉</w:t>
                  </w:r>
                </w:p>
              </w:tc>
              <w:tc>
                <w:tcPr>
                  <w:tcW w:w="465"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台</w:t>
                  </w:r>
                </w:p>
              </w:tc>
              <w:tc>
                <w:tcPr>
                  <w:tcW w:w="458"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628"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75~80</w:t>
                  </w:r>
                </w:p>
              </w:tc>
              <w:tc>
                <w:tcPr>
                  <w:tcW w:w="543"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车间</w:t>
                  </w:r>
                </w:p>
              </w:tc>
              <w:tc>
                <w:tcPr>
                  <w:tcW w:w="504"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连续</w:t>
                  </w:r>
                </w:p>
              </w:tc>
              <w:tc>
                <w:tcPr>
                  <w:tcW w:w="737" w:type="pct"/>
                  <w:vMerge w:val="continue"/>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348" w:type="pct"/>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w:t>
                  </w:r>
                </w:p>
              </w:tc>
              <w:tc>
                <w:tcPr>
                  <w:tcW w:w="1314"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网带式氮气氛连续烧结炉</w:t>
                  </w:r>
                </w:p>
              </w:tc>
              <w:tc>
                <w:tcPr>
                  <w:tcW w:w="465"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台</w:t>
                  </w:r>
                </w:p>
              </w:tc>
              <w:tc>
                <w:tcPr>
                  <w:tcW w:w="458"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8</w:t>
                  </w:r>
                </w:p>
              </w:tc>
              <w:tc>
                <w:tcPr>
                  <w:tcW w:w="628"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75~80</w:t>
                  </w:r>
                </w:p>
              </w:tc>
              <w:tc>
                <w:tcPr>
                  <w:tcW w:w="543"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车间</w:t>
                  </w:r>
                </w:p>
              </w:tc>
              <w:tc>
                <w:tcPr>
                  <w:tcW w:w="504"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连续</w:t>
                  </w:r>
                </w:p>
              </w:tc>
              <w:tc>
                <w:tcPr>
                  <w:tcW w:w="737" w:type="pct"/>
                  <w:vMerge w:val="continue"/>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348" w:type="pct"/>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w:t>
                  </w:r>
                </w:p>
              </w:tc>
              <w:tc>
                <w:tcPr>
                  <w:tcW w:w="1314"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粗糙度仪</w:t>
                  </w:r>
                </w:p>
              </w:tc>
              <w:tc>
                <w:tcPr>
                  <w:tcW w:w="465"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台</w:t>
                  </w:r>
                </w:p>
              </w:tc>
              <w:tc>
                <w:tcPr>
                  <w:tcW w:w="458"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628"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65</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70</w:t>
                  </w:r>
                </w:p>
              </w:tc>
              <w:tc>
                <w:tcPr>
                  <w:tcW w:w="543"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车间</w:t>
                  </w:r>
                </w:p>
              </w:tc>
              <w:tc>
                <w:tcPr>
                  <w:tcW w:w="504"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连续</w:t>
                  </w:r>
                </w:p>
              </w:tc>
              <w:tc>
                <w:tcPr>
                  <w:tcW w:w="737" w:type="pct"/>
                  <w:vMerge w:val="continue"/>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348" w:type="pct"/>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w:t>
                  </w:r>
                </w:p>
              </w:tc>
              <w:tc>
                <w:tcPr>
                  <w:tcW w:w="1314"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X-RAY</w:t>
                  </w:r>
                </w:p>
              </w:tc>
              <w:tc>
                <w:tcPr>
                  <w:tcW w:w="465"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台</w:t>
                  </w:r>
                </w:p>
              </w:tc>
              <w:tc>
                <w:tcPr>
                  <w:tcW w:w="458"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628"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65</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70</w:t>
                  </w:r>
                </w:p>
              </w:tc>
              <w:tc>
                <w:tcPr>
                  <w:tcW w:w="543"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车间</w:t>
                  </w:r>
                </w:p>
              </w:tc>
              <w:tc>
                <w:tcPr>
                  <w:tcW w:w="504"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连续</w:t>
                  </w:r>
                </w:p>
              </w:tc>
              <w:tc>
                <w:tcPr>
                  <w:tcW w:w="737" w:type="pct"/>
                  <w:vMerge w:val="continue"/>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348" w:type="pct"/>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w:t>
                  </w:r>
                </w:p>
              </w:tc>
              <w:tc>
                <w:tcPr>
                  <w:tcW w:w="1314"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4K高清显微镜</w:t>
                  </w:r>
                </w:p>
              </w:tc>
              <w:tc>
                <w:tcPr>
                  <w:tcW w:w="465"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台</w:t>
                  </w:r>
                </w:p>
              </w:tc>
              <w:tc>
                <w:tcPr>
                  <w:tcW w:w="458"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628"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75~80</w:t>
                  </w:r>
                </w:p>
              </w:tc>
              <w:tc>
                <w:tcPr>
                  <w:tcW w:w="543"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车间</w:t>
                  </w:r>
                </w:p>
              </w:tc>
              <w:tc>
                <w:tcPr>
                  <w:tcW w:w="504"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连续</w:t>
                  </w:r>
                </w:p>
              </w:tc>
              <w:tc>
                <w:tcPr>
                  <w:tcW w:w="737" w:type="pct"/>
                  <w:vMerge w:val="continue"/>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348"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8</w:t>
                  </w:r>
                </w:p>
              </w:tc>
              <w:tc>
                <w:tcPr>
                  <w:tcW w:w="1314"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铠装热电偶</w:t>
                  </w:r>
                </w:p>
              </w:tc>
              <w:tc>
                <w:tcPr>
                  <w:tcW w:w="465"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台</w:t>
                  </w:r>
                </w:p>
              </w:tc>
              <w:tc>
                <w:tcPr>
                  <w:tcW w:w="458"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628"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75~80</w:t>
                  </w:r>
                </w:p>
              </w:tc>
              <w:tc>
                <w:tcPr>
                  <w:tcW w:w="543"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车间</w:t>
                  </w:r>
                </w:p>
              </w:tc>
              <w:tc>
                <w:tcPr>
                  <w:tcW w:w="504"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连续</w:t>
                  </w:r>
                </w:p>
              </w:tc>
              <w:tc>
                <w:tcPr>
                  <w:tcW w:w="737" w:type="pct"/>
                  <w:vMerge w:val="continue"/>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348"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9</w:t>
                  </w:r>
                </w:p>
              </w:tc>
              <w:tc>
                <w:tcPr>
                  <w:tcW w:w="1314"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高分辨超声成像系统</w:t>
                  </w:r>
                </w:p>
              </w:tc>
              <w:tc>
                <w:tcPr>
                  <w:tcW w:w="465"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台</w:t>
                  </w:r>
                </w:p>
              </w:tc>
              <w:tc>
                <w:tcPr>
                  <w:tcW w:w="458"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628"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65</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70</w:t>
                  </w:r>
                </w:p>
              </w:tc>
              <w:tc>
                <w:tcPr>
                  <w:tcW w:w="543"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车间</w:t>
                  </w:r>
                </w:p>
              </w:tc>
              <w:tc>
                <w:tcPr>
                  <w:tcW w:w="504"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连续</w:t>
                  </w:r>
                </w:p>
              </w:tc>
              <w:tc>
                <w:tcPr>
                  <w:tcW w:w="737" w:type="pct"/>
                  <w:vMerge w:val="continue"/>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348"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w:t>
                  </w:r>
                </w:p>
              </w:tc>
              <w:tc>
                <w:tcPr>
                  <w:tcW w:w="1314"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冷热冲击箱</w:t>
                  </w:r>
                </w:p>
              </w:tc>
              <w:tc>
                <w:tcPr>
                  <w:tcW w:w="465"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台</w:t>
                  </w:r>
                </w:p>
              </w:tc>
              <w:tc>
                <w:tcPr>
                  <w:tcW w:w="458"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628"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65</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70</w:t>
                  </w:r>
                </w:p>
              </w:tc>
              <w:tc>
                <w:tcPr>
                  <w:tcW w:w="543"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车间</w:t>
                  </w:r>
                </w:p>
              </w:tc>
              <w:tc>
                <w:tcPr>
                  <w:tcW w:w="504"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连续</w:t>
                  </w:r>
                </w:p>
              </w:tc>
              <w:tc>
                <w:tcPr>
                  <w:tcW w:w="737" w:type="pct"/>
                  <w:vMerge w:val="continue"/>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348" w:type="pct"/>
                  <w:vAlign w:val="center"/>
                </w:tcPr>
                <w:p>
                  <w:pPr>
                    <w:pStyle w:val="10"/>
                    <w:keepNext w:val="0"/>
                    <w:keepLines w:val="0"/>
                    <w:pageBreakBefore w:val="0"/>
                    <w:widowControl w:val="0"/>
                    <w:numPr>
                      <w:ilvl w:val="0"/>
                      <w:numId w:val="0"/>
                    </w:numPr>
                    <w:kinsoku/>
                    <w:wordWrap/>
                    <w:overflowPunct/>
                    <w:topLinePunct w:val="0"/>
                    <w:autoSpaceDE/>
                    <w:autoSpaceDN/>
                    <w:bidi w:val="0"/>
                    <w:adjustRightInd/>
                    <w:snapToGrid w:val="0"/>
                    <w:spacing w:after="0" w:line="240" w:lineRule="auto"/>
                    <w:ind w:left="0" w:leftChars="0" w:firstLine="0" w:firstLineChars="0"/>
                    <w:jc w:val="center"/>
                    <w:textAlignment w:val="auto"/>
                    <w:rPr>
                      <w:rFonts w:hint="default" w:ascii="Times New Roman" w:hAnsi="Times New Roman" w:eastAsia="宋体" w:cs="Times New Roman"/>
                      <w:b w:val="0"/>
                      <w:bCs w:val="0"/>
                      <w:sz w:val="21"/>
                      <w:szCs w:val="21"/>
                      <w:vertAlign w:val="baseline"/>
                      <w:lang w:val="en-US" w:eastAsia="zh-CN" w:bidi="ar-SA"/>
                    </w:rPr>
                  </w:pPr>
                  <w:r>
                    <w:rPr>
                      <w:rFonts w:hint="default" w:ascii="Times New Roman" w:hAnsi="Times New Roman" w:eastAsia="宋体" w:cs="Times New Roman"/>
                      <w:b w:val="0"/>
                      <w:bCs w:val="0"/>
                      <w:kern w:val="2"/>
                      <w:sz w:val="21"/>
                      <w:szCs w:val="21"/>
                      <w:highlight w:val="none"/>
                      <w:lang w:val="en-US" w:eastAsia="zh-CN" w:bidi="ar-SA"/>
                    </w:rPr>
                    <w:t>11</w:t>
                  </w:r>
                </w:p>
              </w:tc>
              <w:tc>
                <w:tcPr>
                  <w:tcW w:w="1314"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lang w:val="en-US" w:eastAsia="zh-CN"/>
                    </w:rPr>
                    <w:t>LCR测试仪</w:t>
                  </w:r>
                </w:p>
              </w:tc>
              <w:tc>
                <w:tcPr>
                  <w:tcW w:w="465"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台</w:t>
                  </w:r>
                </w:p>
              </w:tc>
              <w:tc>
                <w:tcPr>
                  <w:tcW w:w="458" w:type="pct"/>
                  <w:vAlign w:val="center"/>
                </w:tcPr>
                <w:p>
                  <w:pPr>
                    <w:pStyle w:val="21"/>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w:t>
                  </w:r>
                </w:p>
              </w:tc>
              <w:tc>
                <w:tcPr>
                  <w:tcW w:w="628"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rPr>
                    <w:t>65</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70</w:t>
                  </w:r>
                </w:p>
              </w:tc>
              <w:tc>
                <w:tcPr>
                  <w:tcW w:w="543"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lang w:eastAsia="zh-CN"/>
                      <w14:textFill>
                        <w14:solidFill>
                          <w14:schemeClr w14:val="tx1"/>
                        </w14:solidFill>
                      </w14:textFill>
                    </w:rPr>
                    <w:t>车间</w:t>
                  </w:r>
                </w:p>
              </w:tc>
              <w:tc>
                <w:tcPr>
                  <w:tcW w:w="504"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连续</w:t>
                  </w:r>
                </w:p>
              </w:tc>
              <w:tc>
                <w:tcPr>
                  <w:tcW w:w="737" w:type="pct"/>
                  <w:vMerge w:val="continue"/>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348"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w:t>
                  </w:r>
                </w:p>
              </w:tc>
              <w:tc>
                <w:tcPr>
                  <w:tcW w:w="1314"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耐压测试仪</w:t>
                  </w:r>
                </w:p>
              </w:tc>
              <w:tc>
                <w:tcPr>
                  <w:tcW w:w="465"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台</w:t>
                  </w:r>
                </w:p>
              </w:tc>
              <w:tc>
                <w:tcPr>
                  <w:tcW w:w="458"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628"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75~80</w:t>
                  </w:r>
                </w:p>
              </w:tc>
              <w:tc>
                <w:tcPr>
                  <w:tcW w:w="543"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车间</w:t>
                  </w:r>
                </w:p>
              </w:tc>
              <w:tc>
                <w:tcPr>
                  <w:tcW w:w="504"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连续</w:t>
                  </w:r>
                </w:p>
              </w:tc>
              <w:tc>
                <w:tcPr>
                  <w:tcW w:w="737" w:type="pct"/>
                  <w:vMerge w:val="continue"/>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348"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13</w:t>
                  </w:r>
                </w:p>
              </w:tc>
              <w:tc>
                <w:tcPr>
                  <w:tcW w:w="1314"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X-Ray透视检查仪</w:t>
                  </w:r>
                </w:p>
              </w:tc>
              <w:tc>
                <w:tcPr>
                  <w:tcW w:w="465"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台</w:t>
                  </w:r>
                </w:p>
              </w:tc>
              <w:tc>
                <w:tcPr>
                  <w:tcW w:w="458"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628"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65</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70</w:t>
                  </w:r>
                </w:p>
              </w:tc>
              <w:tc>
                <w:tcPr>
                  <w:tcW w:w="543"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车间</w:t>
                  </w:r>
                </w:p>
              </w:tc>
              <w:tc>
                <w:tcPr>
                  <w:tcW w:w="504"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连续</w:t>
                  </w:r>
                </w:p>
              </w:tc>
              <w:tc>
                <w:tcPr>
                  <w:tcW w:w="737" w:type="pct"/>
                  <w:vMerge w:val="continue"/>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348"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14</w:t>
                  </w:r>
                </w:p>
              </w:tc>
              <w:tc>
                <w:tcPr>
                  <w:tcW w:w="1314"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X射线荧光光谱仪</w:t>
                  </w:r>
                </w:p>
              </w:tc>
              <w:tc>
                <w:tcPr>
                  <w:tcW w:w="465"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台</w:t>
                  </w:r>
                </w:p>
              </w:tc>
              <w:tc>
                <w:tcPr>
                  <w:tcW w:w="458"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628"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65</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70</w:t>
                  </w:r>
                </w:p>
              </w:tc>
              <w:tc>
                <w:tcPr>
                  <w:tcW w:w="543"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车间</w:t>
                  </w:r>
                </w:p>
              </w:tc>
              <w:tc>
                <w:tcPr>
                  <w:tcW w:w="504"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连续</w:t>
                  </w:r>
                </w:p>
              </w:tc>
              <w:tc>
                <w:tcPr>
                  <w:tcW w:w="737" w:type="pct"/>
                  <w:vMerge w:val="continue"/>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348"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15</w:t>
                  </w:r>
                </w:p>
              </w:tc>
              <w:tc>
                <w:tcPr>
                  <w:tcW w:w="1314"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含氧量分析仪</w:t>
                  </w:r>
                </w:p>
              </w:tc>
              <w:tc>
                <w:tcPr>
                  <w:tcW w:w="465"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台</w:t>
                  </w:r>
                </w:p>
              </w:tc>
              <w:tc>
                <w:tcPr>
                  <w:tcW w:w="458"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628"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75~80</w:t>
                  </w:r>
                </w:p>
              </w:tc>
              <w:tc>
                <w:tcPr>
                  <w:tcW w:w="543"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车间</w:t>
                  </w:r>
                </w:p>
              </w:tc>
              <w:tc>
                <w:tcPr>
                  <w:tcW w:w="504"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连续</w:t>
                  </w:r>
                </w:p>
              </w:tc>
              <w:tc>
                <w:tcPr>
                  <w:tcW w:w="737" w:type="pct"/>
                  <w:vMerge w:val="continue"/>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p>
              </w:tc>
            </w:tr>
          </w:tbl>
          <w:p>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482" w:firstLineChars="200"/>
              <w:textAlignment w:val="auto"/>
              <w:rPr>
                <w:rFonts w:hint="eastAsia" w:ascii="宋体" w:hAnsi="宋体" w:eastAsia="宋体" w:cs="宋体"/>
                <w:b/>
                <w:sz w:val="24"/>
                <w:szCs w:val="24"/>
                <w:lang w:val="en-US" w:eastAsia="zh-CN"/>
              </w:rPr>
            </w:pPr>
            <w:r>
              <w:rPr>
                <w:rFonts w:hint="eastAsia" w:ascii="宋体" w:hAnsi="宋体" w:eastAsia="宋体" w:cs="宋体"/>
                <w:b/>
                <w:sz w:val="24"/>
                <w:szCs w:val="24"/>
                <w:lang w:val="en-US" w:eastAsia="zh-CN" w:bidi="ar-SA"/>
              </w:rPr>
              <w:t>4、</w:t>
            </w:r>
            <w:r>
              <w:rPr>
                <w:rFonts w:hint="eastAsia" w:asciiTheme="minorEastAsia" w:hAnsiTheme="minorEastAsia" w:eastAsiaTheme="minorEastAsia" w:cstheme="minorEastAsia"/>
                <w:b/>
                <w:bCs/>
                <w:sz w:val="24"/>
                <w:szCs w:val="24"/>
              </w:rPr>
              <w:t>固体废物</w:t>
            </w:r>
            <w:r>
              <w:rPr>
                <w:rFonts w:hint="eastAsia" w:ascii="宋体" w:hAnsi="宋体" w:eastAsia="宋体" w:cs="宋体"/>
                <w:b/>
                <w:sz w:val="24"/>
                <w:szCs w:val="24"/>
                <w:lang w:val="en-US" w:eastAsia="zh-CN"/>
              </w:rPr>
              <w:t>治理</w:t>
            </w:r>
            <w:r>
              <w:rPr>
                <w:rFonts w:hint="default" w:ascii="Times New Roman" w:hAnsi="Times New Roman" w:eastAsia="宋体" w:cs="Times New Roman"/>
                <w:b/>
                <w:sz w:val="24"/>
                <w:szCs w:val="24"/>
                <w:lang w:val="en-US" w:eastAsia="zh-CN"/>
              </w:rPr>
              <w:t>/</w:t>
            </w:r>
            <w:r>
              <w:rPr>
                <w:rFonts w:hint="eastAsia" w:ascii="宋体" w:hAnsi="宋体" w:eastAsia="宋体" w:cs="宋体"/>
                <w:b/>
                <w:sz w:val="24"/>
                <w:szCs w:val="24"/>
                <w:lang w:val="en-US" w:eastAsia="zh-CN"/>
              </w:rPr>
              <w:t>处置设施分析</w:t>
            </w:r>
          </w:p>
          <w:p>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215" w:leftChars="0" w:firstLine="482" w:firstLineChars="200"/>
              <w:jc w:val="center"/>
              <w:textAlignment w:val="auto"/>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表</w:t>
            </w:r>
            <w:r>
              <w:rPr>
                <w:rFonts w:hint="default" w:ascii="Times New Roman" w:hAnsi="Times New Roman" w:eastAsia="宋体" w:cs="Times New Roman"/>
                <w:b/>
                <w:bCs/>
                <w:kern w:val="2"/>
                <w:sz w:val="24"/>
                <w:szCs w:val="24"/>
                <w:lang w:val="en-US" w:eastAsia="zh-CN" w:bidi="ar-SA"/>
              </w:rPr>
              <w:t>3.</w:t>
            </w:r>
            <w:r>
              <w:rPr>
                <w:rFonts w:hint="eastAsia" w:ascii="Times New Roman" w:hAnsi="Times New Roman" w:eastAsia="宋体" w:cs="Times New Roman"/>
                <w:b/>
                <w:bCs/>
                <w:kern w:val="2"/>
                <w:sz w:val="24"/>
                <w:szCs w:val="24"/>
                <w:lang w:val="en-US" w:eastAsia="zh-CN" w:bidi="ar-SA"/>
              </w:rPr>
              <w:t>3 固体废物污染物情况一览表</w:t>
            </w:r>
          </w:p>
          <w:tbl>
            <w:tblPr>
              <w:tblStyle w:val="15"/>
              <w:tblW w:w="81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
              <w:gridCol w:w="796"/>
              <w:gridCol w:w="710"/>
              <w:gridCol w:w="897"/>
              <w:gridCol w:w="825"/>
              <w:gridCol w:w="1290"/>
              <w:gridCol w:w="647"/>
              <w:gridCol w:w="430"/>
              <w:gridCol w:w="835"/>
              <w:gridCol w:w="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7" w:hRule="atLeast"/>
                <w:jc w:val="center"/>
              </w:trPr>
              <w:tc>
                <w:tcPr>
                  <w:tcW w:w="945"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固废名称</w:t>
                  </w:r>
                </w:p>
              </w:tc>
              <w:tc>
                <w:tcPr>
                  <w:tcW w:w="796"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来源</w:t>
                  </w:r>
                </w:p>
              </w:tc>
              <w:tc>
                <w:tcPr>
                  <w:tcW w:w="710"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性质</w:t>
                  </w:r>
                </w:p>
              </w:tc>
              <w:tc>
                <w:tcPr>
                  <w:tcW w:w="897"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产生量（t/a）</w:t>
                  </w:r>
                </w:p>
              </w:tc>
              <w:tc>
                <w:tcPr>
                  <w:tcW w:w="825"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处理/处置量</w:t>
                  </w:r>
                </w:p>
              </w:tc>
              <w:tc>
                <w:tcPr>
                  <w:tcW w:w="1290"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暂存场所</w:t>
                  </w:r>
                </w:p>
              </w:tc>
              <w:tc>
                <w:tcPr>
                  <w:tcW w:w="647"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标识标牌</w:t>
                  </w:r>
                </w:p>
              </w:tc>
              <w:tc>
                <w:tcPr>
                  <w:tcW w:w="430"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台账</w:t>
                  </w:r>
                </w:p>
              </w:tc>
              <w:tc>
                <w:tcPr>
                  <w:tcW w:w="835"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协议签订情况</w:t>
                  </w:r>
                </w:p>
              </w:tc>
              <w:tc>
                <w:tcPr>
                  <w:tcW w:w="819"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出入库情况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945"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lang w:val="en-US" w:eastAsia="zh-CN" w:bidi="ar-SA"/>
                    </w:rPr>
                  </w:pPr>
                  <w:r>
                    <w:rPr>
                      <w:rFonts w:hint="default" w:ascii="Times New Roman" w:hAnsi="Times New Roman" w:eastAsia="宋体" w:cs="Times New Roman"/>
                      <w:b w:val="0"/>
                      <w:bCs/>
                      <w:color w:val="auto"/>
                      <w:sz w:val="21"/>
                      <w:szCs w:val="21"/>
                      <w:lang w:val="en-US" w:eastAsia="zh-CN"/>
                    </w:rPr>
                    <w:t>不合格产品</w:t>
                  </w:r>
                </w:p>
              </w:tc>
              <w:tc>
                <w:tcPr>
                  <w:tcW w:w="796"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质检</w:t>
                  </w:r>
                </w:p>
              </w:tc>
              <w:tc>
                <w:tcPr>
                  <w:tcW w:w="710" w:type="dxa"/>
                  <w:vMerge w:val="restart"/>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一般工业固体废物</w:t>
                  </w:r>
                </w:p>
              </w:tc>
              <w:tc>
                <w:tcPr>
                  <w:tcW w:w="897"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12.96</w:t>
                  </w:r>
                </w:p>
              </w:tc>
              <w:tc>
                <w:tcPr>
                  <w:tcW w:w="825"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12.96</w:t>
                  </w:r>
                </w:p>
              </w:tc>
              <w:tc>
                <w:tcPr>
                  <w:tcW w:w="1290" w:type="dxa"/>
                  <w:vMerge w:val="restart"/>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color w:val="auto"/>
                      <w:sz w:val="21"/>
                      <w:szCs w:val="21"/>
                      <w:highlight w:val="none"/>
                      <w:lang w:val="en-US" w:eastAsia="zh-CN"/>
                    </w:rPr>
                    <w:t>分类</w:t>
                  </w:r>
                  <w:r>
                    <w:rPr>
                      <w:rFonts w:hint="default" w:ascii="Times New Roman" w:hAnsi="Times New Roman" w:eastAsia="宋体" w:cs="Times New Roman"/>
                      <w:color w:val="auto"/>
                      <w:sz w:val="21"/>
                      <w:szCs w:val="21"/>
                      <w:highlight w:val="none"/>
                    </w:rPr>
                    <w:t>收集后外售</w:t>
                  </w:r>
                  <w:r>
                    <w:rPr>
                      <w:rFonts w:hint="default" w:ascii="Times New Roman" w:hAnsi="Times New Roman" w:eastAsia="宋体" w:cs="Times New Roman"/>
                      <w:color w:val="auto"/>
                      <w:sz w:val="21"/>
                      <w:szCs w:val="21"/>
                      <w:highlight w:val="none"/>
                      <w:lang w:val="en-US" w:eastAsia="zh-CN"/>
                    </w:rPr>
                    <w:t>资源</w:t>
                  </w:r>
                  <w:r>
                    <w:rPr>
                      <w:rFonts w:hint="default" w:ascii="Times New Roman" w:hAnsi="Times New Roman" w:eastAsia="宋体" w:cs="Times New Roman"/>
                      <w:color w:val="auto"/>
                      <w:sz w:val="21"/>
                      <w:szCs w:val="21"/>
                      <w:highlight w:val="none"/>
                    </w:rPr>
                    <w:t>综合利用</w:t>
                  </w:r>
                </w:p>
              </w:tc>
              <w:tc>
                <w:tcPr>
                  <w:tcW w:w="647" w:type="dxa"/>
                  <w:vMerge w:val="restart"/>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w:t>
                  </w:r>
                </w:p>
              </w:tc>
              <w:tc>
                <w:tcPr>
                  <w:tcW w:w="430" w:type="dxa"/>
                  <w:vMerge w:val="restart"/>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w:t>
                  </w:r>
                </w:p>
              </w:tc>
              <w:tc>
                <w:tcPr>
                  <w:tcW w:w="835" w:type="dxa"/>
                  <w:vMerge w:val="restart"/>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w:t>
                  </w:r>
                </w:p>
              </w:tc>
              <w:tc>
                <w:tcPr>
                  <w:tcW w:w="819" w:type="dxa"/>
                  <w:vMerge w:val="restart"/>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945"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lang w:val="en-US" w:eastAsia="zh-CN" w:bidi="ar-SA"/>
                    </w:rPr>
                  </w:pPr>
                  <w:r>
                    <w:rPr>
                      <w:rFonts w:hint="default" w:ascii="Times New Roman" w:hAnsi="Times New Roman" w:eastAsia="宋体" w:cs="Times New Roman"/>
                      <w:b w:val="0"/>
                      <w:bCs/>
                      <w:color w:val="auto"/>
                      <w:sz w:val="21"/>
                      <w:szCs w:val="21"/>
                      <w:lang w:val="en-US" w:eastAsia="zh-CN"/>
                    </w:rPr>
                    <w:t>废包材</w:t>
                  </w:r>
                </w:p>
              </w:tc>
              <w:tc>
                <w:tcPr>
                  <w:tcW w:w="796"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原料拆包</w:t>
                  </w:r>
                </w:p>
              </w:tc>
              <w:tc>
                <w:tcPr>
                  <w:tcW w:w="710" w:type="dxa"/>
                  <w:vMerge w:val="continue"/>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p>
              </w:tc>
              <w:tc>
                <w:tcPr>
                  <w:tcW w:w="897"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3</w:t>
                  </w:r>
                </w:p>
              </w:tc>
              <w:tc>
                <w:tcPr>
                  <w:tcW w:w="825"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3</w:t>
                  </w:r>
                </w:p>
              </w:tc>
              <w:tc>
                <w:tcPr>
                  <w:tcW w:w="1290" w:type="dxa"/>
                  <w:vMerge w:val="continue"/>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p>
              </w:tc>
              <w:tc>
                <w:tcPr>
                  <w:tcW w:w="647" w:type="dxa"/>
                  <w:vMerge w:val="continue"/>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p>
              </w:tc>
              <w:tc>
                <w:tcPr>
                  <w:tcW w:w="430" w:type="dxa"/>
                  <w:vMerge w:val="continue"/>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p>
              </w:tc>
              <w:tc>
                <w:tcPr>
                  <w:tcW w:w="835" w:type="dxa"/>
                  <w:vMerge w:val="continue"/>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p>
              </w:tc>
              <w:tc>
                <w:tcPr>
                  <w:tcW w:w="819" w:type="dxa"/>
                  <w:vMerge w:val="continue"/>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7" w:hRule="atLeast"/>
                <w:jc w:val="center"/>
              </w:trPr>
              <w:tc>
                <w:tcPr>
                  <w:tcW w:w="945" w:type="dxa"/>
                  <w:vAlign w:val="center"/>
                </w:tcPr>
                <w:p>
                  <w:pPr>
                    <w:adjustRightInd w:val="0"/>
                    <w:snapToGrid w:val="0"/>
                    <w:spacing w:line="240" w:lineRule="auto"/>
                    <w:jc w:val="center"/>
                    <w:rPr>
                      <w:rFonts w:hint="default" w:ascii="Times New Roman" w:hAnsi="Times New Roman" w:eastAsia="宋体" w:cs="Times New Roman"/>
                      <w:b w:val="0"/>
                      <w:bCs/>
                      <w:color w:val="auto"/>
                      <w:sz w:val="21"/>
                      <w:szCs w:val="21"/>
                      <w:lang w:val="en-US" w:eastAsia="zh-CN" w:bidi="ar-SA"/>
                    </w:rPr>
                  </w:pPr>
                  <w:r>
                    <w:rPr>
                      <w:rFonts w:hint="default" w:ascii="Times New Roman" w:hAnsi="Times New Roman" w:eastAsia="宋体" w:cs="Times New Roman"/>
                      <w:b w:val="0"/>
                      <w:bCs/>
                      <w:color w:val="auto"/>
                      <w:sz w:val="21"/>
                      <w:szCs w:val="21"/>
                      <w:lang w:val="en-US" w:eastAsia="zh-CN"/>
                    </w:rPr>
                    <w:t>废润滑油</w:t>
                  </w:r>
                </w:p>
              </w:tc>
              <w:tc>
                <w:tcPr>
                  <w:tcW w:w="796"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设备维护</w:t>
                  </w:r>
                </w:p>
              </w:tc>
              <w:tc>
                <w:tcPr>
                  <w:tcW w:w="710"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危险废物</w:t>
                  </w:r>
                </w:p>
              </w:tc>
              <w:tc>
                <w:tcPr>
                  <w:tcW w:w="897"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0.01</w:t>
                  </w:r>
                </w:p>
              </w:tc>
              <w:tc>
                <w:tcPr>
                  <w:tcW w:w="825"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0.01</w:t>
                  </w:r>
                </w:p>
              </w:tc>
              <w:tc>
                <w:tcPr>
                  <w:tcW w:w="1290"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暂存于危废间内，定期委托有资质的单位进行处置</w:t>
                  </w:r>
                </w:p>
              </w:tc>
              <w:tc>
                <w:tcPr>
                  <w:tcW w:w="647"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有</w:t>
                  </w:r>
                </w:p>
              </w:tc>
              <w:tc>
                <w:tcPr>
                  <w:tcW w:w="430"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有</w:t>
                  </w:r>
                </w:p>
              </w:tc>
              <w:tc>
                <w:tcPr>
                  <w:tcW w:w="835"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highlight w:val="none"/>
                      <w:lang w:val="en-US" w:eastAsia="zh-CN" w:bidi="ar-SA"/>
                    </w:rPr>
                    <w:t>已签</w:t>
                  </w:r>
                </w:p>
              </w:tc>
              <w:tc>
                <w:tcPr>
                  <w:tcW w:w="819"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暂未产生，未入库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945"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生活垃圾</w:t>
                  </w:r>
                </w:p>
              </w:tc>
              <w:tc>
                <w:tcPr>
                  <w:tcW w:w="796"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员工生活</w:t>
                  </w:r>
                </w:p>
              </w:tc>
              <w:tc>
                <w:tcPr>
                  <w:tcW w:w="710"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生活垃圾</w:t>
                  </w:r>
                </w:p>
              </w:tc>
              <w:tc>
                <w:tcPr>
                  <w:tcW w:w="897"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6.75</w:t>
                  </w:r>
                </w:p>
              </w:tc>
              <w:tc>
                <w:tcPr>
                  <w:tcW w:w="825"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6.75</w:t>
                  </w:r>
                </w:p>
              </w:tc>
              <w:tc>
                <w:tcPr>
                  <w:tcW w:w="1290"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垃圾桶</w:t>
                  </w:r>
                </w:p>
              </w:tc>
              <w:tc>
                <w:tcPr>
                  <w:tcW w:w="647"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w:t>
                  </w:r>
                </w:p>
              </w:tc>
              <w:tc>
                <w:tcPr>
                  <w:tcW w:w="430"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w:t>
                  </w:r>
                </w:p>
              </w:tc>
              <w:tc>
                <w:tcPr>
                  <w:tcW w:w="835"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w:t>
                  </w:r>
                </w:p>
              </w:tc>
              <w:tc>
                <w:tcPr>
                  <w:tcW w:w="819"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w:t>
                  </w:r>
                </w:p>
              </w:tc>
            </w:tr>
          </w:tbl>
          <w:p>
            <w:pPr>
              <w:pStyle w:val="9"/>
              <w:rPr>
                <w:rFonts w:hint="default" w:ascii="Times New Roman" w:hAnsi="Times New Roman" w:cs="Times New Roman" w:eastAsiaTheme="minorEastAsia"/>
                <w:b/>
                <w:bCs/>
                <w:sz w:val="24"/>
                <w:lang w:val="en-US" w:eastAsia="zh-CN"/>
              </w:rPr>
            </w:pPr>
            <w:r>
              <w:rPr>
                <w:rFonts w:hint="eastAsia" w:ascii="宋体" w:hAnsi="宋体" w:eastAsia="宋体" w:cs="宋体"/>
                <w:lang w:val="en-US" w:eastAsia="zh-CN"/>
              </w:rPr>
              <w:t>危废暂存间见附图</w:t>
            </w:r>
            <w:r>
              <w:rPr>
                <w:rFonts w:hint="default" w:ascii="Times New Roman" w:hAnsi="Times New Roman" w:eastAsia="宋体" w:cs="Times New Roman"/>
                <w:highlight w:val="none"/>
                <w:lang w:val="en-US" w:eastAsia="zh-CN"/>
              </w:rPr>
              <w:t>5</w:t>
            </w:r>
          </w:p>
          <w:p>
            <w:pPr>
              <w:keepNext w:val="0"/>
              <w:keepLines w:val="0"/>
              <w:suppressLineNumbers w:val="0"/>
              <w:adjustRightInd w:val="0"/>
              <w:snapToGrid w:val="0"/>
              <w:spacing w:before="0" w:beforeAutospacing="0" w:after="0" w:afterAutospacing="0" w:line="360" w:lineRule="auto"/>
              <w:ind w:left="0" w:right="0" w:firstLine="482" w:firstLineChars="200"/>
              <w:rPr>
                <w:rFonts w:hint="default" w:asciiTheme="minorEastAsia" w:hAnsiTheme="minorEastAsia" w:eastAsiaTheme="minorEastAsia" w:cstheme="minorEastAsia"/>
                <w:b/>
                <w:bCs/>
                <w:kern w:val="0"/>
                <w:sz w:val="24"/>
                <w:szCs w:val="22"/>
                <w:lang w:val="en-US" w:eastAsia="zh-CN" w:bidi="ar-SA"/>
              </w:rPr>
            </w:pPr>
            <w:r>
              <w:rPr>
                <w:rFonts w:hint="default" w:ascii="Times New Roman" w:hAnsi="Times New Roman" w:cs="Times New Roman" w:eastAsiaTheme="minorEastAsia"/>
                <w:b/>
                <w:bCs/>
                <w:kern w:val="0"/>
                <w:sz w:val="24"/>
                <w:szCs w:val="22"/>
                <w:lang w:val="en-US" w:eastAsia="zh-CN" w:bidi="ar-SA"/>
              </w:rPr>
              <w:t>5、</w:t>
            </w:r>
            <w:r>
              <w:rPr>
                <w:rFonts w:hint="eastAsia" w:asciiTheme="minorEastAsia" w:hAnsiTheme="minorEastAsia" w:eastAsiaTheme="minorEastAsia" w:cstheme="minorEastAsia"/>
                <w:b/>
                <w:bCs/>
                <w:kern w:val="0"/>
                <w:sz w:val="24"/>
                <w:szCs w:val="22"/>
                <w:lang w:val="en-US" w:eastAsia="zh-CN" w:bidi="ar-SA"/>
              </w:rPr>
              <w:t>环保设施投资及</w:t>
            </w:r>
            <w:r>
              <w:rPr>
                <w:rFonts w:hint="default" w:ascii="Times New Roman" w:hAnsi="Times New Roman" w:cs="Times New Roman" w:eastAsiaTheme="minorEastAsia"/>
                <w:b/>
                <w:bCs/>
                <w:kern w:val="0"/>
                <w:sz w:val="24"/>
                <w:szCs w:val="22"/>
                <w:lang w:val="en-US" w:eastAsia="zh-CN" w:bidi="ar-SA"/>
              </w:rPr>
              <w:t>“</w:t>
            </w:r>
            <w:r>
              <w:rPr>
                <w:rFonts w:hint="eastAsia" w:asciiTheme="minorEastAsia" w:hAnsiTheme="minorEastAsia" w:eastAsiaTheme="minorEastAsia" w:cstheme="minorEastAsia"/>
                <w:b/>
                <w:bCs/>
                <w:kern w:val="0"/>
                <w:sz w:val="24"/>
                <w:szCs w:val="22"/>
                <w:lang w:val="en-US" w:eastAsia="zh-CN" w:bidi="ar-SA"/>
              </w:rPr>
              <w:t>三同时落实情况</w:t>
            </w:r>
            <w:r>
              <w:rPr>
                <w:rFonts w:hint="default" w:ascii="Times New Roman" w:hAnsi="Times New Roman" w:cs="Times New Roman" w:eastAsiaTheme="minorEastAsia"/>
                <w:b/>
                <w:bCs/>
                <w:kern w:val="0"/>
                <w:sz w:val="24"/>
                <w:szCs w:val="22"/>
                <w:lang w:val="en-US" w:eastAsia="zh-CN" w:bidi="ar-SA"/>
              </w:rPr>
              <w:t>”</w:t>
            </w:r>
          </w:p>
          <w:p>
            <w:pPr>
              <w:spacing w:after="0" w:line="360" w:lineRule="auto"/>
              <w:ind w:firstLine="482" w:firstLineChars="200"/>
              <w:jc w:val="center"/>
              <w:rPr>
                <w:rFonts w:hint="default"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表</w:t>
            </w:r>
            <w:r>
              <w:rPr>
                <w:rFonts w:hint="default" w:ascii="Times New Roman" w:hAnsi="Times New Roman" w:cs="Times New Roman" w:eastAsiaTheme="minorEastAsia"/>
                <w:b/>
                <w:bCs/>
                <w:sz w:val="24"/>
                <w:szCs w:val="24"/>
                <w:lang w:val="en-US" w:eastAsia="zh-CN"/>
              </w:rPr>
              <w:t>3.</w:t>
            </w:r>
            <w:r>
              <w:rPr>
                <w:rFonts w:hint="eastAsia" w:ascii="Times New Roman" w:hAnsi="Times New Roman" w:cs="Times New Roman" w:eastAsiaTheme="minorEastAsia"/>
                <w:b/>
                <w:bCs/>
                <w:sz w:val="24"/>
                <w:szCs w:val="24"/>
                <w:lang w:val="en-US" w:eastAsia="zh-CN"/>
              </w:rPr>
              <w:t>4</w:t>
            </w:r>
            <w:r>
              <w:rPr>
                <w:rFonts w:hint="default" w:ascii="Times New Roman" w:hAnsi="Times New Roman" w:cs="Times New Roman" w:eastAsiaTheme="minorEastAsia"/>
                <w:b/>
                <w:bCs/>
                <w:sz w:val="24"/>
                <w:szCs w:val="24"/>
                <w:lang w:val="en-US" w:eastAsia="zh-CN"/>
              </w:rPr>
              <w:t xml:space="preserve"> </w:t>
            </w:r>
            <w:r>
              <w:rPr>
                <w:rFonts w:hint="eastAsia" w:asciiTheme="minorEastAsia" w:hAnsiTheme="minorEastAsia" w:eastAsiaTheme="minorEastAsia" w:cstheme="minorEastAsia"/>
                <w:b/>
                <w:bCs/>
                <w:sz w:val="24"/>
                <w:szCs w:val="24"/>
                <w:lang w:val="en-US" w:eastAsia="zh-CN"/>
              </w:rPr>
              <w:t>环保投资及“三同时”落实情况一览表</w:t>
            </w:r>
          </w:p>
          <w:tbl>
            <w:tblPr>
              <w:tblStyle w:val="14"/>
              <w:tblpPr w:leftFromText="180" w:rightFromText="180" w:vertAnchor="text" w:tblpXSpec="center" w:tblpY="1"/>
              <w:tblOverlap w:val="never"/>
              <w:tblW w:w="83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3"/>
              <w:gridCol w:w="807"/>
              <w:gridCol w:w="2321"/>
              <w:gridCol w:w="1102"/>
              <w:gridCol w:w="2311"/>
              <w:gridCol w:w="1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trPr>
              <w:tc>
                <w:tcPr>
                  <w:tcW w:w="703" w:type="dxa"/>
                  <w:vMerge w:val="restart"/>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项目</w:t>
                  </w:r>
                </w:p>
              </w:tc>
              <w:tc>
                <w:tcPr>
                  <w:tcW w:w="807" w:type="dxa"/>
                  <w:vMerge w:val="restart"/>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污染源</w:t>
                  </w:r>
                </w:p>
              </w:tc>
              <w:tc>
                <w:tcPr>
                  <w:tcW w:w="3423" w:type="dxa"/>
                  <w:gridSpan w:val="2"/>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环评阶段</w:t>
                  </w:r>
                </w:p>
              </w:tc>
              <w:tc>
                <w:tcPr>
                  <w:tcW w:w="3414" w:type="dxa"/>
                  <w:gridSpan w:val="2"/>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实际投入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703" w:type="dxa"/>
                  <w:vMerge w:val="continue"/>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b w:val="0"/>
                      <w:bCs/>
                      <w:sz w:val="21"/>
                      <w:szCs w:val="21"/>
                    </w:rPr>
                  </w:pPr>
                </w:p>
              </w:tc>
              <w:tc>
                <w:tcPr>
                  <w:tcW w:w="807" w:type="dxa"/>
                  <w:vMerge w:val="continue"/>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b w:val="0"/>
                      <w:bCs/>
                      <w:sz w:val="21"/>
                      <w:szCs w:val="21"/>
                    </w:rPr>
                  </w:pPr>
                </w:p>
              </w:tc>
              <w:tc>
                <w:tcPr>
                  <w:tcW w:w="2321"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工程内容及规模</w:t>
                  </w:r>
                </w:p>
              </w:tc>
              <w:tc>
                <w:tcPr>
                  <w:tcW w:w="1102"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估算投资（万元）</w:t>
                  </w:r>
                </w:p>
              </w:tc>
              <w:tc>
                <w:tcPr>
                  <w:tcW w:w="2311"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工程内容及规模</w:t>
                  </w:r>
                </w:p>
              </w:tc>
              <w:tc>
                <w:tcPr>
                  <w:tcW w:w="1103"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实际投资（万元）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703"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废水治理</w:t>
                  </w:r>
                </w:p>
              </w:tc>
              <w:tc>
                <w:tcPr>
                  <w:tcW w:w="807"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生活污水</w:t>
                  </w:r>
                </w:p>
              </w:tc>
              <w:tc>
                <w:tcPr>
                  <w:tcW w:w="2321"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color w:val="auto"/>
                      <w:sz w:val="21"/>
                      <w:szCs w:val="21"/>
                    </w:rPr>
                    <w:t>化粪池、雨污分流管网</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val="en-US" w:eastAsia="zh-CN"/>
                    </w:rPr>
                    <w:t>均依托租赁厂区</w:t>
                  </w:r>
                  <w:r>
                    <w:rPr>
                      <w:rFonts w:hint="default" w:ascii="Times New Roman" w:hAnsi="Times New Roman" w:eastAsia="宋体" w:cs="Times New Roman"/>
                      <w:color w:val="auto"/>
                      <w:sz w:val="21"/>
                      <w:szCs w:val="21"/>
                      <w:lang w:eastAsia="zh-CN"/>
                    </w:rPr>
                    <w:t>）</w:t>
                  </w:r>
                </w:p>
              </w:tc>
              <w:tc>
                <w:tcPr>
                  <w:tcW w:w="1102"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highlight w:val="yellow"/>
                      <w:lang w:val="en-US" w:eastAsia="zh-CN"/>
                    </w:rPr>
                  </w:pPr>
                  <w:r>
                    <w:rPr>
                      <w:rFonts w:hint="default" w:ascii="Times New Roman" w:hAnsi="Times New Roman" w:eastAsia="宋体" w:cs="Times New Roman"/>
                      <w:sz w:val="21"/>
                      <w:szCs w:val="21"/>
                      <w:highlight w:val="none"/>
                      <w:lang w:val="en-US" w:eastAsia="zh-CN"/>
                    </w:rPr>
                    <w:t>/</w:t>
                  </w:r>
                </w:p>
              </w:tc>
              <w:tc>
                <w:tcPr>
                  <w:tcW w:w="2311"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化粪池、雨污分流管网</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均依托租赁厂区</w:t>
                  </w:r>
                  <w:r>
                    <w:rPr>
                      <w:rFonts w:hint="default" w:ascii="Times New Roman" w:hAnsi="Times New Roman" w:eastAsia="宋体" w:cs="Times New Roman"/>
                      <w:sz w:val="21"/>
                      <w:szCs w:val="21"/>
                      <w:lang w:eastAsia="zh-CN"/>
                    </w:rPr>
                    <w:t>）</w:t>
                  </w:r>
                </w:p>
              </w:tc>
              <w:tc>
                <w:tcPr>
                  <w:tcW w:w="1103"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highlight w:val="yellow"/>
                      <w:lang w:val="en-US" w:eastAsia="zh-CN"/>
                    </w:rPr>
                  </w:pPr>
                  <w:r>
                    <w:rPr>
                      <w:rFonts w:hint="default" w:ascii="Times New Roman" w:hAnsi="Times New Roman" w:eastAsia="宋体" w:cs="Times New Roman"/>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703" w:type="dxa"/>
                  <w:vMerge w:val="restart"/>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固废治理</w:t>
                  </w:r>
                </w:p>
              </w:tc>
              <w:tc>
                <w:tcPr>
                  <w:tcW w:w="807"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一般工业固废</w:t>
                  </w:r>
                </w:p>
              </w:tc>
              <w:tc>
                <w:tcPr>
                  <w:tcW w:w="2321"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rPr>
                    <w:t>一般工业固废</w:t>
                  </w:r>
                  <w:r>
                    <w:rPr>
                      <w:rFonts w:hint="default" w:ascii="Times New Roman" w:hAnsi="Times New Roman" w:eastAsia="宋体" w:cs="Times New Roman"/>
                      <w:b w:val="0"/>
                      <w:bCs/>
                      <w:sz w:val="21"/>
                      <w:szCs w:val="21"/>
                      <w:lang w:val="en-US" w:eastAsia="zh-CN"/>
                    </w:rPr>
                    <w:t>贮存</w:t>
                  </w:r>
                  <w:r>
                    <w:rPr>
                      <w:rFonts w:hint="default" w:ascii="Times New Roman" w:hAnsi="Times New Roman" w:eastAsia="宋体" w:cs="Times New Roman"/>
                      <w:b w:val="0"/>
                      <w:bCs/>
                      <w:sz w:val="21"/>
                      <w:szCs w:val="21"/>
                    </w:rPr>
                    <w:t>间</w:t>
                  </w:r>
                </w:p>
              </w:tc>
              <w:tc>
                <w:tcPr>
                  <w:tcW w:w="1102"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w:t>
                  </w:r>
                </w:p>
              </w:tc>
              <w:tc>
                <w:tcPr>
                  <w:tcW w:w="2311"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b w:val="0"/>
                      <w:bCs/>
                      <w:sz w:val="21"/>
                      <w:szCs w:val="21"/>
                      <w:lang w:val="en-US" w:eastAsia="zh-CN" w:bidi="ar-SA"/>
                    </w:rPr>
                  </w:pPr>
                  <w:r>
                    <w:rPr>
                      <w:rFonts w:hint="default" w:ascii="Times New Roman" w:hAnsi="Times New Roman" w:eastAsia="宋体" w:cs="Times New Roman"/>
                      <w:b w:val="0"/>
                      <w:bCs/>
                      <w:sz w:val="21"/>
                      <w:szCs w:val="21"/>
                    </w:rPr>
                    <w:t>一般工业固废</w:t>
                  </w:r>
                  <w:r>
                    <w:rPr>
                      <w:rFonts w:hint="default" w:ascii="Times New Roman" w:hAnsi="Times New Roman" w:eastAsia="宋体" w:cs="Times New Roman"/>
                      <w:b w:val="0"/>
                      <w:bCs/>
                      <w:sz w:val="21"/>
                      <w:szCs w:val="21"/>
                      <w:lang w:val="en-US" w:eastAsia="zh-CN"/>
                    </w:rPr>
                    <w:t>贮存</w:t>
                  </w:r>
                  <w:r>
                    <w:rPr>
                      <w:rFonts w:hint="default" w:ascii="Times New Roman" w:hAnsi="Times New Roman" w:eastAsia="宋体" w:cs="Times New Roman"/>
                      <w:b w:val="0"/>
                      <w:bCs/>
                      <w:sz w:val="21"/>
                      <w:szCs w:val="21"/>
                    </w:rPr>
                    <w:t>间</w:t>
                  </w:r>
                </w:p>
              </w:tc>
              <w:tc>
                <w:tcPr>
                  <w:tcW w:w="1103"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703" w:type="dxa"/>
                  <w:vMerge w:val="continue"/>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rPr>
                  </w:pPr>
                </w:p>
              </w:tc>
              <w:tc>
                <w:tcPr>
                  <w:tcW w:w="807"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危险废物</w:t>
                  </w:r>
                </w:p>
              </w:tc>
              <w:tc>
                <w:tcPr>
                  <w:tcW w:w="2321"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规范化危废贮存库</w:t>
                  </w:r>
                </w:p>
              </w:tc>
              <w:tc>
                <w:tcPr>
                  <w:tcW w:w="1102"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c>
                <w:tcPr>
                  <w:tcW w:w="2311"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b w:val="0"/>
                      <w:bCs/>
                      <w:sz w:val="21"/>
                      <w:szCs w:val="21"/>
                      <w:lang w:val="en-US" w:eastAsia="zh-CN" w:bidi="ar-SA"/>
                    </w:rPr>
                  </w:pPr>
                  <w:r>
                    <w:rPr>
                      <w:rFonts w:hint="default" w:ascii="Times New Roman" w:hAnsi="Times New Roman" w:eastAsia="宋体" w:cs="Times New Roman"/>
                      <w:b w:val="0"/>
                      <w:bCs/>
                      <w:sz w:val="21"/>
                      <w:szCs w:val="21"/>
                      <w:lang w:val="en-US" w:eastAsia="zh-CN"/>
                    </w:rPr>
                    <w:t>规范化危废贮存库</w:t>
                  </w:r>
                </w:p>
              </w:tc>
              <w:tc>
                <w:tcPr>
                  <w:tcW w:w="1103"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703" w:type="dxa"/>
                  <w:vMerge w:val="continue"/>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rPr>
                  </w:pPr>
                </w:p>
              </w:tc>
              <w:tc>
                <w:tcPr>
                  <w:tcW w:w="807"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生活垃圾</w:t>
                  </w:r>
                </w:p>
              </w:tc>
              <w:tc>
                <w:tcPr>
                  <w:tcW w:w="2321"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垃圾桶</w:t>
                  </w:r>
                </w:p>
              </w:tc>
              <w:tc>
                <w:tcPr>
                  <w:tcW w:w="1102"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2311"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rPr>
                    <w:t>垃圾桶</w:t>
                  </w:r>
                </w:p>
              </w:tc>
              <w:tc>
                <w:tcPr>
                  <w:tcW w:w="1103"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9" w:hRule="atLeast"/>
              </w:trPr>
              <w:tc>
                <w:tcPr>
                  <w:tcW w:w="703"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噪声治理</w:t>
                  </w:r>
                </w:p>
              </w:tc>
              <w:tc>
                <w:tcPr>
                  <w:tcW w:w="807"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生产、质检</w:t>
                  </w:r>
                </w:p>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设备</w:t>
                  </w:r>
                </w:p>
              </w:tc>
              <w:tc>
                <w:tcPr>
                  <w:tcW w:w="2321"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减振、隔声、消声装置</w:t>
                  </w:r>
                </w:p>
              </w:tc>
              <w:tc>
                <w:tcPr>
                  <w:tcW w:w="1102"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p>
              </w:tc>
              <w:tc>
                <w:tcPr>
                  <w:tcW w:w="2311"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减振、隔声、消声装置</w:t>
                  </w:r>
                </w:p>
              </w:tc>
              <w:tc>
                <w:tcPr>
                  <w:tcW w:w="1103"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703"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土壤及地下水</w:t>
                  </w:r>
                </w:p>
              </w:tc>
              <w:tc>
                <w:tcPr>
                  <w:tcW w:w="807"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原辅料</w:t>
                  </w:r>
                </w:p>
              </w:tc>
              <w:tc>
                <w:tcPr>
                  <w:tcW w:w="2321"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分区防渗</w:t>
                  </w:r>
                </w:p>
              </w:tc>
              <w:tc>
                <w:tcPr>
                  <w:tcW w:w="1102"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w:t>
                  </w:r>
                </w:p>
              </w:tc>
              <w:tc>
                <w:tcPr>
                  <w:tcW w:w="2311"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分区防渗</w:t>
                  </w:r>
                </w:p>
              </w:tc>
              <w:tc>
                <w:tcPr>
                  <w:tcW w:w="1103"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703"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环境风险防范措施</w:t>
                  </w:r>
                </w:p>
              </w:tc>
              <w:tc>
                <w:tcPr>
                  <w:tcW w:w="807"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生产</w:t>
                  </w:r>
                </w:p>
              </w:tc>
              <w:tc>
                <w:tcPr>
                  <w:tcW w:w="2321"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分区防渗、加强管理，</w:t>
                  </w:r>
                  <w:r>
                    <w:rPr>
                      <w:rFonts w:hint="default" w:ascii="Times New Roman" w:hAnsi="Times New Roman" w:eastAsia="宋体" w:cs="Times New Roman"/>
                      <w:sz w:val="21"/>
                      <w:szCs w:val="21"/>
                    </w:rPr>
                    <w:t>编制突发环境事件应急预案，建立完善的应急体系和管理组织机构，制定切实可行的处置措施，建立应急联动，与园区应急预案衔接</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配备应急设施和物资</w:t>
                  </w:r>
                </w:p>
              </w:tc>
              <w:tc>
                <w:tcPr>
                  <w:tcW w:w="1102"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30</w:t>
                  </w:r>
                </w:p>
              </w:tc>
              <w:tc>
                <w:tcPr>
                  <w:tcW w:w="2311"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分区防渗、加强管理，</w:t>
                  </w:r>
                  <w:r>
                    <w:rPr>
                      <w:rFonts w:hint="default" w:ascii="Times New Roman" w:hAnsi="Times New Roman" w:eastAsia="宋体" w:cs="Times New Roman"/>
                      <w:sz w:val="21"/>
                      <w:szCs w:val="21"/>
                    </w:rPr>
                    <w:t>编制突发环境事件应急预案，建立完善的应急体系和管理组织机构，制定切实可行的处置措施，建立应急联动，与园区应急预案衔接</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配备应急设施和物资</w:t>
                  </w:r>
                </w:p>
              </w:tc>
              <w:tc>
                <w:tcPr>
                  <w:tcW w:w="1103"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trPr>
              <w:tc>
                <w:tcPr>
                  <w:tcW w:w="3831" w:type="dxa"/>
                  <w:gridSpan w:val="3"/>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合计</w:t>
                  </w:r>
                </w:p>
              </w:tc>
              <w:tc>
                <w:tcPr>
                  <w:tcW w:w="1102"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69.0</w:t>
                  </w:r>
                </w:p>
              </w:tc>
              <w:tc>
                <w:tcPr>
                  <w:tcW w:w="2311"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b w:val="0"/>
                      <w:bCs/>
                      <w:sz w:val="21"/>
                      <w:szCs w:val="21"/>
                    </w:rPr>
                  </w:pPr>
                </w:p>
              </w:tc>
              <w:tc>
                <w:tcPr>
                  <w:tcW w:w="1103"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70</w:t>
                  </w:r>
                  <w:r>
                    <w:rPr>
                      <w:rFonts w:hint="default" w:ascii="Times New Roman" w:hAnsi="Times New Roman" w:eastAsia="宋体" w:cs="Times New Roman"/>
                      <w:b w:val="0"/>
                      <w:bCs/>
                      <w:sz w:val="21"/>
                      <w:szCs w:val="21"/>
                      <w:lang w:val="en-US" w:eastAsia="zh-CN"/>
                    </w:rPr>
                    <w:t>.0</w:t>
                  </w:r>
                </w:p>
              </w:tc>
            </w:tr>
          </w:tbl>
          <w:p>
            <w:pPr>
              <w:spacing w:after="0" w:line="360" w:lineRule="auto"/>
              <w:rPr>
                <w:rFonts w:hint="eastAsia" w:asciiTheme="minorEastAsia" w:hAnsiTheme="minorEastAsia" w:eastAsiaTheme="minorEastAsia" w:cstheme="minorEastAsia"/>
                <w:sz w:val="24"/>
                <w:szCs w:val="24"/>
                <w:lang w:eastAsia="zh-CN"/>
              </w:rPr>
            </w:pPr>
          </w:p>
          <w:p>
            <w:pPr>
              <w:spacing w:after="0" w:line="360" w:lineRule="auto"/>
              <w:rPr>
                <w:rFonts w:hint="eastAsia" w:asciiTheme="minorEastAsia" w:hAnsiTheme="minorEastAsia" w:eastAsiaTheme="minorEastAsia" w:cstheme="minorEastAsia"/>
                <w:sz w:val="24"/>
                <w:szCs w:val="24"/>
                <w:lang w:eastAsia="zh-CN"/>
              </w:rPr>
            </w:pPr>
          </w:p>
          <w:p>
            <w:pPr>
              <w:spacing w:after="0" w:line="360" w:lineRule="auto"/>
              <w:rPr>
                <w:rFonts w:hint="eastAsia" w:asciiTheme="minorEastAsia" w:hAnsiTheme="minorEastAsia" w:eastAsiaTheme="minorEastAsia" w:cstheme="minorEastAsia"/>
                <w:sz w:val="24"/>
                <w:szCs w:val="24"/>
                <w:lang w:eastAsia="zh-CN"/>
              </w:rPr>
            </w:pPr>
          </w:p>
          <w:p>
            <w:pPr>
              <w:spacing w:after="0" w:line="360" w:lineRule="auto"/>
              <w:rPr>
                <w:rFonts w:hint="eastAsia" w:asciiTheme="minorEastAsia" w:hAnsiTheme="minorEastAsia" w:eastAsiaTheme="minorEastAsia" w:cstheme="minorEastAsia"/>
                <w:sz w:val="24"/>
                <w:szCs w:val="24"/>
                <w:lang w:eastAsia="zh-CN"/>
              </w:rPr>
            </w:pPr>
          </w:p>
          <w:p>
            <w:pPr>
              <w:spacing w:after="0" w:line="360" w:lineRule="auto"/>
              <w:rPr>
                <w:rFonts w:hint="eastAsia" w:asciiTheme="minorEastAsia" w:hAnsiTheme="minorEastAsia" w:eastAsiaTheme="minorEastAsia" w:cstheme="minorEastAsia"/>
                <w:sz w:val="24"/>
                <w:szCs w:val="24"/>
                <w:lang w:eastAsia="zh-CN"/>
              </w:rPr>
            </w:pPr>
          </w:p>
          <w:p>
            <w:pPr>
              <w:spacing w:after="0" w:line="360" w:lineRule="auto"/>
              <w:rPr>
                <w:rFonts w:hint="eastAsia" w:asciiTheme="minorEastAsia" w:hAnsiTheme="minorEastAsia" w:eastAsiaTheme="minorEastAsia" w:cstheme="minorEastAsia"/>
                <w:sz w:val="24"/>
                <w:szCs w:val="24"/>
                <w:lang w:eastAsia="zh-CN"/>
              </w:rPr>
            </w:pPr>
          </w:p>
          <w:p>
            <w:pPr>
              <w:spacing w:after="0" w:line="360" w:lineRule="auto"/>
              <w:rPr>
                <w:rFonts w:hint="eastAsia" w:asciiTheme="minorEastAsia" w:hAnsiTheme="minorEastAsia" w:eastAsiaTheme="minorEastAsia" w:cstheme="minorEastAsia"/>
                <w:sz w:val="24"/>
                <w:szCs w:val="24"/>
                <w:lang w:eastAsia="zh-CN"/>
              </w:rPr>
            </w:pPr>
          </w:p>
          <w:p>
            <w:pPr>
              <w:spacing w:after="0" w:line="360" w:lineRule="auto"/>
              <w:rPr>
                <w:rFonts w:hint="eastAsia" w:asciiTheme="minorEastAsia" w:hAnsiTheme="minorEastAsia" w:eastAsiaTheme="minorEastAsia" w:cstheme="minorEastAsia"/>
                <w:sz w:val="24"/>
                <w:szCs w:val="24"/>
                <w:lang w:eastAsia="zh-CN"/>
              </w:rPr>
            </w:pPr>
          </w:p>
          <w:p>
            <w:pPr>
              <w:spacing w:after="0" w:line="360" w:lineRule="auto"/>
              <w:rPr>
                <w:rFonts w:hint="eastAsia" w:asciiTheme="minorEastAsia" w:hAnsiTheme="minorEastAsia" w:eastAsiaTheme="minorEastAsia" w:cstheme="minorEastAsia"/>
                <w:sz w:val="24"/>
                <w:szCs w:val="24"/>
                <w:lang w:eastAsia="zh-CN"/>
              </w:rPr>
            </w:pPr>
          </w:p>
          <w:p>
            <w:pPr>
              <w:spacing w:after="0" w:line="360" w:lineRule="auto"/>
              <w:rPr>
                <w:rFonts w:hint="eastAsia" w:asciiTheme="minorEastAsia" w:hAnsiTheme="minorEastAsia" w:eastAsiaTheme="minorEastAsia" w:cstheme="minorEastAsia"/>
                <w:sz w:val="24"/>
                <w:szCs w:val="24"/>
                <w:lang w:eastAsia="zh-CN"/>
              </w:rPr>
            </w:pPr>
          </w:p>
          <w:p>
            <w:pPr>
              <w:spacing w:after="0" w:line="360" w:lineRule="auto"/>
              <w:rPr>
                <w:rFonts w:hint="eastAsia" w:asciiTheme="minorEastAsia" w:hAnsiTheme="minorEastAsia" w:eastAsiaTheme="minorEastAsia" w:cstheme="minorEastAsia"/>
                <w:sz w:val="24"/>
                <w:szCs w:val="24"/>
                <w:lang w:eastAsia="zh-CN"/>
              </w:rPr>
            </w:pPr>
          </w:p>
          <w:p>
            <w:pPr>
              <w:spacing w:after="0" w:line="360" w:lineRule="auto"/>
              <w:rPr>
                <w:rFonts w:hint="eastAsia" w:asciiTheme="minorEastAsia" w:hAnsiTheme="minorEastAsia" w:eastAsiaTheme="minorEastAsia" w:cstheme="minorEastAsia"/>
                <w:sz w:val="24"/>
                <w:szCs w:val="24"/>
                <w:lang w:eastAsia="zh-CN"/>
              </w:rPr>
            </w:pPr>
          </w:p>
          <w:p>
            <w:pPr>
              <w:spacing w:after="0" w:line="360" w:lineRule="auto"/>
              <w:rPr>
                <w:rFonts w:hint="eastAsia" w:asciiTheme="minorEastAsia" w:hAnsiTheme="minorEastAsia" w:eastAsiaTheme="minorEastAsia" w:cstheme="minorEastAsia"/>
                <w:sz w:val="24"/>
                <w:szCs w:val="24"/>
                <w:lang w:eastAsia="zh-CN"/>
              </w:rPr>
            </w:pPr>
          </w:p>
          <w:p>
            <w:pPr>
              <w:spacing w:after="0" w:line="360" w:lineRule="auto"/>
              <w:rPr>
                <w:rFonts w:hint="eastAsia" w:asciiTheme="minorEastAsia" w:hAnsiTheme="minorEastAsia" w:eastAsiaTheme="minorEastAsia" w:cstheme="minorEastAsia"/>
                <w:sz w:val="24"/>
                <w:szCs w:val="24"/>
                <w:lang w:eastAsia="zh-CN"/>
              </w:rPr>
            </w:pPr>
          </w:p>
          <w:p>
            <w:pPr>
              <w:spacing w:after="0" w:line="360" w:lineRule="auto"/>
              <w:rPr>
                <w:rFonts w:hint="eastAsia" w:asciiTheme="minorEastAsia" w:hAnsiTheme="minorEastAsia" w:eastAsiaTheme="minorEastAsia" w:cstheme="minorEastAsia"/>
                <w:sz w:val="24"/>
                <w:szCs w:val="24"/>
                <w:lang w:eastAsia="zh-CN"/>
              </w:rPr>
            </w:pPr>
          </w:p>
          <w:p>
            <w:pPr>
              <w:spacing w:after="0" w:line="360" w:lineRule="auto"/>
              <w:rPr>
                <w:rFonts w:hint="eastAsia" w:asciiTheme="minorEastAsia" w:hAnsiTheme="minorEastAsia" w:eastAsiaTheme="minorEastAsia" w:cstheme="minorEastAsia"/>
                <w:sz w:val="24"/>
                <w:szCs w:val="24"/>
                <w:lang w:eastAsia="zh-CN"/>
              </w:rPr>
            </w:pPr>
          </w:p>
          <w:p>
            <w:pPr>
              <w:spacing w:after="0" w:line="360" w:lineRule="auto"/>
              <w:rPr>
                <w:rFonts w:hint="eastAsia" w:asciiTheme="minorEastAsia" w:hAnsiTheme="minorEastAsia" w:eastAsiaTheme="minorEastAsia" w:cstheme="minorEastAsia"/>
                <w:sz w:val="24"/>
                <w:szCs w:val="24"/>
                <w:lang w:eastAsia="zh-CN"/>
              </w:rPr>
            </w:pPr>
          </w:p>
          <w:p>
            <w:pPr>
              <w:spacing w:after="0" w:line="360" w:lineRule="auto"/>
              <w:rPr>
                <w:rFonts w:hint="eastAsia" w:asciiTheme="minorEastAsia" w:hAnsiTheme="minorEastAsia" w:eastAsiaTheme="minorEastAsia" w:cstheme="minorEastAsia"/>
                <w:sz w:val="24"/>
                <w:szCs w:val="24"/>
                <w:lang w:eastAsia="zh-CN"/>
              </w:rPr>
            </w:pPr>
          </w:p>
          <w:p>
            <w:pPr>
              <w:spacing w:after="0" w:line="360" w:lineRule="auto"/>
              <w:rPr>
                <w:rFonts w:hint="eastAsia" w:asciiTheme="minorEastAsia" w:hAnsiTheme="minorEastAsia" w:eastAsiaTheme="minorEastAsia" w:cstheme="minorEastAsia"/>
                <w:sz w:val="24"/>
                <w:szCs w:val="24"/>
                <w:lang w:eastAsia="zh-CN"/>
              </w:rPr>
            </w:pPr>
          </w:p>
          <w:p>
            <w:pPr>
              <w:spacing w:after="0" w:line="360" w:lineRule="auto"/>
              <w:rPr>
                <w:rFonts w:hint="eastAsia" w:asciiTheme="minorEastAsia" w:hAnsiTheme="minorEastAsia" w:eastAsiaTheme="minorEastAsia" w:cstheme="minorEastAsia"/>
                <w:sz w:val="24"/>
                <w:szCs w:val="24"/>
                <w:lang w:eastAsia="zh-CN"/>
              </w:rPr>
            </w:pPr>
          </w:p>
          <w:p>
            <w:pPr>
              <w:spacing w:after="0" w:line="360" w:lineRule="auto"/>
              <w:rPr>
                <w:rFonts w:hint="eastAsia" w:asciiTheme="minorEastAsia" w:hAnsiTheme="minorEastAsia" w:eastAsiaTheme="minorEastAsia" w:cstheme="minorEastAsia"/>
                <w:sz w:val="24"/>
                <w:szCs w:val="24"/>
                <w:lang w:eastAsia="zh-CN"/>
              </w:rPr>
            </w:pPr>
          </w:p>
        </w:tc>
      </w:tr>
    </w:tbl>
    <w:p>
      <w:pPr>
        <w:sectPr>
          <w:pgSz w:w="12240" w:h="15840"/>
          <w:pgMar w:top="1440" w:right="1800" w:bottom="1440" w:left="1800" w:header="720" w:footer="720" w:gutter="0"/>
          <w:lnNumType w:countBy="0" w:distance="360"/>
          <w:cols w:space="720" w:num="1"/>
          <w:docGrid w:type="lines" w:linePitch="312" w:charSpace="0"/>
        </w:sectPr>
      </w:pPr>
    </w:p>
    <w:p>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default" w:ascii="宋体" w:hAnsi="宋体" w:eastAsia="宋体" w:cs="宋体"/>
          <w:b/>
          <w:bCs/>
          <w:sz w:val="28"/>
          <w:szCs w:val="28"/>
          <w:vertAlign w:val="baseline"/>
          <w:lang w:val="en-US" w:eastAsia="zh-CN"/>
        </w:rPr>
      </w:pPr>
      <w:r>
        <w:rPr>
          <w:rFonts w:hint="eastAsia" w:ascii="宋体" w:hAnsi="宋体" w:eastAsia="宋体" w:cs="宋体"/>
          <w:b/>
          <w:bCs/>
          <w:sz w:val="28"/>
          <w:szCs w:val="28"/>
          <w:lang w:val="en-US" w:eastAsia="zh-CN"/>
        </w:rPr>
        <w:t>表四</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6" w:type="dxa"/>
          </w:tcPr>
          <w:p>
            <w:pPr>
              <w:keepNext w:val="0"/>
              <w:keepLines w:val="0"/>
              <w:pageBreakBefore w:val="0"/>
              <w:widowControl/>
              <w:kinsoku/>
              <w:wordWrap/>
              <w:overflowPunct/>
              <w:topLinePunct w:val="0"/>
              <w:autoSpaceDE/>
              <w:autoSpaceDN/>
              <w:bidi w:val="0"/>
              <w:adjustRightInd w:val="0"/>
              <w:snapToGrid w:val="0"/>
              <w:spacing w:after="0" w:line="360" w:lineRule="auto"/>
              <w:ind w:firstLine="0" w:firstLineChars="0"/>
              <w:textAlignment w:val="auto"/>
              <w:rPr>
                <w:rFonts w:hint="default" w:ascii="Times New Roman" w:hAnsi="Times New Roman" w:cs="Times New Roman" w:eastAsiaTheme="minorEastAsia"/>
                <w:b/>
                <w:sz w:val="24"/>
                <w:szCs w:val="24"/>
                <w:lang w:val="en-US" w:eastAsia="zh-CN"/>
              </w:rPr>
            </w:pPr>
            <w:r>
              <w:rPr>
                <w:rFonts w:hint="eastAsia" w:ascii="Times New Roman" w:hAnsi="Times New Roman" w:cs="Times New Roman" w:eastAsiaTheme="minorEastAsia"/>
                <w:b/>
                <w:sz w:val="24"/>
                <w:szCs w:val="24"/>
                <w:lang w:val="en-US" w:eastAsia="zh-CN"/>
              </w:rPr>
              <w:t>建设项目环境影响报告表主要结论及审批部门审批决定</w:t>
            </w:r>
          </w:p>
          <w:p>
            <w:pPr>
              <w:keepNext w:val="0"/>
              <w:keepLines w:val="0"/>
              <w:pageBreakBefore w:val="0"/>
              <w:widowControl/>
              <w:kinsoku/>
              <w:wordWrap/>
              <w:overflowPunct/>
              <w:topLinePunct w:val="0"/>
              <w:autoSpaceDE/>
              <w:autoSpaceDN/>
              <w:bidi w:val="0"/>
              <w:adjustRightInd w:val="0"/>
              <w:snapToGrid w:val="0"/>
              <w:spacing w:after="0" w:line="360" w:lineRule="auto"/>
              <w:ind w:firstLine="0" w:firstLineChars="0"/>
              <w:textAlignment w:val="auto"/>
              <w:rPr>
                <w:rFonts w:hint="eastAsia" w:asciiTheme="minorEastAsia" w:hAnsiTheme="minorEastAsia" w:eastAsiaTheme="minorEastAsia" w:cstheme="minorEastAsia"/>
                <w:b/>
                <w:sz w:val="24"/>
                <w:szCs w:val="24"/>
              </w:rPr>
            </w:pPr>
            <w:r>
              <w:rPr>
                <w:rFonts w:hint="default" w:ascii="Times New Roman" w:hAnsi="Times New Roman" w:cs="Times New Roman" w:eastAsiaTheme="minorEastAsia"/>
                <w:b/>
                <w:sz w:val="24"/>
                <w:szCs w:val="24"/>
              </w:rPr>
              <w:t>1</w:t>
            </w:r>
            <w:r>
              <w:rPr>
                <w:rFonts w:hint="eastAsia" w:asciiTheme="minorEastAsia" w:hAnsiTheme="minorEastAsia" w:eastAsiaTheme="minorEastAsia" w:cstheme="minorEastAsia"/>
                <w:b/>
                <w:sz w:val="24"/>
                <w:szCs w:val="24"/>
              </w:rPr>
              <w:t>、</w:t>
            </w:r>
            <w:r>
              <w:rPr>
                <w:rFonts w:hint="eastAsia" w:asciiTheme="minorEastAsia" w:hAnsiTheme="minorEastAsia" w:eastAsiaTheme="minorEastAsia" w:cstheme="minorEastAsia"/>
                <w:b/>
                <w:sz w:val="24"/>
                <w:szCs w:val="24"/>
                <w:lang w:val="en-US" w:eastAsia="zh-CN"/>
              </w:rPr>
              <w:t>环评</w:t>
            </w:r>
            <w:r>
              <w:rPr>
                <w:rFonts w:hint="eastAsia" w:asciiTheme="minorEastAsia" w:hAnsiTheme="minorEastAsia" w:eastAsiaTheme="minorEastAsia" w:cstheme="minorEastAsia"/>
                <w:b/>
                <w:sz w:val="24"/>
                <w:szCs w:val="24"/>
              </w:rPr>
              <w:t>主要结论</w:t>
            </w:r>
          </w:p>
          <w:p>
            <w:pPr>
              <w:keepNext w:val="0"/>
              <w:keepLines w:val="0"/>
              <w:pageBreakBefore w:val="0"/>
              <w:widowControl/>
              <w:kinsoku/>
              <w:wordWrap/>
              <w:overflowPunct/>
              <w:topLinePunct w:val="0"/>
              <w:autoSpaceDE/>
              <w:autoSpaceDN/>
              <w:bidi w:val="0"/>
              <w:adjustRightInd w:val="0"/>
              <w:snapToGrid w:val="0"/>
              <w:spacing w:after="0" w:line="360" w:lineRule="auto"/>
              <w:ind w:firstLine="0" w:firstLineChars="0"/>
              <w:jc w:val="center"/>
              <w:textAlignment w:val="auto"/>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表</w:t>
            </w:r>
            <w:r>
              <w:rPr>
                <w:rFonts w:hint="default" w:ascii="Times New Roman" w:hAnsi="Times New Roman" w:cs="Times New Roman" w:eastAsiaTheme="minorEastAsia"/>
                <w:b/>
                <w:sz w:val="24"/>
                <w:szCs w:val="24"/>
              </w:rPr>
              <w:t>4.1</w:t>
            </w:r>
            <w:r>
              <w:rPr>
                <w:rFonts w:hint="eastAsia" w:asciiTheme="minorEastAsia" w:hAnsiTheme="minorEastAsia" w:eastAsiaTheme="minorEastAsia" w:cstheme="minorEastAsia"/>
                <w:b/>
                <w:sz w:val="24"/>
                <w:szCs w:val="24"/>
              </w:rPr>
              <w:t xml:space="preserve"> 项目环评表主要结论</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4"/>
              <w:gridCol w:w="4075"/>
              <w:gridCol w:w="34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sz w:val="21"/>
                      <w:szCs w:val="21"/>
                    </w:rPr>
                  </w:pPr>
                  <w:r>
                    <w:rPr>
                      <w:rFonts w:hint="eastAsia" w:ascii="宋体" w:hAnsi="宋体" w:eastAsia="宋体" w:cs="宋体"/>
                      <w:sz w:val="21"/>
                      <w:szCs w:val="21"/>
                    </w:rPr>
                    <w:t>项目</w:t>
                  </w:r>
                </w:p>
              </w:tc>
              <w:tc>
                <w:tcPr>
                  <w:tcW w:w="4075"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环评</w:t>
                  </w:r>
                  <w:r>
                    <w:rPr>
                      <w:rFonts w:hint="eastAsia" w:ascii="宋体" w:hAnsi="宋体" w:eastAsia="宋体" w:cs="宋体"/>
                      <w:sz w:val="21"/>
                      <w:szCs w:val="21"/>
                    </w:rPr>
                    <w:t>结论</w:t>
                  </w:r>
                </w:p>
              </w:tc>
              <w:tc>
                <w:tcPr>
                  <w:tcW w:w="3487"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实际建设内容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sz w:val="21"/>
                      <w:szCs w:val="21"/>
                    </w:rPr>
                  </w:pPr>
                  <w:r>
                    <w:rPr>
                      <w:rFonts w:hint="eastAsia" w:ascii="宋体" w:hAnsi="宋体" w:eastAsia="宋体" w:cs="宋体"/>
                      <w:sz w:val="21"/>
                      <w:szCs w:val="21"/>
                    </w:rPr>
                    <w:t>大气环境影响分析结论</w:t>
                  </w:r>
                </w:p>
              </w:tc>
              <w:tc>
                <w:tcPr>
                  <w:tcW w:w="4075" w:type="dxa"/>
                  <w:vAlign w:val="center"/>
                </w:tcPr>
                <w:p>
                  <w:pPr>
                    <w:keepNext w:val="0"/>
                    <w:keepLines w:val="0"/>
                    <w:pageBreakBefore w:val="0"/>
                    <w:widowControl/>
                    <w:tabs>
                      <w:tab w:val="left" w:pos="975"/>
                    </w:tabs>
                    <w:kinsoku/>
                    <w:wordWrap/>
                    <w:overflowPunct/>
                    <w:topLinePunct w:val="0"/>
                    <w:autoSpaceDE/>
                    <w:autoSpaceDN/>
                    <w:bidi w:val="0"/>
                    <w:adjustRightInd w:val="0"/>
                    <w:snapToGrid w:val="0"/>
                    <w:spacing w:after="0" w:line="240" w:lineRule="auto"/>
                    <w:jc w:val="both"/>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本项目仅做陶瓷覆铜板生产的烧结工序，烧结工序不产生废气，故不对运营期的</w:t>
                  </w:r>
                  <w:r>
                    <w:rPr>
                      <w:rFonts w:hint="eastAsia" w:ascii="宋体" w:hAnsi="宋体" w:eastAsia="宋体" w:cs="宋体"/>
                      <w:sz w:val="21"/>
                      <w:szCs w:val="21"/>
                    </w:rPr>
                    <w:t>大气环境影响</w:t>
                  </w:r>
                  <w:r>
                    <w:rPr>
                      <w:rFonts w:hint="eastAsia" w:ascii="宋体" w:hAnsi="宋体" w:eastAsia="宋体" w:cs="宋体"/>
                      <w:sz w:val="21"/>
                      <w:szCs w:val="21"/>
                      <w:lang w:val="en-US" w:eastAsia="zh-CN"/>
                    </w:rPr>
                    <w:t>做</w:t>
                  </w:r>
                  <w:r>
                    <w:rPr>
                      <w:rFonts w:hint="eastAsia" w:ascii="宋体" w:hAnsi="宋体" w:eastAsia="宋体" w:cs="宋体"/>
                      <w:sz w:val="21"/>
                      <w:szCs w:val="21"/>
                    </w:rPr>
                    <w:t>分析</w:t>
                  </w:r>
                </w:p>
              </w:tc>
              <w:tc>
                <w:tcPr>
                  <w:tcW w:w="3487" w:type="dxa"/>
                  <w:vAlign w:val="center"/>
                </w:tcPr>
                <w:p>
                  <w:pPr>
                    <w:keepNext w:val="0"/>
                    <w:keepLines w:val="0"/>
                    <w:pageBreakBefore w:val="0"/>
                    <w:widowControl/>
                    <w:tabs>
                      <w:tab w:val="left" w:pos="975"/>
                    </w:tabs>
                    <w:kinsoku/>
                    <w:wordWrap/>
                    <w:overflowPunct/>
                    <w:topLinePunct w:val="0"/>
                    <w:autoSpaceDE/>
                    <w:autoSpaceDN/>
                    <w:bidi w:val="0"/>
                    <w:adjustRightInd w:val="0"/>
                    <w:snapToGrid w:val="0"/>
                    <w:spacing w:after="0" w:line="240" w:lineRule="auto"/>
                    <w:ind w:firstLine="420" w:firstLineChars="200"/>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本项目仅做陶瓷覆铜板生产的烧结工序，烧结工序不产生废气，故不对运营期的</w:t>
                  </w:r>
                  <w:r>
                    <w:rPr>
                      <w:rFonts w:hint="eastAsia" w:ascii="宋体" w:hAnsi="宋体" w:eastAsia="宋体" w:cs="宋体"/>
                      <w:sz w:val="21"/>
                      <w:szCs w:val="21"/>
                    </w:rPr>
                    <w:t>大气环境影响</w:t>
                  </w:r>
                  <w:r>
                    <w:rPr>
                      <w:rFonts w:hint="eastAsia" w:ascii="宋体" w:hAnsi="宋体" w:eastAsia="宋体" w:cs="宋体"/>
                      <w:sz w:val="21"/>
                      <w:szCs w:val="21"/>
                      <w:lang w:val="en-US" w:eastAsia="zh-CN"/>
                    </w:rPr>
                    <w:t>做</w:t>
                  </w:r>
                  <w:r>
                    <w:rPr>
                      <w:rFonts w:hint="eastAsia" w:ascii="宋体" w:hAnsi="宋体" w:eastAsia="宋体" w:cs="宋体"/>
                      <w:sz w:val="21"/>
                      <w:szCs w:val="21"/>
                    </w:rPr>
                    <w:t>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sz w:val="21"/>
                      <w:szCs w:val="21"/>
                    </w:rPr>
                  </w:pPr>
                  <w:r>
                    <w:rPr>
                      <w:rFonts w:hint="eastAsia" w:ascii="宋体" w:hAnsi="宋体" w:eastAsia="宋体" w:cs="宋体"/>
                      <w:sz w:val="21"/>
                      <w:szCs w:val="21"/>
                    </w:rPr>
                    <w:t>废水环境影响分析结论</w:t>
                  </w:r>
                </w:p>
              </w:tc>
              <w:tc>
                <w:tcPr>
                  <w:tcW w:w="4075" w:type="dxa"/>
                  <w:vAlign w:val="center"/>
                </w:tcPr>
                <w:p>
                  <w:pPr>
                    <w:keepNext w:val="0"/>
                    <w:keepLines w:val="0"/>
                    <w:pageBreakBefore w:val="0"/>
                    <w:widowControl/>
                    <w:tabs>
                      <w:tab w:val="left" w:pos="975"/>
                    </w:tabs>
                    <w:kinsoku/>
                    <w:wordWrap/>
                    <w:overflowPunct/>
                    <w:topLinePunct w:val="0"/>
                    <w:autoSpaceDE/>
                    <w:autoSpaceDN/>
                    <w:bidi w:val="0"/>
                    <w:adjustRightInd w:val="0"/>
                    <w:snapToGrid w:val="0"/>
                    <w:spacing w:after="0" w:line="240" w:lineRule="auto"/>
                    <w:ind w:firstLine="420" w:firstLineChars="200"/>
                    <w:jc w:val="both"/>
                    <w:textAlignment w:val="auto"/>
                    <w:rPr>
                      <w:rFonts w:hint="eastAsia" w:ascii="宋体" w:hAnsi="宋体" w:eastAsia="宋体" w:cs="宋体"/>
                      <w:sz w:val="21"/>
                      <w:szCs w:val="21"/>
                    </w:rPr>
                  </w:pPr>
                  <w:r>
                    <w:rPr>
                      <w:rFonts w:hint="eastAsia" w:ascii="宋体" w:hAnsi="宋体" w:eastAsia="宋体" w:cs="宋体"/>
                      <w:sz w:val="21"/>
                      <w:szCs w:val="21"/>
                    </w:rPr>
                    <w:t>项目运行期间外排废水主要为职工生活污水，经厂区配套的化粪池预处理后由市政污水管网纳入</w:t>
                  </w:r>
                  <w:r>
                    <w:rPr>
                      <w:rFonts w:hint="eastAsia" w:ascii="宋体" w:hAnsi="宋体" w:eastAsia="宋体" w:cs="宋体"/>
                      <w:sz w:val="21"/>
                      <w:szCs w:val="21"/>
                      <w:lang w:val="en-US" w:eastAsia="zh-CN"/>
                    </w:rPr>
                    <w:t>六安市金寨县</w:t>
                  </w:r>
                  <w:r>
                    <w:rPr>
                      <w:rFonts w:hint="eastAsia" w:ascii="宋体" w:hAnsi="宋体" w:eastAsia="宋体" w:cs="宋体"/>
                      <w:sz w:val="21"/>
                      <w:szCs w:val="21"/>
                      <w:lang w:eastAsia="zh-CN"/>
                    </w:rPr>
                    <w:t>污水处理厂</w:t>
                  </w:r>
                  <w:r>
                    <w:rPr>
                      <w:rFonts w:hint="eastAsia" w:ascii="宋体" w:hAnsi="宋体" w:eastAsia="宋体" w:cs="宋体"/>
                      <w:sz w:val="21"/>
                      <w:szCs w:val="21"/>
                    </w:rPr>
                    <w:t>处理。</w:t>
                  </w:r>
                  <w:r>
                    <w:rPr>
                      <w:rFonts w:hint="eastAsia" w:ascii="宋体" w:hAnsi="宋体" w:eastAsia="宋体" w:cs="宋体"/>
                      <w:bCs/>
                      <w:sz w:val="21"/>
                      <w:szCs w:val="21"/>
                    </w:rPr>
                    <w:t>项目在落实各项污水处理措施后，项目运营期</w:t>
                  </w:r>
                  <w:r>
                    <w:rPr>
                      <w:rFonts w:hint="eastAsia" w:ascii="宋体" w:hAnsi="宋体" w:eastAsia="宋体" w:cs="宋体"/>
                      <w:bCs/>
                      <w:sz w:val="21"/>
                      <w:szCs w:val="21"/>
                      <w:lang w:val="en-US" w:eastAsia="zh-CN"/>
                    </w:rPr>
                    <w:t>间接冷却循环水</w:t>
                  </w:r>
                  <w:r>
                    <w:rPr>
                      <w:rFonts w:hint="eastAsia" w:ascii="宋体" w:hAnsi="宋体" w:eastAsia="宋体" w:cs="宋体"/>
                      <w:bCs/>
                      <w:sz w:val="21"/>
                      <w:szCs w:val="21"/>
                    </w:rPr>
                    <w:t>可做到</w:t>
                  </w:r>
                  <w:r>
                    <w:rPr>
                      <w:rFonts w:hint="eastAsia" w:ascii="宋体" w:hAnsi="宋体" w:eastAsia="宋体" w:cs="宋体"/>
                      <w:bCs/>
                      <w:sz w:val="21"/>
                      <w:szCs w:val="21"/>
                      <w:lang w:val="en-US" w:eastAsia="zh-CN"/>
                    </w:rPr>
                    <w:t>循环使用不外排</w:t>
                  </w:r>
                  <w:r>
                    <w:rPr>
                      <w:rFonts w:hint="eastAsia" w:ascii="宋体" w:hAnsi="宋体" w:eastAsia="宋体" w:cs="宋体"/>
                      <w:bCs/>
                      <w:sz w:val="21"/>
                      <w:szCs w:val="21"/>
                    </w:rPr>
                    <w:t>，对区域水环境影响是可接受的</w:t>
                  </w:r>
                </w:p>
              </w:tc>
              <w:tc>
                <w:tcPr>
                  <w:tcW w:w="3487" w:type="dxa"/>
                  <w:vAlign w:val="center"/>
                </w:tcPr>
                <w:p>
                  <w:pPr>
                    <w:keepNext w:val="0"/>
                    <w:keepLines w:val="0"/>
                    <w:pageBreakBefore w:val="0"/>
                    <w:widowControl/>
                    <w:tabs>
                      <w:tab w:val="left" w:pos="975"/>
                    </w:tabs>
                    <w:kinsoku/>
                    <w:wordWrap/>
                    <w:overflowPunct/>
                    <w:topLinePunct w:val="0"/>
                    <w:autoSpaceDE/>
                    <w:autoSpaceDN/>
                    <w:bidi w:val="0"/>
                    <w:adjustRightInd w:val="0"/>
                    <w:snapToGrid w:val="0"/>
                    <w:spacing w:after="0" w:line="240" w:lineRule="auto"/>
                    <w:ind w:firstLine="420" w:firstLineChars="200"/>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雨污分流，雨水经雨水管道汇集排入周边市政道路雨水管网；生活污水经化粪池预处理后接市政污水管网排放至六安市金寨县污水处理厂最终排入史河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sz w:val="21"/>
                      <w:szCs w:val="21"/>
                    </w:rPr>
                  </w:pPr>
                  <w:r>
                    <w:rPr>
                      <w:rFonts w:hint="eastAsia" w:ascii="宋体" w:hAnsi="宋体" w:eastAsia="宋体" w:cs="宋体"/>
                      <w:sz w:val="21"/>
                      <w:szCs w:val="21"/>
                    </w:rPr>
                    <w:t>噪声治理</w:t>
                  </w:r>
                </w:p>
              </w:tc>
              <w:tc>
                <w:tcPr>
                  <w:tcW w:w="4075"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420" w:firstLineChars="200"/>
                    <w:jc w:val="both"/>
                    <w:textAlignment w:val="auto"/>
                    <w:rPr>
                      <w:rFonts w:hint="eastAsia" w:ascii="宋体" w:hAnsi="宋体" w:eastAsia="宋体" w:cs="宋体"/>
                      <w:sz w:val="21"/>
                      <w:szCs w:val="21"/>
                    </w:rPr>
                  </w:pPr>
                  <w:r>
                    <w:rPr>
                      <w:rFonts w:hint="eastAsia" w:ascii="宋体" w:hAnsi="宋体" w:eastAsia="宋体" w:cs="宋体"/>
                      <w:sz w:val="21"/>
                      <w:szCs w:val="21"/>
                    </w:rPr>
                    <w:t>项目运营期的噪声主要噪声主要是</w:t>
                  </w:r>
                  <w:r>
                    <w:rPr>
                      <w:rFonts w:hint="eastAsia" w:ascii="宋体" w:hAnsi="宋体" w:eastAsia="宋体" w:cs="宋体"/>
                      <w:sz w:val="21"/>
                      <w:szCs w:val="21"/>
                      <w:lang w:val="en-US" w:eastAsia="zh-CN"/>
                    </w:rPr>
                    <w:t>DBC气氛烧结炉、气氛控制炉、网带式氮气氛连续烧结炉等生产设备和质检设备运行产生的噪声</w:t>
                  </w:r>
                  <w:r>
                    <w:rPr>
                      <w:rFonts w:hint="eastAsia" w:ascii="宋体" w:hAnsi="宋体" w:eastAsia="宋体" w:cs="宋体"/>
                      <w:sz w:val="21"/>
                      <w:szCs w:val="21"/>
                    </w:rPr>
                    <w:t>。根据类比调查，其噪声值在</w:t>
                  </w:r>
                  <w:r>
                    <w:rPr>
                      <w:rFonts w:hint="eastAsia" w:ascii="Times New Roman" w:hAnsi="Times New Roman" w:eastAsia="宋体" w:cs="Times New Roman"/>
                      <w:sz w:val="21"/>
                      <w:szCs w:val="21"/>
                      <w:lang w:val="en-US" w:eastAsia="zh-CN"/>
                    </w:rPr>
                    <w:t>65</w:t>
                  </w:r>
                  <w:r>
                    <w:rPr>
                      <w:rFonts w:hint="default" w:ascii="Times New Roman" w:hAnsi="Times New Roman" w:eastAsia="宋体" w:cs="Times New Roman"/>
                      <w:sz w:val="21"/>
                      <w:szCs w:val="21"/>
                      <w:lang w:val="en-US" w:eastAsia="zh-CN"/>
                    </w:rPr>
                    <w:t>-8</w:t>
                  </w:r>
                  <w:r>
                    <w:rPr>
                      <w:rFonts w:hint="eastAsia" w:ascii="Times New Roman" w:hAnsi="Times New Roman" w:eastAsia="宋体" w:cs="Times New Roman"/>
                      <w:sz w:val="21"/>
                      <w:szCs w:val="21"/>
                      <w:lang w:val="en-US" w:eastAsia="zh-CN"/>
                    </w:rPr>
                    <w:t>0</w:t>
                  </w:r>
                  <w:r>
                    <w:rPr>
                      <w:rFonts w:hint="default" w:ascii="Times New Roman" w:hAnsi="Times New Roman" w:eastAsia="宋体" w:cs="Times New Roman"/>
                      <w:sz w:val="21"/>
                      <w:szCs w:val="21"/>
                    </w:rPr>
                    <w:t>dB(A)</w:t>
                  </w:r>
                  <w:r>
                    <w:rPr>
                      <w:rFonts w:hint="eastAsia" w:ascii="宋体" w:hAnsi="宋体" w:eastAsia="宋体" w:cs="宋体"/>
                      <w:sz w:val="21"/>
                      <w:szCs w:val="21"/>
                    </w:rPr>
                    <w:t>之间，在选用低噪设备、基础减震、消声、厂房隔声等降噪措施后，运营期各厂界噪声排放均可达到《工业企业厂界环境噪声排放标准》</w:t>
                  </w:r>
                  <w:r>
                    <w:rPr>
                      <w:rFonts w:hint="default" w:ascii="Times New Roman" w:hAnsi="Times New Roman" w:eastAsia="宋体" w:cs="Times New Roman"/>
                      <w:sz w:val="21"/>
                      <w:szCs w:val="21"/>
                    </w:rPr>
                    <w:t>（GB12348-2008）</w:t>
                  </w:r>
                  <w:r>
                    <w:rPr>
                      <w:rFonts w:hint="eastAsia" w:ascii="宋体" w:hAnsi="宋体" w:eastAsia="宋体" w:cs="宋体"/>
                      <w:sz w:val="21"/>
                      <w:szCs w:val="21"/>
                    </w:rPr>
                    <w:t>中</w:t>
                  </w:r>
                  <w:r>
                    <w:rPr>
                      <w:rFonts w:hint="default" w:ascii="Times New Roman" w:hAnsi="Times New Roman" w:eastAsia="宋体" w:cs="Times New Roman"/>
                      <w:sz w:val="21"/>
                      <w:szCs w:val="21"/>
                    </w:rPr>
                    <w:t>3</w:t>
                  </w:r>
                  <w:r>
                    <w:rPr>
                      <w:rFonts w:hint="eastAsia" w:ascii="宋体" w:hAnsi="宋体" w:eastAsia="宋体" w:cs="宋体"/>
                      <w:sz w:val="21"/>
                      <w:szCs w:val="21"/>
                    </w:rPr>
                    <w:t>类区标准要求</w:t>
                  </w:r>
                </w:p>
              </w:tc>
              <w:tc>
                <w:tcPr>
                  <w:tcW w:w="3487"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420" w:firstLineChars="200"/>
                    <w:jc w:val="both"/>
                    <w:textAlignment w:val="auto"/>
                    <w:rPr>
                      <w:rFonts w:hint="eastAsia" w:ascii="宋体" w:hAnsi="宋体" w:eastAsia="宋体" w:cs="宋体"/>
                      <w:sz w:val="21"/>
                      <w:szCs w:val="21"/>
                    </w:rPr>
                  </w:pPr>
                  <w:r>
                    <w:rPr>
                      <w:rFonts w:hint="eastAsia" w:ascii="宋体" w:hAnsi="宋体" w:eastAsia="宋体" w:cs="宋体"/>
                      <w:sz w:val="21"/>
                      <w:szCs w:val="21"/>
                    </w:rPr>
                    <w:t>已对设备进行基础减震、厂房隔声</w:t>
                  </w:r>
                  <w:r>
                    <w:rPr>
                      <w:rFonts w:hint="eastAsia" w:ascii="宋体" w:hAnsi="宋体" w:eastAsia="宋体" w:cs="宋体"/>
                      <w:sz w:val="21"/>
                      <w:szCs w:val="21"/>
                      <w:lang w:eastAsia="zh-CN"/>
                    </w:rPr>
                    <w:t>等降噪措施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sz w:val="21"/>
                      <w:szCs w:val="21"/>
                    </w:rPr>
                  </w:pPr>
                  <w:r>
                    <w:rPr>
                      <w:rFonts w:hint="eastAsia" w:ascii="宋体" w:hAnsi="宋体" w:eastAsia="宋体" w:cs="宋体"/>
                      <w:sz w:val="21"/>
                      <w:szCs w:val="21"/>
                    </w:rPr>
                    <w:t>固废治理</w:t>
                  </w:r>
                </w:p>
              </w:tc>
              <w:tc>
                <w:tcPr>
                  <w:tcW w:w="4075" w:type="dxa"/>
                  <w:vAlign w:val="center"/>
                </w:tcPr>
                <w:p>
                  <w:pPr>
                    <w:pStyle w:val="1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项目营运期固废主要为一般工业固废、危险废物及生活垃圾</w:t>
                  </w:r>
                  <w:r>
                    <w:rPr>
                      <w:rFonts w:hint="eastAsia" w:ascii="宋体" w:hAnsi="宋体" w:eastAsia="宋体" w:cs="宋体"/>
                      <w:sz w:val="21"/>
                      <w:szCs w:val="21"/>
                      <w:lang w:eastAsia="zh-CN"/>
                    </w:rPr>
                    <w:t>。</w:t>
                  </w:r>
                  <w:r>
                    <w:rPr>
                      <w:rFonts w:hint="eastAsia" w:ascii="宋体" w:hAnsi="宋体" w:eastAsia="宋体" w:cs="宋体"/>
                      <w:sz w:val="21"/>
                      <w:szCs w:val="21"/>
                    </w:rPr>
                    <w:t>一般工业固废主要为</w:t>
                  </w:r>
                  <w:r>
                    <w:rPr>
                      <w:rFonts w:hint="eastAsia" w:ascii="宋体" w:hAnsi="宋体" w:eastAsia="宋体" w:cs="宋体"/>
                      <w:sz w:val="21"/>
                      <w:szCs w:val="21"/>
                      <w:lang w:val="en-US" w:eastAsia="zh-CN"/>
                    </w:rPr>
                    <w:t>不合格产品、废包材</w:t>
                  </w:r>
                  <w:r>
                    <w:rPr>
                      <w:rFonts w:hint="eastAsia" w:ascii="宋体" w:hAnsi="宋体" w:eastAsia="宋体" w:cs="宋体"/>
                      <w:sz w:val="21"/>
                      <w:szCs w:val="21"/>
                    </w:rPr>
                    <w:t>。危险废物</w:t>
                  </w:r>
                  <w:r>
                    <w:rPr>
                      <w:rFonts w:hint="eastAsia" w:ascii="宋体" w:hAnsi="宋体" w:eastAsia="宋体" w:cs="宋体"/>
                      <w:sz w:val="21"/>
                      <w:szCs w:val="21"/>
                      <w:lang w:val="en-US" w:eastAsia="zh-CN"/>
                    </w:rPr>
                    <w:t>为废润滑</w:t>
                  </w:r>
                  <w:r>
                    <w:rPr>
                      <w:rFonts w:hint="eastAsia" w:ascii="Times New Roman" w:hAnsi="Times New Roman" w:eastAsia="宋体" w:cs="Times New Roman"/>
                      <w:sz w:val="21"/>
                      <w:szCs w:val="21"/>
                      <w:lang w:val="en-US" w:eastAsia="zh-CN" w:bidi="ar-SA"/>
                    </w:rPr>
                    <w:t>油。生活垃圾由环卫部门统一收集处理。建设单位于厂房内东北角建设1处危险废物暂存间，建筑面积为20m</w:t>
                  </w:r>
                  <w:r>
                    <w:rPr>
                      <w:rFonts w:hint="eastAsia" w:ascii="Times New Roman" w:hAnsi="Times New Roman" w:eastAsia="宋体" w:cs="Times New Roman"/>
                      <w:sz w:val="21"/>
                      <w:szCs w:val="21"/>
                      <w:vertAlign w:val="superscript"/>
                      <w:lang w:val="en-US" w:eastAsia="zh-CN" w:bidi="ar-SA"/>
                    </w:rPr>
                    <w:t>2</w:t>
                  </w:r>
                  <w:r>
                    <w:rPr>
                      <w:rFonts w:hint="eastAsia" w:ascii="Times New Roman" w:hAnsi="Times New Roman" w:eastAsia="宋体" w:cs="Times New Roman"/>
                      <w:sz w:val="21"/>
                      <w:szCs w:val="21"/>
                      <w:lang w:val="en-US" w:eastAsia="zh-CN" w:bidi="ar-SA"/>
                    </w:rPr>
                    <w:t>。废润滑油收集于危险废物暂存间内，委托有资质单位处置。综上所述，项目产生的固体废物全</w:t>
                  </w:r>
                  <w:r>
                    <w:rPr>
                      <w:rFonts w:hint="eastAsia" w:ascii="宋体" w:hAnsi="宋体" w:eastAsia="宋体" w:cs="宋体"/>
                      <w:sz w:val="21"/>
                      <w:szCs w:val="21"/>
                    </w:rPr>
                    <w:t>部得到妥善处置。建设单位在日常生产过程中加强对厂内固体废物临时堆放场所管理，固体废物不会对周围环境产生二次污染影响</w:t>
                  </w:r>
                  <w:r>
                    <w:rPr>
                      <w:rFonts w:hint="eastAsia" w:ascii="宋体" w:hAnsi="宋体" w:eastAsia="宋体" w:cs="宋体"/>
                      <w:sz w:val="21"/>
                      <w:szCs w:val="21"/>
                      <w:lang w:eastAsia="zh-CN"/>
                    </w:rPr>
                    <w:t>。</w:t>
                  </w:r>
                </w:p>
              </w:tc>
              <w:tc>
                <w:tcPr>
                  <w:tcW w:w="3487" w:type="dxa"/>
                  <w:vAlign w:val="center"/>
                </w:tcPr>
                <w:p>
                  <w:pPr>
                    <w:pStyle w:val="1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420" w:firstLineChars="200"/>
                    <w:textAlignment w:val="auto"/>
                    <w:rPr>
                      <w:rFonts w:hint="eastAsia" w:ascii="宋体" w:hAnsi="宋体" w:eastAsia="宋体" w:cs="宋体"/>
                      <w:sz w:val="21"/>
                      <w:szCs w:val="21"/>
                      <w:lang w:eastAsia="zh-CN"/>
                    </w:rPr>
                  </w:pPr>
                  <w:r>
                    <w:rPr>
                      <w:rFonts w:hint="eastAsia" w:ascii="宋体" w:hAnsi="宋体" w:eastAsia="宋体" w:cs="宋体"/>
                      <w:color w:val="auto"/>
                      <w:sz w:val="21"/>
                      <w:szCs w:val="21"/>
                      <w:highlight w:val="none"/>
                    </w:rPr>
                    <w:t>一般</w:t>
                  </w:r>
                  <w:r>
                    <w:rPr>
                      <w:rFonts w:hint="eastAsia" w:ascii="宋体" w:hAnsi="宋体" w:eastAsia="宋体" w:cs="宋体"/>
                      <w:color w:val="auto"/>
                      <w:sz w:val="21"/>
                      <w:szCs w:val="21"/>
                      <w:highlight w:val="none"/>
                      <w:lang w:val="en-US" w:eastAsia="zh-CN"/>
                    </w:rPr>
                    <w:t>工业</w:t>
                  </w:r>
                  <w:r>
                    <w:rPr>
                      <w:rFonts w:hint="eastAsia" w:ascii="宋体" w:hAnsi="宋体" w:eastAsia="宋体" w:cs="宋体"/>
                      <w:color w:val="auto"/>
                      <w:sz w:val="21"/>
                      <w:szCs w:val="21"/>
                      <w:highlight w:val="none"/>
                    </w:rPr>
                    <w:t>固废：</w:t>
                  </w:r>
                  <w:r>
                    <w:rPr>
                      <w:rFonts w:hint="eastAsia" w:ascii="宋体" w:hAnsi="宋体" w:eastAsia="宋体" w:cs="宋体"/>
                      <w:color w:val="auto"/>
                      <w:sz w:val="21"/>
                      <w:szCs w:val="21"/>
                      <w:highlight w:val="none"/>
                      <w:lang w:val="en-US" w:eastAsia="zh-CN"/>
                    </w:rPr>
                    <w:t>于厂区内东北角</w:t>
                  </w:r>
                  <w:r>
                    <w:rPr>
                      <w:rFonts w:hint="eastAsia" w:ascii="宋体" w:hAnsi="宋体" w:eastAsia="宋体" w:cs="宋体"/>
                      <w:color w:val="auto"/>
                      <w:sz w:val="21"/>
                      <w:szCs w:val="21"/>
                      <w:highlight w:val="none"/>
                    </w:rPr>
                    <w:t>设置一般</w:t>
                  </w:r>
                  <w:r>
                    <w:rPr>
                      <w:rFonts w:hint="eastAsia" w:ascii="宋体" w:hAnsi="宋体" w:eastAsia="宋体" w:cs="宋体"/>
                      <w:color w:val="auto"/>
                      <w:sz w:val="21"/>
                      <w:szCs w:val="21"/>
                      <w:highlight w:val="none"/>
                      <w:lang w:eastAsia="zh-CN"/>
                    </w:rPr>
                    <w:t>工业</w:t>
                  </w:r>
                  <w:r>
                    <w:rPr>
                      <w:rFonts w:hint="eastAsia" w:ascii="宋体" w:hAnsi="宋体" w:eastAsia="宋体" w:cs="宋体"/>
                      <w:color w:val="auto"/>
                      <w:sz w:val="21"/>
                      <w:szCs w:val="21"/>
                      <w:highlight w:val="none"/>
                    </w:rPr>
                    <w:t>固废</w:t>
                  </w:r>
                  <w:r>
                    <w:rPr>
                      <w:rFonts w:hint="eastAsia" w:ascii="宋体" w:hAnsi="宋体" w:eastAsia="宋体" w:cs="宋体"/>
                      <w:color w:val="auto"/>
                      <w:sz w:val="21"/>
                      <w:szCs w:val="21"/>
                      <w:highlight w:val="none"/>
                      <w:lang w:val="en-US" w:eastAsia="zh-CN"/>
                    </w:rPr>
                    <w:t>间</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建筑面积约</w:t>
                  </w:r>
                  <w:r>
                    <w:rPr>
                      <w:rFonts w:hint="default" w:ascii="Times New Roman" w:hAnsi="Times New Roman" w:eastAsia="宋体" w:cs="Times New Roman"/>
                      <w:color w:val="auto"/>
                      <w:sz w:val="21"/>
                      <w:szCs w:val="21"/>
                      <w:highlight w:val="none"/>
                      <w:lang w:val="en-US" w:eastAsia="zh-CN"/>
                    </w:rPr>
                    <w:t>20m</w:t>
                  </w:r>
                  <w:r>
                    <w:rPr>
                      <w:rFonts w:hint="default" w:ascii="Times New Roman" w:hAnsi="Times New Roman" w:eastAsia="宋体" w:cs="Times New Roman"/>
                      <w:color w:val="auto"/>
                      <w:sz w:val="21"/>
                      <w:szCs w:val="21"/>
                      <w:highlight w:val="none"/>
                      <w:vertAlign w:val="superscript"/>
                      <w:lang w:val="en-US" w:eastAsia="zh-CN"/>
                    </w:rPr>
                    <w:t>2</w:t>
                  </w:r>
                  <w:r>
                    <w:rPr>
                      <w:rFonts w:hint="eastAsia" w:ascii="宋体" w:hAnsi="宋体" w:eastAsia="宋体" w:cs="宋体"/>
                      <w:color w:val="auto"/>
                      <w:sz w:val="21"/>
                      <w:szCs w:val="21"/>
                      <w:highlight w:val="none"/>
                      <w:vertAlign w:val="baseline"/>
                      <w:lang w:val="en-US" w:eastAsia="zh-CN"/>
                    </w:rPr>
                    <w:t>，</w:t>
                  </w:r>
                  <w:r>
                    <w:rPr>
                      <w:rFonts w:hint="eastAsia" w:ascii="宋体" w:hAnsi="宋体" w:eastAsia="宋体" w:cs="宋体"/>
                      <w:sz w:val="21"/>
                      <w:szCs w:val="21"/>
                      <w:lang w:val="en-US" w:eastAsia="zh-CN"/>
                    </w:rPr>
                    <w:t>不合格产品、废包材</w:t>
                  </w:r>
                  <w:r>
                    <w:rPr>
                      <w:rFonts w:hint="eastAsia" w:ascii="宋体" w:hAnsi="宋体" w:eastAsia="宋体" w:cs="宋体"/>
                      <w:color w:val="auto"/>
                      <w:sz w:val="21"/>
                      <w:szCs w:val="21"/>
                      <w:highlight w:val="none"/>
                    </w:rPr>
                    <w:t>集中收集后定期外售</w:t>
                  </w:r>
                  <w:r>
                    <w:rPr>
                      <w:rFonts w:hint="eastAsia" w:ascii="宋体" w:hAnsi="宋体" w:eastAsia="宋体" w:cs="宋体"/>
                      <w:color w:val="auto"/>
                      <w:sz w:val="21"/>
                      <w:szCs w:val="21"/>
                      <w:highlight w:val="none"/>
                      <w:lang w:eastAsia="zh-CN"/>
                    </w:rPr>
                    <w:t>；危险废物：</w:t>
                  </w:r>
                  <w:r>
                    <w:rPr>
                      <w:rFonts w:hint="eastAsia" w:ascii="宋体" w:hAnsi="宋体" w:eastAsia="宋体" w:cs="宋体"/>
                      <w:color w:val="auto"/>
                      <w:sz w:val="21"/>
                      <w:szCs w:val="21"/>
                      <w:highlight w:val="none"/>
                      <w:lang w:val="en-US" w:eastAsia="zh-CN"/>
                    </w:rPr>
                    <w:t>于车间内东北角</w:t>
                  </w:r>
                  <w:r>
                    <w:rPr>
                      <w:rFonts w:hint="eastAsia" w:ascii="宋体" w:hAnsi="宋体" w:eastAsia="宋体" w:cs="宋体"/>
                      <w:color w:val="auto"/>
                      <w:sz w:val="21"/>
                      <w:szCs w:val="21"/>
                      <w:highlight w:val="none"/>
                    </w:rPr>
                    <w:t>设置</w:t>
                  </w:r>
                  <w:r>
                    <w:rPr>
                      <w:rFonts w:hint="eastAsia" w:ascii="宋体" w:hAnsi="宋体" w:eastAsia="宋体" w:cs="宋体"/>
                      <w:color w:val="auto"/>
                      <w:sz w:val="21"/>
                      <w:szCs w:val="21"/>
                      <w:highlight w:val="none"/>
                      <w:lang w:val="en-US" w:eastAsia="zh-CN"/>
                    </w:rPr>
                    <w:t>危废间</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建筑面积</w:t>
                  </w:r>
                  <w:r>
                    <w:rPr>
                      <w:rFonts w:hint="eastAsia" w:ascii="Times New Roman" w:hAnsi="Times New Roman" w:eastAsia="宋体" w:cs="Times New Roman"/>
                      <w:color w:val="auto"/>
                      <w:sz w:val="21"/>
                      <w:szCs w:val="21"/>
                      <w:highlight w:val="none"/>
                      <w:lang w:val="en-US" w:eastAsia="zh-CN"/>
                    </w:rPr>
                    <w:t>约10m</w:t>
                  </w:r>
                  <w:r>
                    <w:rPr>
                      <w:rFonts w:hint="eastAsia" w:ascii="Times New Roman" w:hAnsi="Times New Roman" w:eastAsia="宋体"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w:t>
                  </w:r>
                  <w:r>
                    <w:rPr>
                      <w:rFonts w:hint="eastAsia" w:ascii="宋体" w:hAnsi="宋体" w:eastAsia="宋体" w:cs="宋体"/>
                      <w:color w:val="auto"/>
                      <w:sz w:val="21"/>
                      <w:szCs w:val="21"/>
                      <w:highlight w:val="none"/>
                      <w:vertAlign w:val="baseline"/>
                      <w:lang w:val="en-US" w:eastAsia="zh-CN"/>
                    </w:rPr>
                    <w:t>废润滑油</w:t>
                  </w:r>
                  <w:r>
                    <w:rPr>
                      <w:rFonts w:hint="eastAsia" w:ascii="宋体" w:hAnsi="宋体" w:eastAsia="宋体" w:cs="宋体"/>
                      <w:color w:val="auto"/>
                      <w:sz w:val="21"/>
                      <w:szCs w:val="21"/>
                      <w:highlight w:val="none"/>
                      <w:lang w:val="en-US" w:eastAsia="zh-CN"/>
                    </w:rPr>
                    <w:t>临时贮存于危废间内，</w:t>
                  </w:r>
                  <w:r>
                    <w:rPr>
                      <w:rFonts w:hint="eastAsia" w:ascii="宋体" w:hAnsi="宋体" w:eastAsia="宋体" w:cs="宋体"/>
                      <w:color w:val="auto"/>
                      <w:sz w:val="21"/>
                      <w:szCs w:val="21"/>
                      <w:highlight w:val="none"/>
                      <w:lang w:eastAsia="zh-CN"/>
                    </w:rPr>
                    <w:t>定期委托资质单位处置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sz w:val="21"/>
                      <w:szCs w:val="21"/>
                    </w:rPr>
                  </w:pPr>
                  <w:r>
                    <w:rPr>
                      <w:rFonts w:hint="eastAsia" w:ascii="宋体" w:hAnsi="宋体" w:eastAsia="宋体" w:cs="宋体"/>
                      <w:sz w:val="21"/>
                      <w:szCs w:val="21"/>
                    </w:rPr>
                    <w:t>环评总结论</w:t>
                  </w:r>
                </w:p>
              </w:tc>
              <w:tc>
                <w:tcPr>
                  <w:tcW w:w="4075"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sz w:val="21"/>
                      <w:szCs w:val="21"/>
                    </w:rPr>
                  </w:pPr>
                  <w:r>
                    <w:rPr>
                      <w:rFonts w:hint="eastAsia" w:ascii="宋体" w:hAnsi="宋体" w:eastAsia="宋体" w:cs="宋体"/>
                      <w:sz w:val="21"/>
                      <w:szCs w:val="21"/>
                    </w:rPr>
                    <w:t>项目的建设符合国家和地方的产业政策，符合当地建设用地规划和产业布局要求，该项目建成后落实本评价要求的污染防治措施，认真履行“三同时”制度后，各项污染物均可实现达标排放，且不会降低评价区域原有环境质量功能级别。项目建设与区域环境相容。因而从环境保护的角度而言，该项目是可行的</w:t>
                  </w:r>
                </w:p>
              </w:tc>
              <w:tc>
                <w:tcPr>
                  <w:tcW w:w="3487"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sz w:val="21"/>
                      <w:szCs w:val="21"/>
                      <w:lang w:val="en-US" w:eastAsia="zh-CN"/>
                    </w:rPr>
                  </w:pPr>
                  <w:r>
                    <w:rPr>
                      <w:rFonts w:hint="default" w:ascii="Times New Roman" w:hAnsi="Times New Roman" w:eastAsia="宋体" w:cs="Times New Roman"/>
                      <w:sz w:val="21"/>
                      <w:szCs w:val="21"/>
                      <w:lang w:val="en-US" w:eastAsia="zh-CN"/>
                    </w:rPr>
                    <w:t>/</w:t>
                  </w:r>
                </w:p>
              </w:tc>
            </w:tr>
          </w:tbl>
          <w:p>
            <w:pPr>
              <w:spacing w:after="0" w:line="440" w:lineRule="exact"/>
              <w:ind w:firstLine="482" w:firstLineChars="200"/>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2、</w:t>
            </w:r>
            <w:r>
              <w:rPr>
                <w:rFonts w:hint="eastAsia" w:asciiTheme="minorEastAsia" w:hAnsiTheme="minorEastAsia" w:eastAsiaTheme="minorEastAsia" w:cstheme="minorEastAsia"/>
                <w:b/>
                <w:sz w:val="24"/>
                <w:szCs w:val="24"/>
                <w:lang w:val="en-US" w:eastAsia="zh-CN"/>
              </w:rPr>
              <w:t>环境影响报告表</w:t>
            </w:r>
            <w:r>
              <w:rPr>
                <w:rFonts w:hint="eastAsia" w:asciiTheme="minorEastAsia" w:hAnsiTheme="minorEastAsia" w:eastAsiaTheme="minorEastAsia" w:cstheme="minorEastAsia"/>
                <w:b/>
                <w:sz w:val="24"/>
                <w:szCs w:val="24"/>
              </w:rPr>
              <w:t>审批决定</w:t>
            </w:r>
          </w:p>
          <w:p>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经你公司和环评编制单位承诺，我分局原则同意该项目《报告表》结论以及提出的污染防治措施。你公司应严格落实《报告表》提出的各项环境污染防治措施和承诺的相关内容，严格执行环保污染防治设施与主体工程同时设计、同时施工、同时投产的环保“三同时”制度，编制突发环境事故应急预案并定期演练，确保各项污染物达标排放、危险废物规范处置、污染物总量符合核定指标、各项环境风险可控。</w:t>
            </w:r>
          </w:p>
          <w:p>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二、项目投产前，应按规定程序完成排污许可证申领、竣工环境保护验收工作，并将相关信息对社会公开。</w:t>
            </w:r>
          </w:p>
          <w:p>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三、建设项目的性质、规模、地点、工艺或者污染防治措施发生重大变动时，应当重新报批环境影响评价文件。</w:t>
            </w:r>
          </w:p>
          <w:p>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四、请县生态环境保护综合行政执法大队、经济开发区生态环境工作站对安徽思睿辰新材料有限公司陶瓷覆铜板项目加强现场监管。</w:t>
            </w:r>
          </w:p>
          <w:p>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五、若发现存在不符合告知承诺制或环评文件存在重大质量问题，我局将撤销许可决定，由此造成的一切后果和经济损失均由你公司承担。</w:t>
            </w:r>
          </w:p>
          <w:p>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b/>
                <w:bCs/>
                <w:sz w:val="28"/>
                <w:szCs w:val="28"/>
                <w:vertAlign w:val="baseline"/>
                <w:lang w:val="en-US" w:eastAsia="zh-CN"/>
              </w:rPr>
            </w:pPr>
          </w:p>
          <w:p>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b/>
                <w:bCs/>
                <w:sz w:val="28"/>
                <w:szCs w:val="28"/>
                <w:vertAlign w:val="baseline"/>
                <w:lang w:val="en-US" w:eastAsia="zh-CN"/>
              </w:rPr>
            </w:pPr>
          </w:p>
          <w:p>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b/>
                <w:bCs/>
                <w:sz w:val="28"/>
                <w:szCs w:val="28"/>
                <w:vertAlign w:val="baseline"/>
                <w:lang w:val="en-US" w:eastAsia="zh-CN"/>
              </w:rPr>
            </w:pPr>
          </w:p>
          <w:p>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b/>
                <w:bCs/>
                <w:sz w:val="28"/>
                <w:szCs w:val="28"/>
                <w:vertAlign w:val="baseline"/>
                <w:lang w:val="en-US" w:eastAsia="zh-CN"/>
              </w:rPr>
            </w:pPr>
          </w:p>
          <w:p>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b/>
                <w:bCs/>
                <w:sz w:val="28"/>
                <w:szCs w:val="28"/>
                <w:vertAlign w:val="baseline"/>
                <w:lang w:val="en-US" w:eastAsia="zh-CN"/>
              </w:rPr>
            </w:pPr>
          </w:p>
          <w:p>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b/>
                <w:bCs/>
                <w:sz w:val="28"/>
                <w:szCs w:val="28"/>
                <w:vertAlign w:val="baseline"/>
                <w:lang w:val="en-US" w:eastAsia="zh-CN"/>
              </w:rPr>
            </w:pPr>
          </w:p>
          <w:p>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b/>
                <w:bCs/>
                <w:sz w:val="28"/>
                <w:szCs w:val="28"/>
                <w:vertAlign w:val="baseline"/>
                <w:lang w:val="en-US" w:eastAsia="zh-CN"/>
              </w:rPr>
            </w:pPr>
          </w:p>
          <w:p>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b/>
                <w:bCs/>
                <w:sz w:val="28"/>
                <w:szCs w:val="28"/>
                <w:vertAlign w:val="baseline"/>
                <w:lang w:val="en-US" w:eastAsia="zh-CN"/>
              </w:rPr>
            </w:pPr>
          </w:p>
          <w:p>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default" w:ascii="宋体" w:hAnsi="宋体" w:eastAsia="宋体" w:cs="宋体"/>
                <w:b/>
                <w:bCs/>
                <w:sz w:val="28"/>
                <w:szCs w:val="28"/>
                <w:vertAlign w:val="baseline"/>
                <w:lang w:val="en-US" w:eastAsia="zh-CN"/>
              </w:rPr>
            </w:pPr>
          </w:p>
        </w:tc>
      </w:tr>
    </w:tbl>
    <w:p>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default" w:ascii="宋体" w:hAnsi="宋体" w:eastAsia="宋体" w:cs="宋体"/>
          <w:b/>
          <w:bCs/>
          <w:sz w:val="28"/>
          <w:szCs w:val="28"/>
          <w:lang w:val="en-US" w:eastAsia="zh-CN"/>
        </w:rPr>
        <w:sectPr>
          <w:pgSz w:w="12240" w:h="15840"/>
          <w:pgMar w:top="1440" w:right="1800" w:bottom="1440" w:left="1800" w:header="720" w:footer="720" w:gutter="0"/>
          <w:lnNumType w:countBy="0" w:distance="360"/>
          <w:cols w:space="720" w:num="1"/>
          <w:docGrid w:type="lines" w:linePitch="312" w:charSpace="0"/>
        </w:sectPr>
      </w:pPr>
    </w:p>
    <w:p>
      <w:pPr>
        <w:spacing w:line="220" w:lineRule="atLeast"/>
        <w:rPr>
          <w:rFonts w:hint="eastAsia" w:ascii="宋体" w:hAnsi="宋体" w:eastAsia="宋体" w:cs="宋体"/>
          <w:b/>
          <w:bCs/>
          <w:sz w:val="28"/>
          <w:szCs w:val="28"/>
        </w:rPr>
      </w:pPr>
      <w:r>
        <w:rPr>
          <w:rFonts w:hint="eastAsia" w:ascii="宋体" w:hAnsi="宋体" w:eastAsia="宋体" w:cs="宋体"/>
          <w:b/>
          <w:bCs/>
          <w:sz w:val="28"/>
          <w:szCs w:val="28"/>
        </w:rPr>
        <w:t>表五</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6" w:type="dxa"/>
          </w:tcPr>
          <w:p>
            <w:pPr>
              <w:keepNext w:val="0"/>
              <w:keepLines w:val="0"/>
              <w:pageBreakBefore w:val="0"/>
              <w:widowControl/>
              <w:kinsoku/>
              <w:wordWrap/>
              <w:overflowPunct/>
              <w:topLinePunct w:val="0"/>
              <w:autoSpaceDE/>
              <w:autoSpaceDN/>
              <w:bidi w:val="0"/>
              <w:adjustRightInd w:val="0"/>
              <w:snapToGrid w:val="0"/>
              <w:spacing w:after="0" w:line="360" w:lineRule="auto"/>
              <w:ind w:firstLine="0" w:firstLineChars="0"/>
              <w:textAlignment w:val="auto"/>
              <w:outlineLvl w:val="1"/>
              <w:rPr>
                <w:rFonts w:hint="eastAsia" w:ascii="Times New Roman" w:cs="Times New Roman" w:hAnsiTheme="minorEastAsia" w:eastAsiaTheme="minorEastAsia"/>
                <w:b/>
                <w:bCs/>
                <w:sz w:val="24"/>
                <w:szCs w:val="24"/>
                <w:lang w:eastAsia="zh-CN"/>
              </w:rPr>
            </w:pPr>
            <w:bookmarkStart w:id="0" w:name="_Toc505677860"/>
            <w:r>
              <w:rPr>
                <w:rFonts w:hint="eastAsia" w:ascii="Times New Roman" w:cs="Times New Roman" w:hAnsiTheme="minorEastAsia" w:eastAsiaTheme="minorEastAsia"/>
                <w:b/>
                <w:bCs/>
                <w:sz w:val="24"/>
                <w:szCs w:val="24"/>
                <w:lang w:val="en-US" w:eastAsia="zh-CN"/>
              </w:rPr>
              <w:t>验收</w:t>
            </w:r>
            <w:r>
              <w:rPr>
                <w:rFonts w:ascii="Times New Roman" w:cs="Times New Roman" w:hAnsiTheme="minorEastAsia" w:eastAsiaTheme="minorEastAsia"/>
                <w:b/>
                <w:bCs/>
                <w:sz w:val="24"/>
                <w:szCs w:val="24"/>
              </w:rPr>
              <w:t>监测</w:t>
            </w:r>
            <w:r>
              <w:rPr>
                <w:rFonts w:hint="eastAsia" w:ascii="Times New Roman" w:cs="Times New Roman" w:hAnsiTheme="minorEastAsia" w:eastAsiaTheme="minorEastAsia"/>
                <w:b/>
                <w:bCs/>
                <w:sz w:val="24"/>
                <w:szCs w:val="24"/>
                <w:lang w:val="en-US" w:eastAsia="zh-CN"/>
              </w:rPr>
              <w:t>质量保证及</w:t>
            </w:r>
            <w:r>
              <w:rPr>
                <w:rFonts w:ascii="Times New Roman" w:cs="Times New Roman" w:hAnsiTheme="minorEastAsia" w:eastAsiaTheme="minorEastAsia"/>
                <w:b/>
                <w:bCs/>
                <w:sz w:val="24"/>
                <w:szCs w:val="24"/>
              </w:rPr>
              <w:t>质量控制</w:t>
            </w:r>
            <w:bookmarkEnd w:id="0"/>
            <w:r>
              <w:rPr>
                <w:rFonts w:hint="eastAsia" w:ascii="Times New Roman" w:cs="Times New Roman" w:hAnsiTheme="minorEastAsia" w:eastAsiaTheme="minorEastAsia"/>
                <w:b/>
                <w:bCs/>
                <w:sz w:val="24"/>
                <w:szCs w:val="24"/>
                <w:lang w:eastAsia="zh-CN"/>
              </w:rPr>
              <w:t>：</w:t>
            </w:r>
          </w:p>
          <w:p>
            <w:pPr>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both"/>
              <w:textAlignment w:val="auto"/>
              <w:rPr>
                <w:rFonts w:hint="default"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1、监测分析过程中的质量保证和质量控制</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color w:val="000000"/>
                <w:kern w:val="0"/>
                <w:sz w:val="24"/>
                <w:szCs w:val="24"/>
              </w:rPr>
              <w:t>本次验收监测采样及分析过程均严格按照《环境空气监测质量保证手册》及《环境监测技术规范》等要求进行，实施全程序质量控制。具体质控要求如下：</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宋体" w:hAnsi="宋体" w:eastAsia="宋体" w:cs="宋体"/>
                <w:sz w:val="24"/>
                <w:szCs w:val="24"/>
              </w:rPr>
            </w:pPr>
            <w:r>
              <w:rPr>
                <w:rFonts w:hint="default" w:ascii="Times New Roman" w:hAnsi="Times New Roman" w:eastAsia="宋体" w:cs="Times New Roman"/>
                <w:sz w:val="24"/>
                <w:szCs w:val="24"/>
              </w:rPr>
              <w:t>（1）</w:t>
            </w:r>
            <w:r>
              <w:rPr>
                <w:rFonts w:hint="eastAsia" w:ascii="宋体" w:hAnsi="宋体" w:eastAsia="宋体" w:cs="宋体"/>
                <w:sz w:val="24"/>
                <w:szCs w:val="24"/>
              </w:rPr>
              <w:t>及时</w:t>
            </w:r>
            <w:r>
              <w:rPr>
                <w:rFonts w:hint="eastAsia" w:ascii="宋体" w:hAnsi="宋体" w:eastAsia="宋体" w:cs="宋体"/>
                <w:color w:val="000000"/>
                <w:sz w:val="24"/>
                <w:szCs w:val="24"/>
              </w:rPr>
              <w:t>组织</w:t>
            </w:r>
            <w:r>
              <w:rPr>
                <w:rFonts w:hint="eastAsia" w:ascii="宋体" w:hAnsi="宋体" w:eastAsia="宋体" w:cs="宋体"/>
                <w:sz w:val="24"/>
                <w:szCs w:val="24"/>
              </w:rPr>
              <w:t>监测人员到现场勘察，进行现场点位确认。</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宋体" w:hAnsi="宋体" w:eastAsia="宋体" w:cs="宋体"/>
                <w:kern w:val="0"/>
                <w:sz w:val="24"/>
                <w:szCs w:val="24"/>
              </w:rPr>
            </w:pPr>
            <w:r>
              <w:rPr>
                <w:rFonts w:hint="default" w:ascii="Times New Roman" w:hAnsi="Times New Roman" w:eastAsia="宋体" w:cs="Times New Roman"/>
                <w:sz w:val="24"/>
                <w:szCs w:val="24"/>
              </w:rPr>
              <w:t>（2）</w:t>
            </w:r>
            <w:r>
              <w:rPr>
                <w:rFonts w:hint="eastAsia" w:ascii="宋体" w:hAnsi="宋体" w:eastAsia="宋体" w:cs="宋体"/>
                <w:kern w:val="0"/>
                <w:sz w:val="24"/>
                <w:szCs w:val="24"/>
              </w:rPr>
              <w:t>根据现场</w:t>
            </w:r>
            <w:r>
              <w:rPr>
                <w:rFonts w:hint="eastAsia" w:ascii="宋体" w:hAnsi="宋体" w:eastAsia="宋体" w:cs="宋体"/>
                <w:sz w:val="24"/>
                <w:szCs w:val="24"/>
              </w:rPr>
              <w:t>勘察</w:t>
            </w:r>
            <w:r>
              <w:rPr>
                <w:rFonts w:hint="eastAsia" w:ascii="宋体" w:hAnsi="宋体" w:eastAsia="宋体" w:cs="宋体"/>
                <w:kern w:val="0"/>
                <w:sz w:val="24"/>
                <w:szCs w:val="24"/>
              </w:rPr>
              <w:t>的情况，</w:t>
            </w:r>
            <w:r>
              <w:rPr>
                <w:rFonts w:hint="eastAsia" w:ascii="宋体" w:hAnsi="宋体" w:eastAsia="宋体" w:cs="宋体"/>
                <w:color w:val="000000"/>
                <w:kern w:val="0"/>
                <w:sz w:val="24"/>
                <w:szCs w:val="24"/>
              </w:rPr>
              <w:t>《工业企业厂界环境噪声排放标准》</w:t>
            </w:r>
            <w:r>
              <w:rPr>
                <w:rFonts w:hint="default" w:ascii="Times New Roman" w:hAnsi="Times New Roman" w:eastAsia="宋体" w:cs="Times New Roman"/>
                <w:color w:val="000000"/>
                <w:kern w:val="0"/>
                <w:sz w:val="24"/>
                <w:szCs w:val="24"/>
              </w:rPr>
              <w:t>（GB 12348-2008），</w:t>
            </w:r>
            <w:r>
              <w:rPr>
                <w:rFonts w:hint="eastAsia" w:ascii="宋体" w:hAnsi="宋体" w:eastAsia="宋体" w:cs="宋体"/>
                <w:kern w:val="0"/>
                <w:sz w:val="24"/>
                <w:szCs w:val="24"/>
              </w:rPr>
              <w:t>编制现场监测方案和现场监测实施方案。</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宋体" w:hAnsi="宋体" w:eastAsia="宋体" w:cs="宋体"/>
                <w:sz w:val="24"/>
                <w:szCs w:val="24"/>
              </w:rPr>
            </w:pPr>
            <w:r>
              <w:rPr>
                <w:rFonts w:hint="default" w:ascii="Times New Roman" w:hAnsi="Times New Roman" w:eastAsia="宋体" w:cs="Times New Roman"/>
                <w:sz w:val="24"/>
                <w:szCs w:val="24"/>
              </w:rPr>
              <w:t>（3）</w:t>
            </w:r>
            <w:r>
              <w:rPr>
                <w:rFonts w:hint="eastAsia" w:ascii="宋体" w:hAnsi="宋体" w:eastAsia="宋体" w:cs="宋体"/>
                <w:sz w:val="24"/>
                <w:szCs w:val="24"/>
              </w:rPr>
              <w:t>使用的标准方法均为现行有效的方法，且方法最低检出限能满足各项监测因子的最高质量标准。</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宋体" w:hAnsi="宋体" w:eastAsia="宋体" w:cs="宋体"/>
                <w:sz w:val="24"/>
                <w:szCs w:val="24"/>
              </w:rPr>
            </w:pPr>
            <w:r>
              <w:rPr>
                <w:rFonts w:hint="default" w:ascii="Times New Roman" w:hAnsi="Times New Roman" w:eastAsia="宋体" w:cs="Times New Roman"/>
                <w:sz w:val="24"/>
                <w:szCs w:val="24"/>
              </w:rPr>
              <w:t>（4）</w:t>
            </w:r>
            <w:r>
              <w:rPr>
                <w:rFonts w:hint="eastAsia" w:ascii="宋体" w:hAnsi="宋体" w:eastAsia="宋体" w:cs="宋体"/>
                <w:sz w:val="24"/>
                <w:szCs w:val="24"/>
              </w:rPr>
              <w:t>所有的监测人员均能持证上岗，对监测过程中涉及的重要技术环节进行了严格的培训。</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宋体" w:hAnsi="宋体" w:eastAsia="宋体" w:cs="宋体"/>
                <w:sz w:val="24"/>
                <w:szCs w:val="24"/>
              </w:rPr>
            </w:pPr>
            <w:r>
              <w:rPr>
                <w:rFonts w:hint="default" w:ascii="Times New Roman" w:hAnsi="Times New Roman" w:eastAsia="宋体" w:cs="Times New Roman"/>
                <w:sz w:val="24"/>
                <w:szCs w:val="24"/>
              </w:rPr>
              <w:t>（5）</w:t>
            </w:r>
            <w:r>
              <w:rPr>
                <w:rFonts w:hint="eastAsia" w:ascii="宋体" w:hAnsi="宋体" w:eastAsia="宋体" w:cs="宋体"/>
                <w:color w:val="000000"/>
                <w:sz w:val="24"/>
                <w:szCs w:val="24"/>
              </w:rPr>
              <w:t>实验室分析</w:t>
            </w:r>
            <w:r>
              <w:rPr>
                <w:rFonts w:hint="eastAsia" w:ascii="宋体" w:hAnsi="宋体" w:eastAsia="宋体" w:cs="宋体"/>
                <w:sz w:val="24"/>
                <w:szCs w:val="24"/>
              </w:rPr>
              <w:t>仪器均经过省级计量部门鉴定，保证了监测数据的准确性和代表性。</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宋体" w:hAnsi="宋体" w:eastAsia="宋体" w:cs="宋体"/>
                <w:sz w:val="24"/>
                <w:szCs w:val="24"/>
              </w:rPr>
            </w:pPr>
            <w:r>
              <w:rPr>
                <w:rFonts w:hint="default" w:ascii="Times New Roman" w:hAnsi="Times New Roman" w:eastAsia="宋体" w:cs="Times New Roman"/>
                <w:sz w:val="24"/>
                <w:szCs w:val="24"/>
              </w:rPr>
              <w:t>（6）</w:t>
            </w:r>
            <w:r>
              <w:rPr>
                <w:rFonts w:hint="eastAsia" w:ascii="宋体" w:hAnsi="宋体" w:eastAsia="宋体" w:cs="宋体"/>
                <w:sz w:val="24"/>
                <w:szCs w:val="24"/>
              </w:rPr>
              <w:t>数据进行三级审核（室主任审核、质量负责人复审、技术负责人签发）。</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宋体" w:hAnsi="宋体" w:eastAsia="宋体" w:cs="宋体"/>
                <w:sz w:val="24"/>
                <w:szCs w:val="24"/>
              </w:rPr>
            </w:pPr>
            <w:r>
              <w:rPr>
                <w:rFonts w:hint="default" w:ascii="Times New Roman" w:hAnsi="Times New Roman" w:eastAsia="宋体" w:cs="Times New Roman"/>
                <w:sz w:val="24"/>
                <w:szCs w:val="24"/>
              </w:rPr>
              <w:t>（7）</w:t>
            </w:r>
            <w:r>
              <w:rPr>
                <w:rFonts w:hint="eastAsia" w:ascii="宋体" w:hAnsi="宋体" w:eastAsia="宋体" w:cs="宋体"/>
                <w:sz w:val="24"/>
                <w:szCs w:val="24"/>
              </w:rPr>
              <w:t>样品的采集、运输均按相关的技术规范要求进行。</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宋体" w:hAnsi="宋体" w:eastAsia="宋体" w:cs="宋体"/>
                <w:bCs/>
                <w:sz w:val="24"/>
                <w:szCs w:val="24"/>
              </w:rPr>
            </w:pPr>
            <w:r>
              <w:rPr>
                <w:rFonts w:hint="default" w:ascii="Times New Roman" w:hAnsi="Times New Roman" w:eastAsia="宋体" w:cs="Times New Roman"/>
                <w:sz w:val="24"/>
                <w:szCs w:val="24"/>
              </w:rPr>
              <w:t>（8）</w:t>
            </w:r>
            <w:r>
              <w:rPr>
                <w:rFonts w:hint="eastAsia" w:ascii="宋体" w:hAnsi="宋体" w:eastAsia="宋体" w:cs="宋体"/>
                <w:bCs/>
                <w:sz w:val="24"/>
                <w:szCs w:val="24"/>
              </w:rPr>
              <w:t>样品</w:t>
            </w:r>
            <w:r>
              <w:rPr>
                <w:rFonts w:hint="eastAsia" w:ascii="宋体" w:hAnsi="宋体" w:eastAsia="宋体" w:cs="宋体"/>
                <w:color w:val="000000"/>
                <w:sz w:val="24"/>
                <w:szCs w:val="24"/>
              </w:rPr>
              <w:t>分析质量控制</w:t>
            </w:r>
            <w:r>
              <w:rPr>
                <w:rFonts w:hint="eastAsia" w:ascii="宋体" w:hAnsi="宋体" w:eastAsia="宋体" w:cs="宋体"/>
                <w:bCs/>
                <w:sz w:val="24"/>
                <w:szCs w:val="24"/>
              </w:rPr>
              <w:t>：</w:t>
            </w:r>
          </w:p>
          <w:p>
            <w:pPr>
              <w:pStyle w:val="2"/>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用空白值、标准曲线的相关、截距、斜率评价实验过程的一致性。</w:t>
            </w:r>
          </w:p>
          <w:p>
            <w:pPr>
              <w:pStyle w:val="2"/>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0" w:firstLineChars="0"/>
              <w:textAlignment w:val="auto"/>
              <w:rPr>
                <w:rFonts w:hint="eastAsia" w:ascii="Times New Roman" w:hAnsi="Times New Roman" w:eastAsia="宋体" w:cs="Times New Roman"/>
                <w:b/>
                <w:bCs w:val="0"/>
                <w:sz w:val="24"/>
                <w:szCs w:val="24"/>
                <w:lang w:val="en-US" w:eastAsia="zh-CN"/>
              </w:rPr>
            </w:pPr>
            <w:r>
              <w:rPr>
                <w:rFonts w:hint="eastAsia" w:ascii="Times New Roman" w:hAnsi="Times New Roman" w:eastAsia="宋体" w:cs="Times New Roman"/>
                <w:b/>
                <w:bCs w:val="0"/>
                <w:sz w:val="24"/>
                <w:szCs w:val="24"/>
                <w:lang w:val="en-US" w:eastAsia="zh-CN" w:bidi="ar-SA"/>
              </w:rPr>
              <w:t>2、</w:t>
            </w:r>
            <w:r>
              <w:rPr>
                <w:rFonts w:hint="default" w:ascii="Times New Roman" w:hAnsi="Times New Roman" w:eastAsia="宋体" w:cs="Times New Roman"/>
                <w:b/>
                <w:bCs w:val="0"/>
                <w:sz w:val="24"/>
                <w:szCs w:val="24"/>
                <w:lang w:val="en-US" w:eastAsia="zh-CN"/>
              </w:rPr>
              <w:t>监测分析方法</w:t>
            </w:r>
            <w:r>
              <w:rPr>
                <w:rFonts w:hint="eastAsia" w:ascii="Times New Roman" w:hAnsi="Times New Roman" w:eastAsia="宋体" w:cs="Times New Roman"/>
                <w:b/>
                <w:bCs w:val="0"/>
                <w:sz w:val="24"/>
                <w:szCs w:val="24"/>
                <w:lang w:val="en-US" w:eastAsia="zh-CN"/>
              </w:rPr>
              <w:t>表</w:t>
            </w:r>
          </w:p>
          <w:p>
            <w:pPr>
              <w:pStyle w:val="2"/>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0" w:firstLineChars="0"/>
              <w:jc w:val="center"/>
              <w:textAlignment w:val="auto"/>
              <w:rPr>
                <w:rFonts w:hint="default" w:ascii="Times New Roman" w:hAnsi="Times New Roman" w:eastAsia="宋体" w:cs="Times New Roman"/>
                <w:b/>
                <w:bCs w:val="0"/>
                <w:sz w:val="24"/>
                <w:szCs w:val="24"/>
                <w:lang w:val="en-US" w:eastAsia="zh-CN"/>
              </w:rPr>
            </w:pPr>
            <w:r>
              <w:rPr>
                <w:rFonts w:hint="eastAsia" w:ascii="Times New Roman" w:hAnsi="Times New Roman" w:eastAsia="宋体" w:cs="Times New Roman"/>
                <w:b/>
                <w:bCs w:val="0"/>
                <w:sz w:val="24"/>
                <w:szCs w:val="24"/>
                <w:lang w:val="en-US" w:eastAsia="zh-CN"/>
              </w:rPr>
              <w:t>5.1 监测分析方法一览表</w:t>
            </w:r>
          </w:p>
          <w:tbl>
            <w:tblPr>
              <w:tblStyle w:val="15"/>
              <w:tblW w:w="85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1371"/>
              <w:gridCol w:w="3912"/>
              <w:gridCol w:w="2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 w:hRule="atLeast"/>
                <w:jc w:val="center"/>
              </w:trPr>
              <w:tc>
                <w:tcPr>
                  <w:tcW w:w="1135" w:type="dxa"/>
                  <w:vAlign w:val="center"/>
                </w:tcPr>
                <w:p>
                  <w:pPr>
                    <w:pStyle w:val="2"/>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Cs/>
                      <w:sz w:val="21"/>
                      <w:szCs w:val="21"/>
                      <w:vertAlign w:val="baseline"/>
                      <w:lang w:val="en-US" w:eastAsia="zh-CN"/>
                    </w:rPr>
                  </w:pPr>
                  <w:r>
                    <w:rPr>
                      <w:rFonts w:hint="eastAsia" w:ascii="Times New Roman" w:hAnsi="Times New Roman" w:eastAsia="宋体" w:cs="Times New Roman"/>
                      <w:bCs/>
                      <w:sz w:val="21"/>
                      <w:szCs w:val="21"/>
                      <w:vertAlign w:val="baseline"/>
                      <w:lang w:val="en-US" w:eastAsia="zh-CN"/>
                    </w:rPr>
                    <w:t>监测类别</w:t>
                  </w:r>
                </w:p>
              </w:tc>
              <w:tc>
                <w:tcPr>
                  <w:tcW w:w="1371" w:type="dxa"/>
                  <w:vAlign w:val="center"/>
                </w:tcPr>
                <w:p>
                  <w:pPr>
                    <w:pStyle w:val="2"/>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Cs/>
                      <w:sz w:val="21"/>
                      <w:szCs w:val="21"/>
                      <w:vertAlign w:val="baseline"/>
                      <w:lang w:val="en-US" w:eastAsia="zh-CN"/>
                    </w:rPr>
                  </w:pPr>
                  <w:r>
                    <w:rPr>
                      <w:rFonts w:hint="eastAsia" w:ascii="Times New Roman" w:hAnsi="Times New Roman" w:eastAsia="宋体" w:cs="Times New Roman"/>
                      <w:bCs/>
                      <w:sz w:val="21"/>
                      <w:szCs w:val="21"/>
                      <w:vertAlign w:val="baseline"/>
                      <w:lang w:val="en-US" w:eastAsia="zh-CN"/>
                    </w:rPr>
                    <w:t>监测项目</w:t>
                  </w:r>
                </w:p>
              </w:tc>
              <w:tc>
                <w:tcPr>
                  <w:tcW w:w="3912" w:type="dxa"/>
                  <w:vAlign w:val="center"/>
                </w:tcPr>
                <w:p>
                  <w:pPr>
                    <w:pStyle w:val="2"/>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Cs/>
                      <w:sz w:val="21"/>
                      <w:szCs w:val="21"/>
                      <w:vertAlign w:val="baseline"/>
                      <w:lang w:val="en-US" w:eastAsia="zh-CN"/>
                    </w:rPr>
                  </w:pPr>
                  <w:r>
                    <w:rPr>
                      <w:rFonts w:hint="eastAsia" w:ascii="Times New Roman" w:hAnsi="Times New Roman" w:eastAsia="宋体" w:cs="Times New Roman"/>
                      <w:bCs/>
                      <w:sz w:val="21"/>
                      <w:szCs w:val="21"/>
                      <w:vertAlign w:val="baseline"/>
                      <w:lang w:val="en-US" w:eastAsia="zh-CN"/>
                    </w:rPr>
                    <w:t>分析方法</w:t>
                  </w:r>
                </w:p>
              </w:tc>
              <w:tc>
                <w:tcPr>
                  <w:tcW w:w="2140" w:type="dxa"/>
                  <w:vAlign w:val="center"/>
                </w:tcPr>
                <w:p>
                  <w:pPr>
                    <w:pStyle w:val="2"/>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Cs/>
                      <w:sz w:val="21"/>
                      <w:szCs w:val="21"/>
                      <w:vertAlign w:val="baseline"/>
                      <w:lang w:val="en-US" w:eastAsia="zh-CN"/>
                    </w:rPr>
                  </w:pPr>
                  <w:r>
                    <w:rPr>
                      <w:rFonts w:hint="eastAsia" w:ascii="Times New Roman" w:hAnsi="Times New Roman" w:eastAsia="宋体" w:cs="Times New Roman"/>
                      <w:bCs/>
                      <w:sz w:val="21"/>
                      <w:szCs w:val="21"/>
                      <w:vertAlign w:val="baseline"/>
                      <w:lang w:val="en-US" w:eastAsia="zh-CN"/>
                    </w:rPr>
                    <w:t>方法检出限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1135" w:type="dxa"/>
                  <w:vAlign w:val="center"/>
                </w:tcPr>
                <w:p>
                  <w:pPr>
                    <w:pStyle w:val="2"/>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Cs/>
                      <w:sz w:val="21"/>
                      <w:szCs w:val="21"/>
                      <w:vertAlign w:val="baseline"/>
                      <w:lang w:val="en-US" w:eastAsia="zh-CN"/>
                    </w:rPr>
                  </w:pPr>
                  <w:r>
                    <w:rPr>
                      <w:rFonts w:hint="eastAsia" w:ascii="Times New Roman" w:hAnsi="Times New Roman" w:eastAsia="宋体" w:cs="Times New Roman"/>
                      <w:bCs/>
                      <w:sz w:val="21"/>
                      <w:szCs w:val="21"/>
                      <w:vertAlign w:val="baseline"/>
                      <w:lang w:val="en-US" w:eastAsia="zh-CN"/>
                    </w:rPr>
                    <w:t>噪声</w:t>
                  </w:r>
                </w:p>
              </w:tc>
              <w:tc>
                <w:tcPr>
                  <w:tcW w:w="1371" w:type="dxa"/>
                  <w:vAlign w:val="center"/>
                </w:tcPr>
                <w:p>
                  <w:pPr>
                    <w:pStyle w:val="2"/>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Cs/>
                      <w:sz w:val="21"/>
                      <w:szCs w:val="21"/>
                      <w:vertAlign w:val="baseline"/>
                      <w:lang w:val="en-US" w:eastAsia="zh-CN"/>
                    </w:rPr>
                  </w:pPr>
                  <w:r>
                    <w:rPr>
                      <w:rFonts w:hint="eastAsia" w:ascii="Times New Roman" w:hAnsi="Times New Roman" w:eastAsia="宋体" w:cs="Times New Roman"/>
                      <w:bCs/>
                      <w:sz w:val="21"/>
                      <w:szCs w:val="21"/>
                      <w:vertAlign w:val="baseline"/>
                      <w:lang w:val="en-US" w:eastAsia="zh-CN"/>
                    </w:rPr>
                    <w:t>声环境</w:t>
                  </w:r>
                </w:p>
              </w:tc>
              <w:tc>
                <w:tcPr>
                  <w:tcW w:w="3912" w:type="dxa"/>
                  <w:vAlign w:val="center"/>
                </w:tcPr>
                <w:p>
                  <w:pPr>
                    <w:pStyle w:val="2"/>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Cs/>
                      <w:sz w:val="21"/>
                      <w:szCs w:val="21"/>
                      <w:vertAlign w:val="baseline"/>
                      <w:lang w:val="en-US" w:eastAsia="zh-CN"/>
                    </w:rPr>
                  </w:pPr>
                  <w:r>
                    <w:rPr>
                      <w:rFonts w:hint="eastAsia" w:ascii="Times New Roman" w:hAnsi="Times New Roman" w:eastAsia="宋体" w:cs="Times New Roman"/>
                      <w:bCs/>
                      <w:sz w:val="21"/>
                      <w:szCs w:val="21"/>
                      <w:vertAlign w:val="baseline"/>
                      <w:lang w:val="en-US" w:eastAsia="zh-CN"/>
                    </w:rPr>
                    <w:t>《声环境质量标准》GB 3096-2008</w:t>
                  </w:r>
                </w:p>
              </w:tc>
              <w:tc>
                <w:tcPr>
                  <w:tcW w:w="2140" w:type="dxa"/>
                  <w:vAlign w:val="center"/>
                </w:tcPr>
                <w:p>
                  <w:pPr>
                    <w:pStyle w:val="2"/>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Cs/>
                      <w:sz w:val="21"/>
                      <w:szCs w:val="21"/>
                      <w:vertAlign w:val="baseline"/>
                      <w:lang w:val="en-US" w:eastAsia="zh-CN"/>
                    </w:rPr>
                  </w:pPr>
                  <w:r>
                    <w:rPr>
                      <w:rFonts w:hint="eastAsia" w:ascii="Times New Roman" w:hAnsi="Times New Roman" w:eastAsia="宋体" w:cs="Times New Roman"/>
                      <w:bCs/>
                      <w:sz w:val="21"/>
                      <w:szCs w:val="21"/>
                      <w:vertAlign w:val="baseline"/>
                      <w:lang w:val="en-US" w:eastAsia="zh-CN"/>
                    </w:rPr>
                    <w:t>/</w:t>
                  </w:r>
                </w:p>
              </w:tc>
            </w:tr>
          </w:tbl>
          <w:p>
            <w:pPr>
              <w:pStyle w:val="2"/>
              <w:keepNext w:val="0"/>
              <w:keepLines w:val="0"/>
              <w:pageBreakBefore w:val="0"/>
              <w:widowControl/>
              <w:kinsoku/>
              <w:wordWrap/>
              <w:overflowPunct/>
              <w:topLinePunct w:val="0"/>
              <w:autoSpaceDE/>
              <w:autoSpaceDN/>
              <w:bidi w:val="0"/>
              <w:adjustRightInd w:val="0"/>
              <w:snapToGrid w:val="0"/>
              <w:spacing w:after="0" w:line="360" w:lineRule="auto"/>
              <w:ind w:firstLine="0" w:firstLineChars="0"/>
              <w:textAlignment w:val="auto"/>
              <w:rPr>
                <w:rFonts w:hint="default" w:ascii="宋体" w:hAnsi="宋体" w:eastAsia="宋体" w:cs="宋体"/>
                <w:b/>
                <w:bCs w:val="0"/>
                <w:sz w:val="24"/>
                <w:szCs w:val="24"/>
                <w:lang w:val="en-US" w:eastAsia="zh-CN"/>
              </w:rPr>
            </w:pPr>
            <w:r>
              <w:rPr>
                <w:rFonts w:hint="eastAsia" w:ascii="宋体" w:hAnsi="宋体" w:eastAsia="宋体" w:cs="宋体"/>
                <w:b/>
                <w:bCs w:val="0"/>
                <w:sz w:val="24"/>
                <w:szCs w:val="24"/>
                <w:lang w:val="en-US" w:eastAsia="zh-CN"/>
              </w:rPr>
              <w:t>3、检测仪器及检验有效期</w:t>
            </w:r>
          </w:p>
          <w:p>
            <w:pPr>
              <w:pStyle w:val="2"/>
              <w:keepNext w:val="0"/>
              <w:keepLines w:val="0"/>
              <w:pageBreakBefore w:val="0"/>
              <w:widowControl/>
              <w:kinsoku/>
              <w:wordWrap/>
              <w:overflowPunct/>
              <w:topLinePunct w:val="0"/>
              <w:autoSpaceDE/>
              <w:autoSpaceDN/>
              <w:bidi w:val="0"/>
              <w:adjustRightInd w:val="0"/>
              <w:snapToGrid w:val="0"/>
              <w:spacing w:after="0" w:line="360" w:lineRule="auto"/>
              <w:ind w:firstLine="0" w:firstLineChars="0"/>
              <w:jc w:val="center"/>
              <w:textAlignment w:val="auto"/>
              <w:rPr>
                <w:rFonts w:hint="default" w:ascii="Times New Roman" w:hAnsi="Times New Roman" w:eastAsia="宋体" w:cs="Times New Roman"/>
                <w:bCs/>
                <w:sz w:val="24"/>
                <w:szCs w:val="24"/>
                <w:lang w:val="en-US" w:eastAsia="zh-CN"/>
              </w:rPr>
            </w:pPr>
            <w:commentRangeStart w:id="8"/>
            <w:r>
              <w:rPr>
                <w:rFonts w:hint="default" w:ascii="Times New Roman" w:hAnsi="Times New Roman" w:eastAsia="宋体" w:cs="Times New Roman"/>
                <w:b/>
                <w:bCs w:val="0"/>
                <w:sz w:val="24"/>
                <w:szCs w:val="24"/>
                <w:lang w:val="en-US" w:eastAsia="zh-CN"/>
              </w:rPr>
              <w:t>表5.2 监测仪器一览表</w:t>
            </w:r>
            <w:commentRangeEnd w:id="8"/>
            <w:r>
              <w:commentReference w:id="8"/>
            </w:r>
          </w:p>
          <w:tbl>
            <w:tblPr>
              <w:tblStyle w:val="15"/>
              <w:tblW w:w="85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6"/>
              <w:gridCol w:w="1533"/>
              <w:gridCol w:w="3109"/>
              <w:gridCol w:w="2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 w:hRule="atLeast"/>
                <w:jc w:val="center"/>
              </w:trPr>
              <w:tc>
                <w:tcPr>
                  <w:tcW w:w="1776" w:type="dxa"/>
                  <w:vAlign w:val="center"/>
                </w:tcPr>
                <w:p>
                  <w:pPr>
                    <w:pStyle w:val="2"/>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Cs/>
                      <w:sz w:val="21"/>
                      <w:szCs w:val="21"/>
                      <w:vertAlign w:val="baseline"/>
                      <w:lang w:val="en-US" w:eastAsia="zh-CN"/>
                    </w:rPr>
                  </w:pPr>
                  <w:r>
                    <w:rPr>
                      <w:rFonts w:hint="eastAsia" w:ascii="Times New Roman" w:hAnsi="Times New Roman" w:eastAsia="宋体" w:cs="Times New Roman"/>
                      <w:bCs/>
                      <w:sz w:val="21"/>
                      <w:szCs w:val="21"/>
                      <w:vertAlign w:val="baseline"/>
                      <w:lang w:val="en-US" w:eastAsia="zh-CN"/>
                    </w:rPr>
                    <w:t>仪器名称</w:t>
                  </w:r>
                </w:p>
              </w:tc>
              <w:tc>
                <w:tcPr>
                  <w:tcW w:w="1533" w:type="dxa"/>
                  <w:vAlign w:val="center"/>
                </w:tcPr>
                <w:p>
                  <w:pPr>
                    <w:pStyle w:val="2"/>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Cs/>
                      <w:sz w:val="21"/>
                      <w:szCs w:val="21"/>
                      <w:vertAlign w:val="baseline"/>
                      <w:lang w:val="en-US" w:eastAsia="zh-CN"/>
                    </w:rPr>
                  </w:pPr>
                  <w:r>
                    <w:rPr>
                      <w:rFonts w:hint="eastAsia" w:ascii="Times New Roman" w:hAnsi="Times New Roman" w:eastAsia="宋体" w:cs="Times New Roman"/>
                      <w:bCs/>
                      <w:sz w:val="21"/>
                      <w:szCs w:val="21"/>
                      <w:vertAlign w:val="baseline"/>
                      <w:lang w:val="en-US" w:eastAsia="zh-CN"/>
                    </w:rPr>
                    <w:t>仪器型号</w:t>
                  </w:r>
                </w:p>
              </w:tc>
              <w:tc>
                <w:tcPr>
                  <w:tcW w:w="3109" w:type="dxa"/>
                  <w:vAlign w:val="center"/>
                </w:tcPr>
                <w:p>
                  <w:pPr>
                    <w:pStyle w:val="2"/>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Cs/>
                      <w:sz w:val="21"/>
                      <w:szCs w:val="21"/>
                      <w:vertAlign w:val="baseline"/>
                      <w:lang w:val="en-US" w:eastAsia="zh-CN"/>
                    </w:rPr>
                  </w:pPr>
                  <w:r>
                    <w:rPr>
                      <w:rFonts w:hint="eastAsia" w:ascii="Times New Roman" w:hAnsi="Times New Roman" w:eastAsia="宋体" w:cs="Times New Roman"/>
                      <w:bCs/>
                      <w:sz w:val="21"/>
                      <w:szCs w:val="21"/>
                      <w:vertAlign w:val="baseline"/>
                      <w:lang w:val="en-US" w:eastAsia="zh-CN"/>
                    </w:rPr>
                    <w:t>仪器编号</w:t>
                  </w:r>
                </w:p>
              </w:tc>
              <w:tc>
                <w:tcPr>
                  <w:tcW w:w="2140" w:type="dxa"/>
                  <w:vAlign w:val="center"/>
                </w:tcPr>
                <w:p>
                  <w:pPr>
                    <w:pStyle w:val="2"/>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Cs/>
                      <w:sz w:val="21"/>
                      <w:szCs w:val="21"/>
                      <w:vertAlign w:val="baseline"/>
                      <w:lang w:val="en-US" w:eastAsia="zh-CN"/>
                    </w:rPr>
                  </w:pPr>
                  <w:r>
                    <w:rPr>
                      <w:rFonts w:hint="eastAsia" w:ascii="Times New Roman" w:hAnsi="Times New Roman" w:eastAsia="宋体" w:cs="Times New Roman"/>
                      <w:bCs/>
                      <w:sz w:val="21"/>
                      <w:szCs w:val="21"/>
                      <w:vertAlign w:val="baseline"/>
                      <w:lang w:val="en-US" w:eastAsia="zh-CN"/>
                    </w:rPr>
                    <w:t>仪器溯源有效期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56" w:hRule="atLeast"/>
                <w:jc w:val="center"/>
              </w:trPr>
              <w:tc>
                <w:tcPr>
                  <w:tcW w:w="1776" w:type="dxa"/>
                  <w:vAlign w:val="center"/>
                </w:tcPr>
                <w:p>
                  <w:pPr>
                    <w:pStyle w:val="2"/>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Cs/>
                      <w:sz w:val="21"/>
                      <w:szCs w:val="21"/>
                      <w:vertAlign w:val="baseline"/>
                      <w:lang w:val="en-US" w:eastAsia="zh-CN"/>
                    </w:rPr>
                  </w:pPr>
                  <w:r>
                    <w:rPr>
                      <w:rFonts w:hint="eastAsia" w:ascii="Times New Roman" w:hAnsi="Times New Roman" w:eastAsia="宋体" w:cs="Times New Roman"/>
                      <w:bCs/>
                      <w:sz w:val="21"/>
                      <w:szCs w:val="21"/>
                      <w:vertAlign w:val="baseline"/>
                      <w:lang w:val="en-US" w:eastAsia="zh-CN"/>
                    </w:rPr>
                    <w:t>多功能声级计</w:t>
                  </w:r>
                </w:p>
              </w:tc>
              <w:tc>
                <w:tcPr>
                  <w:tcW w:w="1533" w:type="dxa"/>
                  <w:vAlign w:val="center"/>
                </w:tcPr>
                <w:p>
                  <w:pPr>
                    <w:pStyle w:val="2"/>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Cs/>
                      <w:sz w:val="21"/>
                      <w:szCs w:val="21"/>
                      <w:vertAlign w:val="baseline"/>
                      <w:lang w:val="en-US" w:eastAsia="zh-CN"/>
                    </w:rPr>
                  </w:pPr>
                  <w:r>
                    <w:rPr>
                      <w:rFonts w:hint="eastAsia" w:ascii="Times New Roman" w:hAnsi="Times New Roman" w:eastAsia="宋体" w:cs="Times New Roman"/>
                      <w:bCs/>
                      <w:sz w:val="21"/>
                      <w:szCs w:val="21"/>
                      <w:vertAlign w:val="baseline"/>
                      <w:lang w:val="en-US" w:eastAsia="zh-CN"/>
                    </w:rPr>
                    <w:t>AWA6228′</w:t>
                  </w:r>
                </w:p>
              </w:tc>
              <w:tc>
                <w:tcPr>
                  <w:tcW w:w="3109" w:type="dxa"/>
                  <w:vAlign w:val="center"/>
                </w:tcPr>
                <w:p>
                  <w:pPr>
                    <w:pStyle w:val="2"/>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Cs/>
                      <w:sz w:val="21"/>
                      <w:szCs w:val="21"/>
                      <w:vertAlign w:val="baseline"/>
                      <w:lang w:val="en-US" w:eastAsia="zh-CN"/>
                    </w:rPr>
                  </w:pPr>
                  <w:r>
                    <w:rPr>
                      <w:rFonts w:hint="eastAsia" w:ascii="Times New Roman" w:hAnsi="Times New Roman" w:eastAsia="宋体" w:cs="Times New Roman"/>
                      <w:bCs/>
                      <w:sz w:val="21"/>
                      <w:szCs w:val="21"/>
                      <w:vertAlign w:val="baseline"/>
                      <w:lang w:val="en-US" w:eastAsia="zh-CN"/>
                    </w:rPr>
                    <w:t>J054</w:t>
                  </w:r>
                </w:p>
              </w:tc>
              <w:tc>
                <w:tcPr>
                  <w:tcW w:w="2140" w:type="dxa"/>
                  <w:vAlign w:val="center"/>
                </w:tcPr>
                <w:p>
                  <w:pPr>
                    <w:pStyle w:val="2"/>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Cs/>
                      <w:sz w:val="21"/>
                      <w:szCs w:val="21"/>
                      <w:vertAlign w:val="baseline"/>
                      <w:lang w:val="en-US" w:eastAsia="zh-CN"/>
                    </w:rPr>
                  </w:pPr>
                  <w:r>
                    <w:rPr>
                      <w:rFonts w:hint="eastAsia" w:ascii="Times New Roman" w:hAnsi="Times New Roman" w:eastAsia="宋体" w:cs="Times New Roman"/>
                      <w:bCs/>
                      <w:sz w:val="21"/>
                      <w:szCs w:val="21"/>
                      <w:vertAlign w:val="baseline"/>
                      <w:lang w:val="en-US" w:eastAsia="zh-CN"/>
                    </w:rPr>
                    <w:t>2023.8.23</w:t>
                  </w:r>
                </w:p>
              </w:tc>
            </w:tr>
          </w:tbl>
          <w:p>
            <w:pPr>
              <w:pStyle w:val="2"/>
              <w:keepNext w:val="0"/>
              <w:keepLines w:val="0"/>
              <w:pageBreakBefore w:val="0"/>
              <w:kinsoku/>
              <w:wordWrap/>
              <w:overflowPunct/>
              <w:topLinePunct w:val="0"/>
              <w:autoSpaceDE/>
              <w:autoSpaceDN/>
              <w:bidi w:val="0"/>
              <w:spacing w:line="360" w:lineRule="auto"/>
              <w:textAlignment w:val="auto"/>
              <w:rPr>
                <w:rFonts w:hint="eastAsia" w:eastAsia="宋体"/>
                <w:vertAlign w:val="baseline"/>
                <w:lang w:val="en-US" w:eastAsia="zh-CN"/>
              </w:rPr>
            </w:pPr>
          </w:p>
        </w:tc>
      </w:tr>
    </w:tbl>
    <w:p>
      <w:pPr>
        <w:pStyle w:val="2"/>
        <w:rPr>
          <w:rFonts w:hint="default"/>
          <w:lang w:val="en-US" w:eastAsia="zh-CN"/>
        </w:rPr>
        <w:sectPr>
          <w:pgSz w:w="12240" w:h="15840"/>
          <w:pgMar w:top="1440" w:right="1800" w:bottom="1440" w:left="1800" w:header="720" w:footer="720" w:gutter="0"/>
          <w:lnNumType w:countBy="0" w:distance="360"/>
          <w:cols w:space="720" w:num="1"/>
          <w:docGrid w:type="lines" w:linePitch="312" w:charSpace="0"/>
        </w:sectPr>
      </w:pPr>
    </w:p>
    <w:p>
      <w:pPr>
        <w:jc w:val="left"/>
        <w:rPr>
          <w:rFonts w:hint="eastAsia" w:ascii="宋体" w:hAnsi="宋体" w:eastAsia="宋体" w:cs="宋体"/>
          <w:b/>
          <w:sz w:val="28"/>
          <w:szCs w:val="28"/>
        </w:rPr>
      </w:pPr>
      <w:r>
        <w:rPr>
          <w:rFonts w:hint="eastAsia" w:ascii="宋体" w:hAnsi="宋体" w:eastAsia="宋体" w:cs="宋体"/>
          <w:b/>
          <w:sz w:val="28"/>
          <w:szCs w:val="28"/>
        </w:rPr>
        <w:t>表六</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6" w:type="dxa"/>
          </w:tcPr>
          <w:p>
            <w:pPr>
              <w:keepNext w:val="0"/>
              <w:keepLines w:val="0"/>
              <w:pageBreakBefore w:val="0"/>
              <w:widowControl/>
              <w:kinsoku/>
              <w:wordWrap/>
              <w:overflowPunct/>
              <w:topLinePunct w:val="0"/>
              <w:autoSpaceDE/>
              <w:autoSpaceDN/>
              <w:bidi w:val="0"/>
              <w:adjustRightInd/>
              <w:snapToGrid/>
              <w:spacing w:after="0" w:line="360" w:lineRule="auto"/>
              <w:jc w:val="left"/>
              <w:textAlignment w:val="auto"/>
              <w:rPr>
                <w:rFonts w:hint="eastAsia" w:ascii="宋体" w:hAnsi="宋体" w:eastAsia="宋体" w:cs="宋体"/>
                <w:b/>
                <w:sz w:val="24"/>
                <w:szCs w:val="24"/>
              </w:rPr>
            </w:pPr>
            <w:r>
              <w:rPr>
                <w:rFonts w:hint="eastAsia" w:ascii="宋体" w:hAnsi="宋体" w:eastAsia="宋体" w:cs="宋体"/>
                <w:b/>
                <w:sz w:val="24"/>
                <w:szCs w:val="24"/>
              </w:rPr>
              <w:t>验收监测内容</w:t>
            </w:r>
          </w:p>
          <w:p>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ascii="宋体" w:hAnsi="宋体" w:eastAsia="宋体" w:cs="Times New Roman"/>
                <w:kern w:val="2"/>
                <w:sz w:val="24"/>
                <w:szCs w:val="24"/>
                <w:lang w:val="en-US" w:eastAsia="zh-CN" w:bidi="ar-SA"/>
              </w:rPr>
            </w:pPr>
            <w:r>
              <w:rPr>
                <w:rFonts w:ascii="宋体" w:hAnsi="宋体" w:eastAsia="宋体" w:cs="Times New Roman"/>
                <w:kern w:val="2"/>
                <w:sz w:val="24"/>
                <w:szCs w:val="24"/>
                <w:lang w:val="en-US" w:eastAsia="zh-CN" w:bidi="ar-SA"/>
              </w:rPr>
              <w:t>根据《建设项目环境保护管理条例》（国务院令</w:t>
            </w:r>
            <w:r>
              <w:rPr>
                <w:rFonts w:hint="default" w:ascii="Times New Roman" w:hAnsi="Times New Roman" w:eastAsia="宋体" w:cs="Times New Roman"/>
                <w:kern w:val="2"/>
                <w:sz w:val="24"/>
                <w:szCs w:val="24"/>
                <w:lang w:val="en-US" w:eastAsia="zh-CN" w:bidi="ar-SA"/>
              </w:rPr>
              <w:t>[2017]</w:t>
            </w:r>
            <w:r>
              <w:rPr>
                <w:rFonts w:ascii="宋体" w:hAnsi="宋体" w:eastAsia="宋体" w:cs="Times New Roman"/>
                <w:kern w:val="2"/>
                <w:sz w:val="24"/>
                <w:szCs w:val="24"/>
                <w:lang w:val="en-US" w:eastAsia="zh-CN" w:bidi="ar-SA"/>
              </w:rPr>
              <w:t>第</w:t>
            </w:r>
            <w:r>
              <w:rPr>
                <w:rFonts w:hint="default" w:ascii="Times New Roman" w:hAnsi="Times New Roman" w:eastAsia="宋体" w:cs="Times New Roman"/>
                <w:kern w:val="2"/>
                <w:sz w:val="24"/>
                <w:szCs w:val="24"/>
                <w:lang w:val="en-US" w:eastAsia="zh-CN" w:bidi="ar-SA"/>
              </w:rPr>
              <w:t>682</w:t>
            </w:r>
            <w:r>
              <w:rPr>
                <w:rFonts w:ascii="宋体" w:hAnsi="宋体" w:eastAsia="宋体" w:cs="Times New Roman"/>
                <w:kern w:val="2"/>
                <w:sz w:val="24"/>
                <w:szCs w:val="24"/>
                <w:lang w:val="en-US" w:eastAsia="zh-CN" w:bidi="ar-SA"/>
              </w:rPr>
              <w:t>号）、《建设项目竣工环境保护验收暂行办法》（国环规环评</w:t>
            </w:r>
            <w:r>
              <w:rPr>
                <w:rFonts w:hint="default" w:ascii="Times New Roman" w:hAnsi="Times New Roman" w:eastAsia="宋体" w:cs="Times New Roman"/>
                <w:kern w:val="2"/>
                <w:sz w:val="24"/>
                <w:szCs w:val="24"/>
                <w:lang w:val="en-US" w:eastAsia="zh-CN" w:bidi="ar-SA"/>
              </w:rPr>
              <w:t>[2017]4</w:t>
            </w:r>
            <w:r>
              <w:rPr>
                <w:rFonts w:ascii="宋体" w:hAnsi="宋体" w:eastAsia="宋体" w:cs="Times New Roman"/>
                <w:kern w:val="2"/>
                <w:sz w:val="24"/>
                <w:szCs w:val="24"/>
                <w:lang w:val="en-US" w:eastAsia="zh-CN" w:bidi="ar-SA"/>
              </w:rPr>
              <w:t>号）的要求，建设单位应依据环评文件、环评批文中提出的环保要求，在设计、施工、运行中严格执行环境保护措施“三同时”制度，在此基础上，在具备项目竣工验收条件后，建设单位应当按照国务院环境保护行政主管部门规定的标准和程序，对配套建设的环境保护设施进行企业</w:t>
            </w:r>
            <w:r>
              <w:rPr>
                <w:rFonts w:hint="eastAsia" w:ascii="宋体" w:hAnsi="宋体" w:eastAsia="宋体" w:cs="Times New Roman"/>
                <w:kern w:val="2"/>
                <w:sz w:val="24"/>
                <w:szCs w:val="24"/>
                <w:lang w:val="en-US" w:eastAsia="zh-CN" w:bidi="ar-SA"/>
              </w:rPr>
              <w:t>环保</w:t>
            </w:r>
            <w:r>
              <w:rPr>
                <w:rFonts w:ascii="宋体" w:hAnsi="宋体" w:eastAsia="宋体" w:cs="Times New Roman"/>
                <w:kern w:val="2"/>
                <w:sz w:val="24"/>
                <w:szCs w:val="24"/>
                <w:lang w:val="en-US" w:eastAsia="zh-CN" w:bidi="ar-SA"/>
              </w:rPr>
              <w:t>验收，编制验收报告。项目配套建设的环境保护设施经验收合格，方可正式投入生产或者使用；未经验收或者验收不合格的，不得投入生产或者使用。</w:t>
            </w:r>
          </w:p>
          <w:p>
            <w:pPr>
              <w:keepNext w:val="0"/>
              <w:keepLines w:val="0"/>
              <w:pageBreakBefore w:val="0"/>
              <w:widowControl w:val="0"/>
              <w:numPr>
                <w:ilvl w:val="0"/>
                <w:numId w:val="0"/>
              </w:numPr>
              <w:kinsoku/>
              <w:wordWrap/>
              <w:overflowPunct/>
              <w:topLinePunct w:val="0"/>
              <w:bidi w:val="0"/>
              <w:adjustRightInd/>
              <w:snapToGrid/>
              <w:spacing w:after="0" w:line="360" w:lineRule="auto"/>
              <w:jc w:val="both"/>
              <w:textAlignment w:val="auto"/>
              <w:rPr>
                <w:rFonts w:hint="default" w:ascii="Times New Roman" w:hAnsi="Times New Roman" w:cs="Times New Roman" w:eastAsiaTheme="minorEastAsia"/>
                <w:b/>
                <w:kern w:val="2"/>
                <w:sz w:val="24"/>
                <w:szCs w:val="24"/>
                <w:lang w:eastAsia="zh-CN"/>
              </w:rPr>
            </w:pPr>
            <w:r>
              <w:rPr>
                <w:rFonts w:hint="default" w:ascii="Times New Roman" w:hAnsi="Times New Roman" w:cs="Times New Roman" w:eastAsiaTheme="minorEastAsia"/>
                <w:b/>
                <w:kern w:val="2"/>
                <w:sz w:val="24"/>
                <w:szCs w:val="24"/>
              </w:rPr>
              <w:t>噪声</w:t>
            </w:r>
            <w:r>
              <w:rPr>
                <w:rFonts w:hint="default" w:ascii="Times New Roman" w:hAnsi="Times New Roman" w:cs="Times New Roman" w:eastAsiaTheme="minorEastAsia"/>
                <w:b/>
                <w:kern w:val="2"/>
                <w:sz w:val="24"/>
                <w:szCs w:val="24"/>
                <w:lang w:eastAsia="zh-CN"/>
              </w:rPr>
              <w:t>监测</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after="0" w:line="360" w:lineRule="auto"/>
              <w:ind w:firstLine="0" w:firstLineChars="0"/>
              <w:jc w:val="center"/>
              <w:textAlignment w:val="auto"/>
              <w:rPr>
                <w:rFonts w:hint="default" w:ascii="Times New Roman" w:hAnsi="Times New Roman" w:cs="Times New Roman" w:eastAsiaTheme="minorEastAsia"/>
                <w:b/>
                <w:color w:val="000000"/>
                <w:kern w:val="2"/>
                <w:sz w:val="24"/>
                <w:szCs w:val="24"/>
                <w:lang w:val="en-US" w:eastAsia="zh-CN" w:bidi="ar-SA"/>
              </w:rPr>
            </w:pPr>
            <w:r>
              <w:rPr>
                <w:rFonts w:hint="default" w:ascii="Times New Roman" w:hAnsi="Times New Roman" w:cs="Times New Roman" w:eastAsiaTheme="minorEastAsia"/>
                <w:b/>
                <w:color w:val="000000"/>
                <w:kern w:val="2"/>
                <w:sz w:val="24"/>
                <w:szCs w:val="24"/>
                <w:lang w:val="en-US" w:eastAsia="zh-CN" w:bidi="ar-SA"/>
              </w:rPr>
              <w:t>表</w:t>
            </w:r>
            <w:r>
              <w:rPr>
                <w:rFonts w:hint="eastAsia" w:ascii="Times New Roman" w:hAnsi="Times New Roman" w:cs="Times New Roman" w:eastAsiaTheme="minorEastAsia"/>
                <w:b/>
                <w:color w:val="000000"/>
                <w:kern w:val="2"/>
                <w:sz w:val="24"/>
                <w:szCs w:val="24"/>
                <w:lang w:val="en-US" w:eastAsia="zh-CN" w:bidi="ar-SA"/>
              </w:rPr>
              <w:t>6.1</w:t>
            </w:r>
            <w:r>
              <w:rPr>
                <w:rFonts w:hint="default" w:ascii="Times New Roman" w:hAnsi="Times New Roman" w:cs="Times New Roman" w:eastAsiaTheme="minorEastAsia"/>
                <w:b/>
                <w:color w:val="000000"/>
                <w:kern w:val="2"/>
                <w:sz w:val="24"/>
                <w:szCs w:val="24"/>
                <w:lang w:val="en-US" w:eastAsia="zh-CN" w:bidi="ar-SA"/>
              </w:rPr>
              <w:t xml:space="preserve"> 噪声监测内容</w:t>
            </w:r>
          </w:p>
          <w:tbl>
            <w:tblPr>
              <w:tblStyle w:val="15"/>
              <w:tblW w:w="8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52"/>
              <w:gridCol w:w="60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 w:hRule="atLeast"/>
                <w:jc w:val="center"/>
              </w:trPr>
              <w:tc>
                <w:tcPr>
                  <w:tcW w:w="1477" w:type="pct"/>
                  <w:noWrap w:val="0"/>
                  <w:vAlign w:val="center"/>
                </w:tcPr>
                <w:p>
                  <w:pPr>
                    <w:widowControl w:val="0"/>
                    <w:adjustRightInd/>
                    <w:snapToGrid/>
                    <w:spacing w:after="0" w:line="240" w:lineRule="auto"/>
                    <w:jc w:val="center"/>
                    <w:rPr>
                      <w:rFonts w:hint="eastAsia" w:ascii="Times New Roman" w:hAnsi="Times New Roman" w:eastAsia="宋体" w:cs="Times New Roman"/>
                      <w:kern w:val="2"/>
                      <w:sz w:val="21"/>
                      <w:szCs w:val="21"/>
                      <w:lang w:eastAsia="zh-CN"/>
                    </w:rPr>
                  </w:pPr>
                  <w:r>
                    <w:rPr>
                      <w:rFonts w:hint="eastAsia" w:ascii="Times New Roman" w:hAnsi="Times New Roman" w:eastAsia="宋体" w:cs="Times New Roman"/>
                      <w:kern w:val="2"/>
                      <w:sz w:val="21"/>
                      <w:szCs w:val="21"/>
                      <w:lang w:eastAsia="zh-CN"/>
                    </w:rPr>
                    <w:t>监测项目</w:t>
                  </w:r>
                </w:p>
              </w:tc>
              <w:tc>
                <w:tcPr>
                  <w:tcW w:w="3522" w:type="pct"/>
                  <w:noWrap w:val="0"/>
                  <w:vAlign w:val="center"/>
                </w:tcPr>
                <w:p>
                  <w:pPr>
                    <w:widowControl w:val="0"/>
                    <w:adjustRightInd/>
                    <w:snapToGrid/>
                    <w:spacing w:after="0" w:line="240" w:lineRule="auto"/>
                    <w:jc w:val="center"/>
                    <w:rPr>
                      <w:rFonts w:hint="eastAsia" w:ascii="Times New Roman" w:hAnsi="Times New Roman" w:eastAsia="宋体" w:cs="Times New Roman"/>
                      <w:kern w:val="2"/>
                      <w:sz w:val="21"/>
                      <w:szCs w:val="21"/>
                      <w:lang w:eastAsia="zh-CN"/>
                    </w:rPr>
                  </w:pPr>
                  <w:r>
                    <w:rPr>
                      <w:rFonts w:hint="eastAsia" w:ascii="Times New Roman" w:hAnsi="Times New Roman" w:eastAsia="宋体" w:cs="Times New Roman"/>
                      <w:kern w:val="2"/>
                      <w:sz w:val="21"/>
                      <w:szCs w:val="21"/>
                      <w:lang w:eastAsia="zh-CN"/>
                    </w:rPr>
                    <w:t>Leq(A)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 w:hRule="atLeast"/>
                <w:jc w:val="center"/>
              </w:trPr>
              <w:tc>
                <w:tcPr>
                  <w:tcW w:w="1477" w:type="pct"/>
                  <w:noWrap w:val="0"/>
                  <w:vAlign w:val="center"/>
                </w:tcPr>
                <w:p>
                  <w:pPr>
                    <w:widowControl w:val="0"/>
                    <w:adjustRightInd/>
                    <w:snapToGrid/>
                    <w:spacing w:after="0" w:line="240" w:lineRule="auto"/>
                    <w:jc w:val="center"/>
                    <w:rPr>
                      <w:rFonts w:hint="eastAsia" w:ascii="Times New Roman" w:hAnsi="Times New Roman" w:eastAsia="宋体" w:cs="Times New Roman"/>
                      <w:kern w:val="2"/>
                      <w:sz w:val="21"/>
                      <w:szCs w:val="21"/>
                      <w:lang w:eastAsia="zh-CN"/>
                    </w:rPr>
                  </w:pPr>
                  <w:r>
                    <w:rPr>
                      <w:rFonts w:hint="eastAsia" w:ascii="Times New Roman" w:hAnsi="Times New Roman" w:eastAsia="宋体" w:cs="Times New Roman"/>
                      <w:kern w:val="2"/>
                      <w:sz w:val="21"/>
                      <w:szCs w:val="21"/>
                      <w:lang w:eastAsia="zh-CN"/>
                    </w:rPr>
                    <w:t>监测点位</w:t>
                  </w:r>
                </w:p>
              </w:tc>
              <w:tc>
                <w:tcPr>
                  <w:tcW w:w="3522" w:type="pct"/>
                  <w:noWrap w:val="0"/>
                  <w:vAlign w:val="center"/>
                </w:tcPr>
                <w:p>
                  <w:pPr>
                    <w:widowControl w:val="0"/>
                    <w:adjustRightInd/>
                    <w:snapToGrid/>
                    <w:spacing w:after="0" w:line="240" w:lineRule="auto"/>
                    <w:jc w:val="center"/>
                    <w:rPr>
                      <w:rFonts w:hint="eastAsia" w:ascii="Times New Roman" w:hAnsi="Times New Roman" w:eastAsia="宋体" w:cs="Times New Roman"/>
                      <w:kern w:val="2"/>
                      <w:sz w:val="21"/>
                      <w:szCs w:val="21"/>
                      <w:lang w:eastAsia="zh-CN"/>
                    </w:rPr>
                  </w:pPr>
                  <w:r>
                    <w:rPr>
                      <w:rFonts w:hint="eastAsia" w:ascii="Times New Roman" w:hAnsi="Times New Roman" w:eastAsia="宋体" w:cs="Times New Roman"/>
                      <w:kern w:val="2"/>
                      <w:sz w:val="21"/>
                      <w:szCs w:val="21"/>
                      <w:lang w:eastAsia="zh-CN"/>
                    </w:rPr>
                    <w:t>项目四至厂界外1m（</w:t>
                  </w:r>
                  <w:r>
                    <w:rPr>
                      <w:rFonts w:hint="eastAsia" w:ascii="Times New Roman" w:hAnsi="Times New Roman" w:eastAsia="宋体" w:cs="Times New Roman"/>
                      <w:kern w:val="2"/>
                      <w:sz w:val="21"/>
                      <w:szCs w:val="21"/>
                      <w:lang w:val="en-US" w:eastAsia="zh-CN"/>
                    </w:rPr>
                    <w:t>N1、N2、N3、N4</w:t>
                  </w:r>
                  <w:r>
                    <w:rPr>
                      <w:rFonts w:hint="eastAsia" w:ascii="Times New Roman" w:hAnsi="Times New Roman" w:eastAsia="宋体" w:cs="Times New Roman"/>
                      <w:kern w:val="2"/>
                      <w:sz w:val="21"/>
                      <w:szCs w:val="21"/>
                      <w:lang w:eastAsia="zh-CN"/>
                    </w:rPr>
                    <w:t>），共</w:t>
                  </w:r>
                  <w:r>
                    <w:rPr>
                      <w:rFonts w:hint="eastAsia" w:ascii="Times New Roman" w:hAnsi="Times New Roman" w:eastAsia="宋体" w:cs="Times New Roman"/>
                      <w:kern w:val="2"/>
                      <w:sz w:val="21"/>
                      <w:szCs w:val="21"/>
                      <w:lang w:val="en-US" w:eastAsia="zh-CN"/>
                    </w:rPr>
                    <w:t>4</w:t>
                  </w:r>
                  <w:r>
                    <w:rPr>
                      <w:rFonts w:hint="eastAsia" w:ascii="Times New Roman" w:hAnsi="Times New Roman" w:eastAsia="宋体" w:cs="Times New Roman"/>
                      <w:kern w:val="2"/>
                      <w:sz w:val="21"/>
                      <w:szCs w:val="21"/>
                      <w:lang w:eastAsia="zh-CN"/>
                    </w:rPr>
                    <w:t>个点位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 w:hRule="atLeast"/>
                <w:jc w:val="center"/>
              </w:trPr>
              <w:tc>
                <w:tcPr>
                  <w:tcW w:w="1477" w:type="pct"/>
                  <w:noWrap w:val="0"/>
                  <w:vAlign w:val="center"/>
                </w:tcPr>
                <w:p>
                  <w:pPr>
                    <w:widowControl w:val="0"/>
                    <w:adjustRightInd/>
                    <w:snapToGrid/>
                    <w:spacing w:after="0" w:line="240" w:lineRule="auto"/>
                    <w:jc w:val="center"/>
                    <w:rPr>
                      <w:rFonts w:hint="eastAsia" w:ascii="Times New Roman" w:hAnsi="Times New Roman" w:eastAsia="宋体" w:cs="Times New Roman"/>
                      <w:kern w:val="2"/>
                      <w:sz w:val="21"/>
                      <w:szCs w:val="21"/>
                      <w:lang w:eastAsia="zh-CN"/>
                    </w:rPr>
                  </w:pPr>
                  <w:r>
                    <w:rPr>
                      <w:rFonts w:hint="eastAsia" w:ascii="Times New Roman" w:hAnsi="Times New Roman" w:eastAsia="宋体" w:cs="Times New Roman"/>
                      <w:kern w:val="2"/>
                      <w:sz w:val="21"/>
                      <w:szCs w:val="21"/>
                      <w:lang w:eastAsia="zh-CN"/>
                    </w:rPr>
                    <w:t>监测频次</w:t>
                  </w:r>
                </w:p>
              </w:tc>
              <w:tc>
                <w:tcPr>
                  <w:tcW w:w="3522" w:type="pct"/>
                  <w:noWrap w:val="0"/>
                  <w:vAlign w:val="center"/>
                </w:tcPr>
                <w:p>
                  <w:pPr>
                    <w:widowControl w:val="0"/>
                    <w:adjustRightInd/>
                    <w:snapToGrid/>
                    <w:spacing w:after="0" w:line="240" w:lineRule="auto"/>
                    <w:jc w:val="center"/>
                    <w:rPr>
                      <w:rFonts w:hint="eastAsia" w:ascii="Times New Roman" w:hAnsi="Times New Roman" w:eastAsia="宋体" w:cs="Times New Roman"/>
                      <w:kern w:val="2"/>
                      <w:sz w:val="21"/>
                      <w:szCs w:val="21"/>
                      <w:lang w:eastAsia="zh-CN"/>
                    </w:rPr>
                  </w:pPr>
                  <w:r>
                    <w:rPr>
                      <w:rFonts w:hint="eastAsia" w:ascii="Times New Roman" w:hAnsi="Times New Roman" w:eastAsia="宋体" w:cs="Times New Roman"/>
                      <w:kern w:val="2"/>
                      <w:sz w:val="21"/>
                      <w:szCs w:val="21"/>
                      <w:lang w:eastAsia="zh-CN"/>
                    </w:rPr>
                    <w:t>连续监测2天，每天昼夜间各监测1次，共</w:t>
                  </w:r>
                  <w:r>
                    <w:rPr>
                      <w:rFonts w:hint="eastAsia" w:ascii="Times New Roman" w:hAnsi="Times New Roman" w:eastAsia="宋体" w:cs="Times New Roman"/>
                      <w:kern w:val="2"/>
                      <w:sz w:val="21"/>
                      <w:szCs w:val="21"/>
                      <w:lang w:val="en-US" w:eastAsia="zh-CN"/>
                    </w:rPr>
                    <w:t>4</w:t>
                  </w:r>
                  <w:r>
                    <w:rPr>
                      <w:rFonts w:hint="eastAsia" w:ascii="Times New Roman" w:hAnsi="Times New Roman" w:eastAsia="宋体" w:cs="Times New Roman"/>
                      <w:kern w:val="2"/>
                      <w:sz w:val="21"/>
                      <w:szCs w:val="21"/>
                      <w:lang w:eastAsia="zh-CN"/>
                    </w:rPr>
                    <w:t>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477" w:type="pct"/>
                  <w:noWrap w:val="0"/>
                  <w:vAlign w:val="center"/>
                </w:tcPr>
                <w:p>
                  <w:pPr>
                    <w:widowControl w:val="0"/>
                    <w:adjustRightInd/>
                    <w:snapToGrid/>
                    <w:spacing w:after="0" w:line="240" w:lineRule="auto"/>
                    <w:jc w:val="center"/>
                    <w:rPr>
                      <w:rFonts w:hint="eastAsia" w:ascii="Times New Roman" w:hAnsi="Times New Roman" w:eastAsia="宋体" w:cs="Times New Roman"/>
                      <w:kern w:val="2"/>
                      <w:sz w:val="21"/>
                      <w:szCs w:val="21"/>
                      <w:lang w:eastAsia="zh-CN"/>
                    </w:rPr>
                  </w:pPr>
                  <w:r>
                    <w:rPr>
                      <w:rFonts w:hint="eastAsia" w:ascii="Times New Roman" w:hAnsi="Times New Roman" w:eastAsia="宋体" w:cs="Times New Roman"/>
                      <w:kern w:val="2"/>
                      <w:sz w:val="21"/>
                      <w:szCs w:val="21"/>
                      <w:lang w:eastAsia="zh-CN"/>
                    </w:rPr>
                    <w:t>排放标准</w:t>
                  </w:r>
                </w:p>
              </w:tc>
              <w:tc>
                <w:tcPr>
                  <w:tcW w:w="3522" w:type="pct"/>
                  <w:noWrap w:val="0"/>
                  <w:vAlign w:val="center"/>
                </w:tcPr>
                <w:p>
                  <w:pPr>
                    <w:widowControl w:val="0"/>
                    <w:adjustRightInd/>
                    <w:snapToGrid/>
                    <w:spacing w:after="0" w:line="240" w:lineRule="auto"/>
                    <w:jc w:val="center"/>
                    <w:rPr>
                      <w:rFonts w:hint="eastAsia" w:ascii="Times New Roman" w:hAnsi="Times New Roman" w:eastAsia="宋体" w:cs="Times New Roman"/>
                      <w:kern w:val="2"/>
                      <w:sz w:val="21"/>
                      <w:szCs w:val="21"/>
                      <w:lang w:eastAsia="zh-CN"/>
                    </w:rPr>
                  </w:pPr>
                  <w:r>
                    <w:rPr>
                      <w:rFonts w:hint="eastAsia" w:ascii="Times New Roman" w:hAnsi="Times New Roman" w:eastAsia="宋体" w:cs="Times New Roman"/>
                      <w:kern w:val="2"/>
                      <w:sz w:val="21"/>
                      <w:szCs w:val="21"/>
                      <w:lang w:eastAsia="zh-CN"/>
                    </w:rPr>
                    <w:t>执行《工业企业厂界环境噪声排放标准》（GB12348-2008）中</w:t>
                  </w:r>
                  <w:r>
                    <w:rPr>
                      <w:rFonts w:hint="eastAsia" w:ascii="Times New Roman" w:hAnsi="Times New Roman" w:eastAsia="宋体" w:cs="Times New Roman"/>
                      <w:kern w:val="2"/>
                      <w:sz w:val="21"/>
                      <w:szCs w:val="21"/>
                      <w:lang w:val="en-US" w:eastAsia="zh-CN"/>
                    </w:rPr>
                    <w:t>2</w:t>
                  </w:r>
                  <w:r>
                    <w:rPr>
                      <w:rFonts w:hint="eastAsia" w:ascii="Times New Roman" w:hAnsi="Times New Roman" w:eastAsia="宋体" w:cs="Times New Roman"/>
                      <w:kern w:val="2"/>
                      <w:sz w:val="21"/>
                      <w:szCs w:val="21"/>
                      <w:lang w:eastAsia="zh-CN"/>
                    </w:rPr>
                    <w:t>类区标准</w:t>
                  </w:r>
                </w:p>
              </w:tc>
            </w:tr>
          </w:tbl>
          <w:p>
            <w:pPr>
              <w:keepNext w:val="0"/>
              <w:keepLines w:val="0"/>
              <w:pageBreakBefore w:val="0"/>
              <w:widowControl w:val="0"/>
              <w:kinsoku/>
              <w:wordWrap/>
              <w:overflowPunct/>
              <w:topLinePunct w:val="0"/>
              <w:autoSpaceDE/>
              <w:autoSpaceDN/>
              <w:bidi w:val="0"/>
              <w:adjustRightInd/>
              <w:snapToGrid/>
              <w:spacing w:after="0" w:line="360" w:lineRule="auto"/>
              <w:ind w:left="0" w:firstLine="440" w:firstLineChars="200"/>
              <w:jc w:val="both"/>
              <w:textAlignment w:val="auto"/>
              <w:rPr>
                <w:rFonts w:hint="eastAsia" w:ascii="宋体" w:hAnsi="宋体" w:eastAsia="宋体" w:cs="宋体"/>
                <w:kern w:val="2"/>
                <w:sz w:val="24"/>
                <w:szCs w:val="24"/>
                <w:lang w:val="en-US" w:eastAsia="zh-CN" w:bidi="ar-SA"/>
              </w:rPr>
            </w:pPr>
            <w:r>
              <w:drawing>
                <wp:inline distT="0" distB="0" distL="114300" distR="114300">
                  <wp:extent cx="5111115" cy="3335655"/>
                  <wp:effectExtent l="0" t="0" r="13335" b="17145"/>
                  <wp:docPr id="330" name="图片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 name="图片 330"/>
                          <pic:cNvPicPr>
                            <a:picLocks noChangeAspect="1"/>
                          </pic:cNvPicPr>
                        </pic:nvPicPr>
                        <pic:blipFill>
                          <a:blip r:embed="rId13"/>
                          <a:stretch>
                            <a:fillRect/>
                          </a:stretch>
                        </pic:blipFill>
                        <pic:spPr>
                          <a:xfrm>
                            <a:off x="0" y="0"/>
                            <a:ext cx="5111115" cy="3335655"/>
                          </a:xfrm>
                          <a:prstGeom prst="rect">
                            <a:avLst/>
                          </a:prstGeom>
                          <a:noFill/>
                          <a:ln>
                            <a:noFill/>
                          </a:ln>
                        </pic:spPr>
                      </pic:pic>
                    </a:graphicData>
                  </a:graphic>
                </wp:inline>
              </w:drawing>
            </w:r>
          </w:p>
          <w:p>
            <w:pPr>
              <w:widowControl w:val="0"/>
              <w:spacing w:after="120" w:line="360" w:lineRule="auto"/>
              <w:jc w:val="center"/>
              <w:rPr>
                <w:rFonts w:hint="default"/>
                <w:vertAlign w:val="baseline"/>
                <w:lang w:val="en-US" w:eastAsia="zh-CN"/>
              </w:rPr>
            </w:pPr>
            <w:r>
              <w:rPr>
                <w:rFonts w:hint="default" w:ascii="Times New Roman" w:hAnsi="Times New Roman" w:eastAsia="宋体" w:cs="Times New Roman"/>
                <w:kern w:val="2"/>
                <w:sz w:val="24"/>
                <w:szCs w:val="24"/>
                <w:lang w:val="en-US" w:eastAsia="zh-CN" w:bidi="ar-SA"/>
              </w:rPr>
              <w:t>图1 项目监测点位示意图</w:t>
            </w:r>
          </w:p>
        </w:tc>
      </w:tr>
    </w:tbl>
    <w:p>
      <w:pPr>
        <w:pStyle w:val="17"/>
        <w:rPr>
          <w:rFonts w:hint="default"/>
          <w:lang w:val="en-US" w:eastAsia="zh-CN"/>
        </w:rPr>
        <w:sectPr>
          <w:pgSz w:w="12240" w:h="15840"/>
          <w:pgMar w:top="1440" w:right="1800" w:bottom="1440" w:left="1800" w:header="720" w:footer="720" w:gutter="0"/>
          <w:lnNumType w:countBy="0" w:distance="360"/>
          <w:cols w:space="720" w:num="1"/>
          <w:docGrid w:type="lines" w:linePitch="312" w:charSpace="0"/>
        </w:sectPr>
      </w:pPr>
    </w:p>
    <w:p>
      <w:pPr>
        <w:rPr>
          <w:rFonts w:hint="default"/>
          <w:vertAlign w:val="baseline"/>
          <w:lang w:val="en-US" w:eastAsia="zh-CN"/>
        </w:rPr>
      </w:pPr>
      <w:r>
        <w:rPr>
          <w:rFonts w:hint="eastAsia" w:ascii="宋体" w:hAnsi="宋体" w:eastAsia="宋体" w:cs="宋体"/>
          <w:b/>
          <w:bCs/>
          <w:sz w:val="28"/>
          <w:szCs w:val="28"/>
          <w:lang w:val="en-US" w:eastAsia="zh-CN"/>
        </w:rPr>
        <w:t>表七</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6" w:type="dxa"/>
          </w:tcPr>
          <w:p>
            <w:pPr>
              <w:keepNext w:val="0"/>
              <w:keepLines w:val="0"/>
              <w:pageBreakBefore w:val="0"/>
              <w:widowControl/>
              <w:kinsoku/>
              <w:wordWrap/>
              <w:overflowPunct/>
              <w:topLinePunct w:val="0"/>
              <w:autoSpaceDE/>
              <w:autoSpaceDN/>
              <w:bidi w:val="0"/>
              <w:spacing w:after="0" w:line="360" w:lineRule="auto"/>
              <w:jc w:val="left"/>
              <w:textAlignment w:val="auto"/>
              <w:rPr>
                <w:rFonts w:hint="eastAsia" w:ascii="宋体" w:hAnsi="宋体" w:eastAsia="宋体" w:cs="宋体"/>
                <w:b/>
                <w:sz w:val="28"/>
                <w:szCs w:val="28"/>
                <w:lang w:val="en-US" w:eastAsia="zh-CN"/>
              </w:rPr>
            </w:pPr>
            <w:r>
              <w:rPr>
                <w:rFonts w:hint="eastAsia" w:ascii="宋体" w:hAnsi="宋体" w:eastAsia="宋体" w:cs="宋体"/>
                <w:b/>
                <w:sz w:val="28"/>
                <w:szCs w:val="28"/>
              </w:rPr>
              <w:t>验收监测期间生产工况记录</w:t>
            </w:r>
            <w:r>
              <w:rPr>
                <w:rFonts w:hint="eastAsia" w:ascii="宋体" w:hAnsi="宋体" w:eastAsia="宋体" w:cs="宋体"/>
                <w:b/>
                <w:sz w:val="28"/>
                <w:szCs w:val="28"/>
                <w:lang w:val="en-US" w:eastAsia="zh-CN"/>
              </w:rPr>
              <w:t>:</w:t>
            </w:r>
          </w:p>
          <w:p>
            <w:pPr>
              <w:pStyle w:val="30"/>
              <w:keepNext w:val="0"/>
              <w:keepLines w:val="0"/>
              <w:pageBreakBefore w:val="0"/>
              <w:widowControl/>
              <w:kinsoku/>
              <w:wordWrap/>
              <w:overflowPunct/>
              <w:topLinePunct w:val="0"/>
              <w:autoSpaceDE/>
              <w:autoSpaceDN/>
              <w:bidi w:val="0"/>
              <w:spacing w:after="0" w:line="360" w:lineRule="auto"/>
              <w:ind w:firstLine="480" w:firstLineChars="200"/>
              <w:jc w:val="left"/>
              <w:textAlignment w:val="auto"/>
              <w:outlineLvl w:val="9"/>
              <w:rPr>
                <w:rFonts w:hint="eastAsia" w:ascii="宋体" w:hAnsi="宋体" w:eastAsia="宋体" w:cs="宋体"/>
                <w:bCs/>
                <w:sz w:val="24"/>
                <w:szCs w:val="24"/>
              </w:rPr>
            </w:pPr>
            <w:bookmarkStart w:id="1" w:name="_Toc503769153"/>
            <w:bookmarkStart w:id="2" w:name="_Toc513795213"/>
            <w:bookmarkStart w:id="3" w:name="_Toc512519573"/>
            <w:bookmarkStart w:id="4" w:name="_Toc510513648"/>
            <w:bookmarkStart w:id="5" w:name="_Toc508806192"/>
            <w:r>
              <w:rPr>
                <w:rFonts w:hint="eastAsia" w:ascii="宋体" w:hAnsi="宋体" w:eastAsia="宋体" w:cs="宋体"/>
                <w:bCs/>
                <w:sz w:val="24"/>
                <w:szCs w:val="24"/>
              </w:rPr>
              <w:t>项目区在监测期间正常生产，各环保设施运行正常，通过现场勘察，项目区环保设施均在正常工作，未发现任何环保设备无故停止运行，同时，本次验收记录了验收监测两天的生产工况，验收期间企业均达到生产负荷的75%以上，本项目符合验收条件。</w:t>
            </w:r>
            <w:bookmarkEnd w:id="1"/>
            <w:bookmarkEnd w:id="2"/>
            <w:bookmarkEnd w:id="3"/>
            <w:bookmarkEnd w:id="4"/>
            <w:bookmarkEnd w:id="5"/>
            <w:bookmarkStart w:id="6" w:name="_Toc512519574"/>
            <w:bookmarkStart w:id="7" w:name="_Toc513795214"/>
            <w:bookmarkStart w:id="8" w:name="_Toc510513649"/>
          </w:p>
          <w:p>
            <w:pPr>
              <w:pStyle w:val="30"/>
              <w:keepNext w:val="0"/>
              <w:keepLines w:val="0"/>
              <w:pageBreakBefore w:val="0"/>
              <w:widowControl/>
              <w:kinsoku/>
              <w:wordWrap/>
              <w:overflowPunct/>
              <w:topLinePunct w:val="0"/>
              <w:autoSpaceDE/>
              <w:autoSpaceDN/>
              <w:bidi w:val="0"/>
              <w:adjustRightInd/>
              <w:snapToGrid/>
              <w:spacing w:after="0" w:line="360" w:lineRule="auto"/>
              <w:ind w:firstLine="482" w:firstLineChars="200"/>
              <w:jc w:val="center"/>
              <w:textAlignment w:val="auto"/>
              <w:outlineLvl w:val="9"/>
              <w:rPr>
                <w:rFonts w:hint="eastAsia" w:ascii="宋体" w:hAnsi="宋体" w:eastAsia="宋体" w:cs="宋体"/>
                <w:b/>
                <w:bCs/>
                <w:sz w:val="24"/>
              </w:rPr>
            </w:pPr>
            <w:r>
              <w:rPr>
                <w:rFonts w:hint="eastAsia" w:ascii="宋体" w:hAnsi="宋体" w:eastAsia="宋体" w:cs="宋体"/>
                <w:b/>
                <w:bCs/>
                <w:sz w:val="24"/>
              </w:rPr>
              <w:t>表</w:t>
            </w:r>
            <w:r>
              <w:rPr>
                <w:rFonts w:hint="default" w:ascii="Times New Roman" w:hAnsi="Times New Roman" w:eastAsia="宋体" w:cs="Times New Roman"/>
                <w:b/>
                <w:bCs/>
                <w:sz w:val="24"/>
              </w:rPr>
              <w:t xml:space="preserve">7.1  </w:t>
            </w:r>
            <w:r>
              <w:rPr>
                <w:rFonts w:hint="eastAsia" w:ascii="宋体" w:hAnsi="宋体" w:eastAsia="宋体" w:cs="宋体"/>
                <w:b/>
                <w:bCs/>
                <w:sz w:val="24"/>
              </w:rPr>
              <w:t>项目区生产工况表</w:t>
            </w:r>
            <w:bookmarkEnd w:id="6"/>
            <w:bookmarkEnd w:id="7"/>
            <w:bookmarkEnd w:id="8"/>
            <w:r>
              <w:commentReference w:id="9"/>
            </w:r>
          </w:p>
          <w:tbl>
            <w:tblPr>
              <w:tblStyle w:val="15"/>
              <w:tblW w:w="82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52"/>
              <w:gridCol w:w="2752"/>
              <w:gridCol w:w="27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52" w:type="dxa"/>
                  <w:tcBorders>
                    <w:tl2br w:val="single" w:color="auto" w:sz="4" w:space="0"/>
                  </w:tcBorders>
                  <w:vAlign w:val="center"/>
                </w:tcPr>
                <w:p>
                  <w:pPr>
                    <w:pStyle w:val="30"/>
                    <w:keepNext w:val="0"/>
                    <w:keepLines w:val="0"/>
                    <w:pageBreakBefore w:val="0"/>
                    <w:widowControl/>
                    <w:kinsoku/>
                    <w:wordWrap/>
                    <w:overflowPunct/>
                    <w:topLinePunct w:val="0"/>
                    <w:autoSpaceDE/>
                    <w:autoSpaceDN/>
                    <w:bidi w:val="0"/>
                    <w:adjustRightInd w:val="0"/>
                    <w:snapToGrid w:val="0"/>
                    <w:spacing w:after="0" w:line="240" w:lineRule="auto"/>
                    <w:jc w:val="both"/>
                    <w:textAlignment w:val="auto"/>
                    <w:outlineLvl w:val="9"/>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 xml:space="preserve">         日期</w:t>
                  </w:r>
                </w:p>
                <w:p>
                  <w:pPr>
                    <w:pStyle w:val="30"/>
                    <w:keepNext w:val="0"/>
                    <w:keepLines w:val="0"/>
                    <w:pageBreakBefore w:val="0"/>
                    <w:widowControl/>
                    <w:kinsoku/>
                    <w:wordWrap/>
                    <w:overflowPunct/>
                    <w:topLinePunct w:val="0"/>
                    <w:autoSpaceDE/>
                    <w:autoSpaceDN/>
                    <w:bidi w:val="0"/>
                    <w:adjustRightInd w:val="0"/>
                    <w:snapToGrid w:val="0"/>
                    <w:spacing w:after="0" w:line="240" w:lineRule="auto"/>
                    <w:jc w:val="both"/>
                    <w:textAlignment w:val="auto"/>
                    <w:outlineLvl w:val="9"/>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项目</w:t>
                  </w:r>
                </w:p>
              </w:tc>
              <w:tc>
                <w:tcPr>
                  <w:tcW w:w="2752" w:type="dxa"/>
                  <w:vAlign w:val="center"/>
                </w:tcPr>
                <w:p>
                  <w:pPr>
                    <w:pStyle w:val="30"/>
                    <w:keepNext w:val="0"/>
                    <w:keepLines w:val="0"/>
                    <w:pageBreakBefore w:val="0"/>
                    <w:widowControl/>
                    <w:kinsoku/>
                    <w:wordWrap/>
                    <w:overflowPunct/>
                    <w:topLinePunct w:val="0"/>
                    <w:autoSpaceDE/>
                    <w:autoSpaceDN/>
                    <w:bidi w:val="0"/>
                    <w:adjustRightInd w:val="0"/>
                    <w:snapToGrid w:val="0"/>
                    <w:spacing w:after="0" w:line="240" w:lineRule="auto"/>
                    <w:textAlignment w:val="auto"/>
                    <w:outlineLvl w:val="9"/>
                    <w:rPr>
                      <w:rFonts w:hint="default" w:ascii="Times New Roman" w:hAnsi="Times New Roman" w:eastAsia="宋体" w:cs="Times New Roman"/>
                      <w:b/>
                      <w:bCs/>
                      <w:sz w:val="21"/>
                      <w:szCs w:val="21"/>
                      <w:highlight w:val="none"/>
                      <w:vertAlign w:val="baseline"/>
                      <w:lang w:val="en-US" w:eastAsia="zh-CN"/>
                    </w:rPr>
                  </w:pPr>
                  <w:r>
                    <w:rPr>
                      <w:rFonts w:hint="default" w:ascii="Times New Roman" w:hAnsi="Times New Roman" w:eastAsia="宋体" w:cs="Times New Roman"/>
                      <w:b/>
                      <w:bCs/>
                      <w:sz w:val="21"/>
                      <w:szCs w:val="21"/>
                      <w:highlight w:val="none"/>
                      <w:vertAlign w:val="baseline"/>
                      <w:lang w:val="en-US" w:eastAsia="zh-CN"/>
                    </w:rPr>
                    <w:t>2023.05.31</w:t>
                  </w:r>
                </w:p>
              </w:tc>
              <w:tc>
                <w:tcPr>
                  <w:tcW w:w="2752" w:type="dxa"/>
                  <w:vAlign w:val="center"/>
                </w:tcPr>
                <w:p>
                  <w:pPr>
                    <w:pStyle w:val="30"/>
                    <w:keepNext w:val="0"/>
                    <w:keepLines w:val="0"/>
                    <w:pageBreakBefore w:val="0"/>
                    <w:widowControl/>
                    <w:kinsoku/>
                    <w:wordWrap/>
                    <w:overflowPunct/>
                    <w:topLinePunct w:val="0"/>
                    <w:autoSpaceDE/>
                    <w:autoSpaceDN/>
                    <w:bidi w:val="0"/>
                    <w:adjustRightInd w:val="0"/>
                    <w:snapToGrid w:val="0"/>
                    <w:spacing w:after="0" w:line="240" w:lineRule="auto"/>
                    <w:textAlignment w:val="auto"/>
                    <w:outlineLvl w:val="9"/>
                    <w:rPr>
                      <w:rFonts w:hint="default" w:ascii="Times New Roman" w:hAnsi="Times New Roman" w:eastAsia="宋体" w:cs="Times New Roman"/>
                      <w:b/>
                      <w:bCs/>
                      <w:sz w:val="21"/>
                      <w:szCs w:val="21"/>
                      <w:highlight w:val="none"/>
                      <w:vertAlign w:val="baseline"/>
                      <w:lang w:val="en-US" w:eastAsia="zh-CN"/>
                    </w:rPr>
                  </w:pPr>
                  <w:r>
                    <w:rPr>
                      <w:rFonts w:hint="default" w:ascii="Times New Roman" w:hAnsi="Times New Roman" w:eastAsia="宋体" w:cs="Times New Roman"/>
                      <w:b/>
                      <w:bCs/>
                      <w:sz w:val="21"/>
                      <w:szCs w:val="21"/>
                      <w:highlight w:val="none"/>
                      <w:vertAlign w:val="baseline"/>
                      <w:lang w:val="en-US" w:eastAsia="zh-CN"/>
                    </w:rPr>
                    <w:t>2023.06.1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52" w:type="dxa"/>
                  <w:vAlign w:val="center"/>
                </w:tcPr>
                <w:p>
                  <w:pPr>
                    <w:pStyle w:val="30"/>
                    <w:keepNext w:val="0"/>
                    <w:keepLines w:val="0"/>
                    <w:pageBreakBefore w:val="0"/>
                    <w:widowControl/>
                    <w:kinsoku/>
                    <w:wordWrap/>
                    <w:overflowPunct/>
                    <w:topLinePunct w:val="0"/>
                    <w:autoSpaceDE/>
                    <w:autoSpaceDN/>
                    <w:bidi w:val="0"/>
                    <w:adjustRightInd w:val="0"/>
                    <w:snapToGrid w:val="0"/>
                    <w:spacing w:after="0" w:line="240" w:lineRule="auto"/>
                    <w:textAlignment w:val="auto"/>
                    <w:outlineLvl w:val="9"/>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实际生产能力</w:t>
                  </w:r>
                </w:p>
              </w:tc>
              <w:tc>
                <w:tcPr>
                  <w:tcW w:w="5504" w:type="dxa"/>
                  <w:gridSpan w:val="2"/>
                  <w:vAlign w:val="center"/>
                </w:tcPr>
                <w:p>
                  <w:pPr>
                    <w:pStyle w:val="30"/>
                    <w:keepNext w:val="0"/>
                    <w:keepLines w:val="0"/>
                    <w:pageBreakBefore w:val="0"/>
                    <w:widowControl/>
                    <w:kinsoku/>
                    <w:wordWrap/>
                    <w:overflowPunct/>
                    <w:topLinePunct w:val="0"/>
                    <w:autoSpaceDE/>
                    <w:autoSpaceDN/>
                    <w:bidi w:val="0"/>
                    <w:adjustRightInd w:val="0"/>
                    <w:snapToGrid w:val="0"/>
                    <w:spacing w:after="0" w:line="240" w:lineRule="auto"/>
                    <w:textAlignment w:val="auto"/>
                    <w:outlineLvl w:val="9"/>
                    <w:rPr>
                      <w:rFonts w:hint="default" w:ascii="Times New Roman" w:hAnsi="Times New Roman" w:eastAsia="宋体" w:cs="Times New Roman"/>
                      <w:b/>
                      <w:bCs/>
                      <w:sz w:val="21"/>
                      <w:szCs w:val="21"/>
                      <w:highlight w:val="none"/>
                      <w:vertAlign w:val="baseline"/>
                      <w:lang w:val="en-US" w:eastAsia="zh-CN"/>
                    </w:rPr>
                  </w:pPr>
                  <w:r>
                    <w:rPr>
                      <w:rFonts w:hint="default" w:ascii="Times New Roman" w:hAnsi="Times New Roman" w:eastAsia="宋体" w:cs="Times New Roman"/>
                      <w:b w:val="0"/>
                      <w:bCs w:val="0"/>
                      <w:sz w:val="21"/>
                      <w:szCs w:val="21"/>
                      <w:highlight w:val="none"/>
                      <w:vertAlign w:val="baseline"/>
                      <w:lang w:val="en-US" w:eastAsia="zh-CN"/>
                    </w:rPr>
                    <w:t>年产4万片氧化锆双面覆铜板和34万片氧化铝双面覆铜板，年工作300天，日产134片氧化锆双面覆铜板和1134万片氧化铝双面覆铜板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52" w:type="dxa"/>
                  <w:vAlign w:val="center"/>
                </w:tcPr>
                <w:p>
                  <w:pPr>
                    <w:pStyle w:val="30"/>
                    <w:keepNext w:val="0"/>
                    <w:keepLines w:val="0"/>
                    <w:pageBreakBefore w:val="0"/>
                    <w:widowControl/>
                    <w:kinsoku/>
                    <w:wordWrap/>
                    <w:overflowPunct/>
                    <w:topLinePunct w:val="0"/>
                    <w:autoSpaceDE/>
                    <w:autoSpaceDN/>
                    <w:bidi w:val="0"/>
                    <w:adjustRightInd w:val="0"/>
                    <w:snapToGrid w:val="0"/>
                    <w:spacing w:after="0" w:line="240" w:lineRule="auto"/>
                    <w:textAlignment w:val="auto"/>
                    <w:outlineLvl w:val="9"/>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实际生产量</w:t>
                  </w:r>
                </w:p>
              </w:tc>
              <w:tc>
                <w:tcPr>
                  <w:tcW w:w="2752" w:type="dxa"/>
                  <w:vAlign w:val="center"/>
                </w:tcPr>
                <w:p>
                  <w:pPr>
                    <w:pStyle w:val="30"/>
                    <w:keepNext w:val="0"/>
                    <w:keepLines w:val="0"/>
                    <w:pageBreakBefore w:val="0"/>
                    <w:widowControl/>
                    <w:kinsoku/>
                    <w:wordWrap/>
                    <w:overflowPunct/>
                    <w:topLinePunct w:val="0"/>
                    <w:autoSpaceDE/>
                    <w:autoSpaceDN/>
                    <w:bidi w:val="0"/>
                    <w:adjustRightInd w:val="0"/>
                    <w:snapToGrid w:val="0"/>
                    <w:spacing w:after="0" w:line="240" w:lineRule="auto"/>
                    <w:textAlignment w:val="auto"/>
                    <w:outlineLvl w:val="9"/>
                    <w:rPr>
                      <w:rFonts w:hint="default" w:ascii="Times New Roman" w:hAnsi="Times New Roman" w:eastAsia="宋体" w:cs="Times New Roman"/>
                      <w:b w:val="0"/>
                      <w:bCs w:val="0"/>
                      <w:sz w:val="21"/>
                      <w:szCs w:val="21"/>
                      <w:highlight w:val="none"/>
                      <w:vertAlign w:val="baseline"/>
                    </w:rPr>
                  </w:pPr>
                  <w:r>
                    <w:rPr>
                      <w:rFonts w:hint="default" w:ascii="Times New Roman" w:hAnsi="Times New Roman" w:eastAsia="宋体" w:cs="Times New Roman"/>
                      <w:b w:val="0"/>
                      <w:bCs w:val="0"/>
                      <w:sz w:val="21"/>
                      <w:szCs w:val="21"/>
                      <w:highlight w:val="none"/>
                      <w:vertAlign w:val="baseline"/>
                      <w:lang w:val="en-US" w:eastAsia="zh-CN"/>
                    </w:rPr>
                    <w:t>日产120片氧化锆双面覆铜板和1105万片氧化铝双面覆铜板</w:t>
                  </w:r>
                </w:p>
              </w:tc>
              <w:tc>
                <w:tcPr>
                  <w:tcW w:w="2752" w:type="dxa"/>
                  <w:vAlign w:val="center"/>
                </w:tcPr>
                <w:p>
                  <w:pPr>
                    <w:pStyle w:val="30"/>
                    <w:keepNext w:val="0"/>
                    <w:keepLines w:val="0"/>
                    <w:pageBreakBefore w:val="0"/>
                    <w:widowControl/>
                    <w:kinsoku/>
                    <w:wordWrap/>
                    <w:overflowPunct/>
                    <w:topLinePunct w:val="0"/>
                    <w:autoSpaceDE/>
                    <w:autoSpaceDN/>
                    <w:bidi w:val="0"/>
                    <w:adjustRightInd w:val="0"/>
                    <w:snapToGrid w:val="0"/>
                    <w:spacing w:after="0" w:line="240" w:lineRule="auto"/>
                    <w:textAlignment w:val="auto"/>
                    <w:outlineLvl w:val="9"/>
                    <w:rPr>
                      <w:rFonts w:hint="default" w:ascii="Times New Roman" w:hAnsi="Times New Roman" w:eastAsia="宋体" w:cs="Times New Roman"/>
                      <w:b w:val="0"/>
                      <w:bCs w:val="0"/>
                      <w:sz w:val="21"/>
                      <w:szCs w:val="21"/>
                      <w:highlight w:val="none"/>
                      <w:vertAlign w:val="baseline"/>
                    </w:rPr>
                  </w:pPr>
                  <w:r>
                    <w:rPr>
                      <w:rFonts w:hint="default" w:ascii="Times New Roman" w:hAnsi="Times New Roman" w:eastAsia="宋体" w:cs="Times New Roman"/>
                      <w:b w:val="0"/>
                      <w:bCs w:val="0"/>
                      <w:sz w:val="21"/>
                      <w:szCs w:val="21"/>
                      <w:highlight w:val="none"/>
                      <w:vertAlign w:val="baseline"/>
                      <w:lang w:val="en-US" w:eastAsia="zh-CN"/>
                    </w:rPr>
                    <w:t>日产110万片氧化锆双面覆铜板和1010万片氧化铝双面覆铜板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52" w:type="dxa"/>
                  <w:vAlign w:val="center"/>
                </w:tcPr>
                <w:p>
                  <w:pPr>
                    <w:pStyle w:val="30"/>
                    <w:keepNext w:val="0"/>
                    <w:keepLines w:val="0"/>
                    <w:pageBreakBefore w:val="0"/>
                    <w:widowControl/>
                    <w:kinsoku/>
                    <w:wordWrap/>
                    <w:overflowPunct/>
                    <w:topLinePunct w:val="0"/>
                    <w:autoSpaceDE/>
                    <w:autoSpaceDN/>
                    <w:bidi w:val="0"/>
                    <w:adjustRightInd w:val="0"/>
                    <w:snapToGrid w:val="0"/>
                    <w:spacing w:after="0" w:line="240" w:lineRule="auto"/>
                    <w:textAlignment w:val="auto"/>
                    <w:outlineLvl w:val="9"/>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生产负荷（%）</w:t>
                  </w:r>
                </w:p>
              </w:tc>
              <w:tc>
                <w:tcPr>
                  <w:tcW w:w="2752" w:type="dxa"/>
                  <w:vAlign w:val="center"/>
                </w:tcPr>
                <w:p>
                  <w:pPr>
                    <w:pStyle w:val="30"/>
                    <w:keepNext w:val="0"/>
                    <w:keepLines w:val="0"/>
                    <w:pageBreakBefore w:val="0"/>
                    <w:widowControl/>
                    <w:kinsoku/>
                    <w:wordWrap/>
                    <w:overflowPunct/>
                    <w:topLinePunct w:val="0"/>
                    <w:autoSpaceDE/>
                    <w:autoSpaceDN/>
                    <w:bidi w:val="0"/>
                    <w:adjustRightInd w:val="0"/>
                    <w:snapToGrid w:val="0"/>
                    <w:spacing w:after="0" w:line="240" w:lineRule="auto"/>
                    <w:textAlignment w:val="auto"/>
                    <w:outlineLvl w:val="9"/>
                    <w:rPr>
                      <w:rFonts w:hint="default" w:ascii="Times New Roman" w:hAnsi="Times New Roman" w:eastAsia="宋体" w:cs="Times New Roman"/>
                      <w:b w:val="0"/>
                      <w:bCs w:val="0"/>
                      <w:sz w:val="21"/>
                      <w:szCs w:val="21"/>
                      <w:highlight w:val="none"/>
                      <w:vertAlign w:val="baseline"/>
                      <w:lang w:val="en-US" w:eastAsia="zh-CN"/>
                    </w:rPr>
                  </w:pPr>
                  <w:r>
                    <w:rPr>
                      <w:rFonts w:hint="default" w:ascii="Times New Roman" w:hAnsi="Times New Roman" w:eastAsia="宋体" w:cs="Times New Roman"/>
                      <w:b w:val="0"/>
                      <w:bCs w:val="0"/>
                      <w:sz w:val="21"/>
                      <w:szCs w:val="21"/>
                      <w:highlight w:val="none"/>
                      <w:vertAlign w:val="baseline"/>
                      <w:lang w:val="en-US" w:eastAsia="zh-CN"/>
                    </w:rPr>
                    <w:t>96.6</w:t>
                  </w:r>
                </w:p>
              </w:tc>
              <w:tc>
                <w:tcPr>
                  <w:tcW w:w="2752" w:type="dxa"/>
                  <w:vAlign w:val="center"/>
                </w:tcPr>
                <w:p>
                  <w:pPr>
                    <w:pStyle w:val="30"/>
                    <w:keepNext w:val="0"/>
                    <w:keepLines w:val="0"/>
                    <w:pageBreakBefore w:val="0"/>
                    <w:widowControl/>
                    <w:kinsoku/>
                    <w:wordWrap/>
                    <w:overflowPunct/>
                    <w:topLinePunct w:val="0"/>
                    <w:autoSpaceDE/>
                    <w:autoSpaceDN/>
                    <w:bidi w:val="0"/>
                    <w:adjustRightInd w:val="0"/>
                    <w:snapToGrid w:val="0"/>
                    <w:spacing w:after="0" w:line="240" w:lineRule="auto"/>
                    <w:textAlignment w:val="auto"/>
                    <w:outlineLvl w:val="9"/>
                    <w:rPr>
                      <w:rFonts w:hint="default" w:ascii="Times New Roman" w:hAnsi="Times New Roman" w:eastAsia="宋体" w:cs="Times New Roman"/>
                      <w:b w:val="0"/>
                      <w:bCs w:val="0"/>
                      <w:sz w:val="21"/>
                      <w:szCs w:val="21"/>
                      <w:highlight w:val="none"/>
                      <w:vertAlign w:val="baseline"/>
                      <w:lang w:val="en-US" w:eastAsia="zh-CN"/>
                    </w:rPr>
                  </w:pPr>
                  <w:r>
                    <w:rPr>
                      <w:rFonts w:hint="default" w:ascii="Times New Roman" w:hAnsi="Times New Roman" w:eastAsia="宋体" w:cs="Times New Roman"/>
                      <w:b w:val="0"/>
                      <w:bCs w:val="0"/>
                      <w:sz w:val="21"/>
                      <w:szCs w:val="21"/>
                      <w:highlight w:val="none"/>
                      <w:vertAlign w:val="baseline"/>
                      <w:lang w:val="en-US" w:eastAsia="zh-CN"/>
                    </w:rPr>
                    <w:t>88.3</w:t>
                  </w:r>
                </w:p>
              </w:tc>
            </w:tr>
          </w:tbl>
          <w:p>
            <w:pPr>
              <w:keepNext w:val="0"/>
              <w:keepLines w:val="0"/>
              <w:pageBreakBefore w:val="0"/>
              <w:widowControl/>
              <w:kinsoku/>
              <w:wordWrap/>
              <w:overflowPunct/>
              <w:topLinePunct w:val="0"/>
              <w:autoSpaceDE/>
              <w:autoSpaceDN/>
              <w:bidi w:val="0"/>
              <w:adjustRightInd/>
              <w:snapToGrid/>
              <w:spacing w:after="0" w:line="360" w:lineRule="auto"/>
              <w:jc w:val="left"/>
              <w:textAlignment w:val="auto"/>
              <w:rPr>
                <w:rFonts w:hint="eastAsia" w:ascii="宋体" w:hAnsi="宋体" w:eastAsia="宋体" w:cs="宋体"/>
                <w:b/>
                <w:sz w:val="24"/>
              </w:rPr>
            </w:pPr>
          </w:p>
          <w:p>
            <w:pPr>
              <w:rPr>
                <w:rFonts w:hint="eastAsia"/>
                <w:vertAlign w:val="baseline"/>
                <w:lang w:val="en-US" w:eastAsia="zh-CN"/>
              </w:rPr>
            </w:pPr>
          </w:p>
          <w:p>
            <w:pPr>
              <w:rPr>
                <w:rFonts w:hint="eastAsia"/>
                <w:vertAlign w:val="baseline"/>
                <w:lang w:val="en-US" w:eastAsia="zh-CN"/>
              </w:rPr>
            </w:pPr>
          </w:p>
          <w:p>
            <w:pPr>
              <w:rPr>
                <w:rFonts w:hint="eastAsia"/>
                <w:vertAlign w:val="baseline"/>
                <w:lang w:val="en-US" w:eastAsia="zh-CN"/>
              </w:rPr>
            </w:pPr>
          </w:p>
          <w:p>
            <w:pPr>
              <w:rPr>
                <w:rFonts w:hint="eastAsia"/>
                <w:vertAlign w:val="baseline"/>
                <w:lang w:val="en-US" w:eastAsia="zh-CN"/>
              </w:rPr>
            </w:pPr>
          </w:p>
          <w:p>
            <w:pPr>
              <w:rPr>
                <w:rFonts w:hint="eastAsia"/>
                <w:vertAlign w:val="baseline"/>
                <w:lang w:val="en-US" w:eastAsia="zh-CN"/>
              </w:rPr>
            </w:pPr>
          </w:p>
          <w:p>
            <w:pPr>
              <w:rPr>
                <w:rFonts w:hint="eastAsia"/>
                <w:vertAlign w:val="baseline"/>
                <w:lang w:val="en-US" w:eastAsia="zh-CN"/>
              </w:rPr>
            </w:pPr>
          </w:p>
          <w:p>
            <w:pPr>
              <w:rPr>
                <w:rFonts w:hint="eastAsia"/>
                <w:vertAlign w:val="baseline"/>
                <w:lang w:val="en-US" w:eastAsia="zh-CN"/>
              </w:rPr>
            </w:pPr>
          </w:p>
          <w:p>
            <w:pPr>
              <w:rPr>
                <w:rFonts w:hint="eastAsia"/>
                <w:vertAlign w:val="baseline"/>
                <w:lang w:val="en-US" w:eastAsia="zh-CN"/>
              </w:rPr>
            </w:pPr>
          </w:p>
          <w:p>
            <w:pPr>
              <w:rPr>
                <w:rFonts w:hint="eastAsia"/>
                <w:vertAlign w:val="baseline"/>
                <w:lang w:val="en-US" w:eastAsia="zh-CN"/>
              </w:rPr>
            </w:pPr>
          </w:p>
          <w:p>
            <w:pPr>
              <w:rPr>
                <w:rFonts w:hint="eastAsia"/>
                <w:vertAlign w:val="baseline"/>
                <w:lang w:val="en-US" w:eastAsia="zh-CN"/>
              </w:rPr>
            </w:pPr>
          </w:p>
          <w:p>
            <w:pPr>
              <w:rPr>
                <w:rFonts w:hint="eastAsia"/>
                <w:vertAlign w:val="baseline"/>
                <w:lang w:val="en-US" w:eastAsia="zh-CN"/>
              </w:rPr>
            </w:pPr>
          </w:p>
          <w:p>
            <w:pPr>
              <w:rPr>
                <w:rFonts w:hint="eastAsia"/>
                <w:vertAlign w:val="baseline"/>
                <w:lang w:val="en-US" w:eastAsia="zh-CN"/>
              </w:rPr>
            </w:pPr>
          </w:p>
          <w:p>
            <w:pPr>
              <w:rPr>
                <w:rFonts w:hint="eastAsia"/>
                <w:vertAlign w:val="baseline"/>
                <w:lang w:val="en-US" w:eastAsia="zh-CN"/>
              </w:rPr>
            </w:pPr>
          </w:p>
          <w:p>
            <w:pPr>
              <w:rPr>
                <w:rFonts w:hint="eastAsia" w:ascii="宋体" w:hAnsi="宋体" w:eastAsia="宋体" w:cs="宋体"/>
                <w:b/>
                <w:sz w:val="24"/>
              </w:rPr>
            </w:pPr>
            <w:r>
              <w:rPr>
                <w:rFonts w:hint="eastAsia" w:ascii="宋体" w:hAnsi="宋体" w:eastAsia="宋体" w:cs="宋体"/>
                <w:b/>
                <w:sz w:val="24"/>
              </w:rPr>
              <w:t>验收监测结果</w:t>
            </w:r>
          </w:p>
          <w:tbl>
            <w:tblPr>
              <w:tblStyle w:val="32"/>
              <w:tblW w:w="805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719"/>
              <w:gridCol w:w="1596"/>
              <w:gridCol w:w="5"/>
              <w:gridCol w:w="1601"/>
              <w:gridCol w:w="1561"/>
              <w:gridCol w:w="8"/>
              <w:gridCol w:w="156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2" w:hRule="atLeast"/>
                <w:jc w:val="center"/>
              </w:trPr>
              <w:tc>
                <w:tcPr>
                  <w:tcW w:w="1719"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检测项目</w:t>
                  </w:r>
                </w:p>
              </w:tc>
              <w:tc>
                <w:tcPr>
                  <w:tcW w:w="6340" w:type="dxa"/>
                  <w:gridSpan w:val="6"/>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声环境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jc w:val="center"/>
              </w:trPr>
              <w:tc>
                <w:tcPr>
                  <w:tcW w:w="1719"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主要声源</w:t>
                  </w:r>
                </w:p>
              </w:tc>
              <w:tc>
                <w:tcPr>
                  <w:tcW w:w="6340" w:type="dxa"/>
                  <w:gridSpan w:val="6"/>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3"/>
                      <w:sz w:val="21"/>
                      <w:szCs w:val="21"/>
                      <w:lang w:val="en-US" w:eastAsia="zh-CN"/>
                    </w:rPr>
                    <w:t>环境噪声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jc w:val="center"/>
              </w:trPr>
              <w:tc>
                <w:tcPr>
                  <w:tcW w:w="1719"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检测日期</w:t>
                  </w:r>
                </w:p>
              </w:tc>
              <w:tc>
                <w:tcPr>
                  <w:tcW w:w="3202" w:type="dxa"/>
                  <w:gridSpan w:val="3"/>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2"/>
                      <w:sz w:val="21"/>
                      <w:szCs w:val="21"/>
                    </w:rPr>
                    <w:t>2023.</w:t>
                  </w:r>
                  <w:r>
                    <w:rPr>
                      <w:rFonts w:hint="default" w:ascii="Times New Roman" w:hAnsi="Times New Roman" w:eastAsia="宋体" w:cs="Times New Roman"/>
                      <w:spacing w:val="-2"/>
                      <w:sz w:val="21"/>
                      <w:szCs w:val="21"/>
                      <w:lang w:val="en-US" w:eastAsia="zh-CN"/>
                    </w:rPr>
                    <w:t>5</w:t>
                  </w:r>
                  <w:r>
                    <w:rPr>
                      <w:rFonts w:hint="default" w:ascii="Times New Roman" w:hAnsi="Times New Roman" w:eastAsia="宋体" w:cs="Times New Roman"/>
                      <w:spacing w:val="-2"/>
                      <w:sz w:val="21"/>
                      <w:szCs w:val="21"/>
                    </w:rPr>
                    <w:t>.</w:t>
                  </w:r>
                  <w:r>
                    <w:rPr>
                      <w:rFonts w:hint="default" w:ascii="Times New Roman" w:hAnsi="Times New Roman" w:eastAsia="宋体" w:cs="Times New Roman"/>
                      <w:spacing w:val="-2"/>
                      <w:sz w:val="21"/>
                      <w:szCs w:val="21"/>
                      <w:lang w:val="en-US" w:eastAsia="zh-CN"/>
                    </w:rPr>
                    <w:t>31</w:t>
                  </w:r>
                </w:p>
              </w:tc>
              <w:tc>
                <w:tcPr>
                  <w:tcW w:w="3138" w:type="dxa"/>
                  <w:gridSpan w:val="3"/>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pacing w:val="-2"/>
                      <w:sz w:val="21"/>
                      <w:szCs w:val="21"/>
                    </w:rPr>
                    <w:t>2023.</w:t>
                  </w:r>
                  <w:r>
                    <w:rPr>
                      <w:rFonts w:hint="default" w:ascii="Times New Roman" w:hAnsi="Times New Roman" w:eastAsia="宋体" w:cs="Times New Roman"/>
                      <w:spacing w:val="-2"/>
                      <w:sz w:val="21"/>
                      <w:szCs w:val="21"/>
                      <w:lang w:val="en-US" w:eastAsia="zh-CN"/>
                    </w:rPr>
                    <w:t>6</w:t>
                  </w:r>
                  <w:r>
                    <w:rPr>
                      <w:rFonts w:hint="default" w:ascii="Times New Roman" w:hAnsi="Times New Roman" w:eastAsia="宋体" w:cs="Times New Roman"/>
                      <w:spacing w:val="-2"/>
                      <w:sz w:val="21"/>
                      <w:szCs w:val="21"/>
                    </w:rPr>
                    <w:t>.</w:t>
                  </w:r>
                  <w:r>
                    <w:rPr>
                      <w:rFonts w:hint="default" w:ascii="Times New Roman" w:hAnsi="Times New Roman" w:eastAsia="宋体" w:cs="Times New Roman"/>
                      <w:spacing w:val="-2"/>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jc w:val="center"/>
              </w:trPr>
              <w:tc>
                <w:tcPr>
                  <w:tcW w:w="1719"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天气参数</w:t>
                  </w:r>
                </w:p>
              </w:tc>
              <w:tc>
                <w:tcPr>
                  <w:tcW w:w="1601" w:type="dxa"/>
                  <w:gridSpan w:val="2"/>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风速</w:t>
                  </w:r>
                  <w:r>
                    <w:rPr>
                      <w:rFonts w:hint="default" w:ascii="Times New Roman" w:hAnsi="Times New Roman" w:eastAsia="宋体" w:cs="Times New Roman"/>
                      <w:spacing w:val="1"/>
                      <w:sz w:val="21"/>
                      <w:szCs w:val="21"/>
                      <w:lang w:val="en-US" w:eastAsia="zh-CN"/>
                    </w:rPr>
                    <w:t>1.5</w:t>
                  </w:r>
                  <w:r>
                    <w:rPr>
                      <w:rFonts w:hint="default" w:ascii="Times New Roman" w:hAnsi="Times New Roman" w:eastAsia="宋体" w:cs="Times New Roman"/>
                      <w:spacing w:val="1"/>
                      <w:sz w:val="21"/>
                      <w:szCs w:val="21"/>
                    </w:rPr>
                    <w:t>m/s,天气阴</w:t>
                  </w:r>
                </w:p>
              </w:tc>
              <w:tc>
                <w:tcPr>
                  <w:tcW w:w="1601"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pacing w:val="1"/>
                      <w:sz w:val="21"/>
                      <w:szCs w:val="21"/>
                    </w:rPr>
                  </w:pPr>
                  <w:r>
                    <w:rPr>
                      <w:rFonts w:hint="default" w:ascii="Times New Roman" w:hAnsi="Times New Roman" w:eastAsia="宋体" w:cs="Times New Roman"/>
                      <w:spacing w:val="1"/>
                      <w:sz w:val="21"/>
                      <w:szCs w:val="21"/>
                    </w:rPr>
                    <w:t>风速</w:t>
                  </w:r>
                  <w:r>
                    <w:rPr>
                      <w:rFonts w:hint="default" w:ascii="Times New Roman" w:hAnsi="Times New Roman" w:eastAsia="宋体" w:cs="Times New Roman"/>
                      <w:spacing w:val="1"/>
                      <w:sz w:val="21"/>
                      <w:szCs w:val="21"/>
                      <w:lang w:val="en-US" w:eastAsia="zh-CN"/>
                    </w:rPr>
                    <w:t>1.6</w:t>
                  </w:r>
                  <w:r>
                    <w:rPr>
                      <w:rFonts w:hint="default" w:ascii="Times New Roman" w:hAnsi="Times New Roman" w:eastAsia="宋体" w:cs="Times New Roman"/>
                      <w:spacing w:val="1"/>
                      <w:sz w:val="21"/>
                      <w:szCs w:val="21"/>
                    </w:rPr>
                    <w:t>m/s,天气阴</w:t>
                  </w:r>
                </w:p>
              </w:tc>
              <w:tc>
                <w:tcPr>
                  <w:tcW w:w="1569" w:type="dxa"/>
                  <w:gridSpan w:val="2"/>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pacing w:val="1"/>
                      <w:sz w:val="21"/>
                      <w:szCs w:val="21"/>
                    </w:rPr>
                    <w:t>风速2.1m/s,天气</w:t>
                  </w:r>
                  <w:r>
                    <w:rPr>
                      <w:rFonts w:hint="default" w:ascii="Times New Roman" w:hAnsi="Times New Roman" w:eastAsia="宋体" w:cs="Times New Roman"/>
                      <w:spacing w:val="1"/>
                      <w:sz w:val="21"/>
                      <w:szCs w:val="21"/>
                      <w:lang w:val="en-US" w:eastAsia="zh-CN"/>
                    </w:rPr>
                    <w:t>晴</w:t>
                  </w:r>
                </w:p>
              </w:tc>
              <w:tc>
                <w:tcPr>
                  <w:tcW w:w="1569"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pacing w:val="1"/>
                      <w:sz w:val="21"/>
                      <w:szCs w:val="21"/>
                      <w:lang w:eastAsia="zh-CN"/>
                    </w:rPr>
                  </w:pPr>
                  <w:r>
                    <w:rPr>
                      <w:rFonts w:hint="default" w:ascii="Times New Roman" w:hAnsi="Times New Roman" w:eastAsia="宋体" w:cs="Times New Roman"/>
                      <w:spacing w:val="1"/>
                      <w:sz w:val="21"/>
                      <w:szCs w:val="21"/>
                    </w:rPr>
                    <w:t>风速2.</w:t>
                  </w:r>
                  <w:r>
                    <w:rPr>
                      <w:rFonts w:hint="default" w:ascii="Times New Roman" w:hAnsi="Times New Roman" w:eastAsia="宋体" w:cs="Times New Roman"/>
                      <w:spacing w:val="1"/>
                      <w:sz w:val="21"/>
                      <w:szCs w:val="21"/>
                      <w:lang w:val="en-US" w:eastAsia="zh-CN"/>
                    </w:rPr>
                    <w:t>2</w:t>
                  </w:r>
                  <w:r>
                    <w:rPr>
                      <w:rFonts w:hint="default" w:ascii="Times New Roman" w:hAnsi="Times New Roman" w:eastAsia="宋体" w:cs="Times New Roman"/>
                      <w:spacing w:val="1"/>
                      <w:sz w:val="21"/>
                      <w:szCs w:val="21"/>
                    </w:rPr>
                    <w:t>m/s,天气</w:t>
                  </w:r>
                  <w:r>
                    <w:rPr>
                      <w:rFonts w:hint="default" w:ascii="Times New Roman" w:hAnsi="Times New Roman" w:eastAsia="宋体" w:cs="Times New Roman"/>
                      <w:spacing w:val="1"/>
                      <w:sz w:val="21"/>
                      <w:szCs w:val="21"/>
                      <w:lang w:val="en-US" w:eastAsia="zh-CN"/>
                    </w:rPr>
                    <w:t>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jc w:val="center"/>
              </w:trPr>
              <w:tc>
                <w:tcPr>
                  <w:tcW w:w="1719" w:type="dxa"/>
                  <w:vMerge w:val="restart"/>
                  <w:tcBorders>
                    <w:bottom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检测点位</w:t>
                  </w:r>
                </w:p>
              </w:tc>
              <w:tc>
                <w:tcPr>
                  <w:tcW w:w="6340" w:type="dxa"/>
                  <w:gridSpan w:val="6"/>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1"/>
                      <w:sz w:val="21"/>
                      <w:szCs w:val="21"/>
                    </w:rPr>
                    <w:t>检测结果</w:t>
                  </w:r>
                  <w:r>
                    <w:rPr>
                      <w:rFonts w:hint="default" w:ascii="Times New Roman" w:hAnsi="Times New Roman" w:eastAsia="宋体" w:cs="Times New Roman"/>
                      <w:sz w:val="21"/>
                      <w:szCs w:val="21"/>
                    </w:rPr>
                    <w:t>Leq</w:t>
                  </w:r>
                  <w:r>
                    <w:rPr>
                      <w:rFonts w:hint="default" w:ascii="Times New Roman" w:hAnsi="Times New Roman" w:eastAsia="宋体" w:cs="Times New Roman"/>
                      <w:spacing w:val="11"/>
                      <w:sz w:val="21"/>
                      <w:szCs w:val="21"/>
                    </w:rPr>
                    <w:t>〔</w:t>
                  </w:r>
                  <w:r>
                    <w:rPr>
                      <w:rFonts w:hint="default" w:ascii="Times New Roman" w:hAnsi="Times New Roman" w:eastAsia="宋体" w:cs="Times New Roman"/>
                      <w:sz w:val="21"/>
                      <w:szCs w:val="21"/>
                    </w:rPr>
                    <w:t>dB</w:t>
                  </w:r>
                  <w:r>
                    <w:rPr>
                      <w:rFonts w:hint="default" w:ascii="Times New Roman" w:hAnsi="Times New Roman" w:eastAsia="宋体" w:cs="Times New Roman"/>
                      <w:spacing w:val="11"/>
                      <w:sz w:val="21"/>
                      <w:szCs w:val="21"/>
                    </w:rPr>
                    <w:t>(A)〕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719" w:type="dxa"/>
                  <w:vMerge w:val="continue"/>
                  <w:tcBorders>
                    <w:top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rPr>
                  </w:pPr>
                </w:p>
              </w:tc>
              <w:tc>
                <w:tcPr>
                  <w:tcW w:w="1596"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昼间</w:t>
                  </w:r>
                </w:p>
              </w:tc>
              <w:tc>
                <w:tcPr>
                  <w:tcW w:w="1606" w:type="dxa"/>
                  <w:gridSpan w:val="2"/>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夜间</w:t>
                  </w:r>
                </w:p>
              </w:tc>
              <w:tc>
                <w:tcPr>
                  <w:tcW w:w="1561"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昼间</w:t>
                  </w:r>
                </w:p>
              </w:tc>
              <w:tc>
                <w:tcPr>
                  <w:tcW w:w="1577" w:type="dxa"/>
                  <w:gridSpan w:val="2"/>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夜间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jc w:val="center"/>
              </w:trPr>
              <w:tc>
                <w:tcPr>
                  <w:tcW w:w="1719"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lang w:val="en-US" w:eastAsia="zh-CN"/>
                    </w:rPr>
                    <w:t>N1</w:t>
                  </w:r>
                  <w:r>
                    <w:rPr>
                      <w:rFonts w:hint="default" w:ascii="Times New Roman" w:hAnsi="Times New Roman" w:eastAsia="宋体" w:cs="Times New Roman"/>
                      <w:spacing w:val="3"/>
                      <w:sz w:val="21"/>
                      <w:szCs w:val="21"/>
                    </w:rPr>
                    <w:t>厂界东</w:t>
                  </w:r>
                </w:p>
              </w:tc>
              <w:tc>
                <w:tcPr>
                  <w:tcW w:w="1596"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54</w:t>
                  </w:r>
                </w:p>
              </w:tc>
              <w:tc>
                <w:tcPr>
                  <w:tcW w:w="1606" w:type="dxa"/>
                  <w:gridSpan w:val="2"/>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45</w:t>
                  </w:r>
                </w:p>
              </w:tc>
              <w:tc>
                <w:tcPr>
                  <w:tcW w:w="1561"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55</w:t>
                  </w:r>
                </w:p>
              </w:tc>
              <w:tc>
                <w:tcPr>
                  <w:tcW w:w="1577" w:type="dxa"/>
                  <w:gridSpan w:val="2"/>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jc w:val="center"/>
              </w:trPr>
              <w:tc>
                <w:tcPr>
                  <w:tcW w:w="1719"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lang w:val="en-US" w:eastAsia="zh-CN"/>
                    </w:rPr>
                    <w:t>N</w:t>
                  </w:r>
                  <w:r>
                    <w:rPr>
                      <w:rFonts w:hint="default" w:ascii="Times New Roman" w:hAnsi="Times New Roman" w:eastAsia="宋体" w:cs="Times New Roman"/>
                      <w:spacing w:val="-2"/>
                      <w:sz w:val="21"/>
                      <w:szCs w:val="21"/>
                    </w:rPr>
                    <w:t>2厂界南</w:t>
                  </w:r>
                </w:p>
              </w:tc>
              <w:tc>
                <w:tcPr>
                  <w:tcW w:w="1596"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51</w:t>
                  </w:r>
                </w:p>
              </w:tc>
              <w:tc>
                <w:tcPr>
                  <w:tcW w:w="1606" w:type="dxa"/>
                  <w:gridSpan w:val="2"/>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46</w:t>
                  </w:r>
                </w:p>
              </w:tc>
              <w:tc>
                <w:tcPr>
                  <w:tcW w:w="1561"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52</w:t>
                  </w:r>
                </w:p>
              </w:tc>
              <w:tc>
                <w:tcPr>
                  <w:tcW w:w="1577" w:type="dxa"/>
                  <w:gridSpan w:val="2"/>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6" w:hRule="atLeast"/>
                <w:jc w:val="center"/>
              </w:trPr>
              <w:tc>
                <w:tcPr>
                  <w:tcW w:w="1719"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lang w:val="en-US" w:eastAsia="zh-CN"/>
                    </w:rPr>
                    <w:t>N</w:t>
                  </w:r>
                  <w:r>
                    <w:rPr>
                      <w:rFonts w:hint="default" w:ascii="Times New Roman" w:hAnsi="Times New Roman" w:eastAsia="宋体" w:cs="Times New Roman"/>
                      <w:spacing w:val="3"/>
                      <w:sz w:val="21"/>
                      <w:szCs w:val="21"/>
                    </w:rPr>
                    <w:t>3厂界西</w:t>
                  </w:r>
                </w:p>
              </w:tc>
              <w:tc>
                <w:tcPr>
                  <w:tcW w:w="1596"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53</w:t>
                  </w:r>
                </w:p>
              </w:tc>
              <w:tc>
                <w:tcPr>
                  <w:tcW w:w="1606" w:type="dxa"/>
                  <w:gridSpan w:val="2"/>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46</w:t>
                  </w:r>
                </w:p>
              </w:tc>
              <w:tc>
                <w:tcPr>
                  <w:tcW w:w="1561"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52</w:t>
                  </w:r>
                </w:p>
              </w:tc>
              <w:tc>
                <w:tcPr>
                  <w:tcW w:w="1577" w:type="dxa"/>
                  <w:gridSpan w:val="2"/>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7" w:hRule="atLeast"/>
                <w:jc w:val="center"/>
              </w:trPr>
              <w:tc>
                <w:tcPr>
                  <w:tcW w:w="1719"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lang w:val="en-US" w:eastAsia="zh-CN"/>
                    </w:rPr>
                    <w:t>N</w:t>
                  </w:r>
                  <w:r>
                    <w:rPr>
                      <w:rFonts w:hint="default" w:ascii="Times New Roman" w:hAnsi="Times New Roman" w:eastAsia="宋体" w:cs="Times New Roman"/>
                      <w:spacing w:val="-2"/>
                      <w:sz w:val="21"/>
                      <w:szCs w:val="21"/>
                    </w:rPr>
                    <w:t>4厂界北</w:t>
                  </w:r>
                </w:p>
              </w:tc>
              <w:tc>
                <w:tcPr>
                  <w:tcW w:w="1596"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52</w:t>
                  </w:r>
                </w:p>
              </w:tc>
              <w:tc>
                <w:tcPr>
                  <w:tcW w:w="1606" w:type="dxa"/>
                  <w:gridSpan w:val="2"/>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44</w:t>
                  </w:r>
                </w:p>
              </w:tc>
              <w:tc>
                <w:tcPr>
                  <w:tcW w:w="1561"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51</w:t>
                  </w:r>
                </w:p>
              </w:tc>
              <w:tc>
                <w:tcPr>
                  <w:tcW w:w="1577" w:type="dxa"/>
                  <w:gridSpan w:val="2"/>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7" w:hRule="atLeast"/>
                <w:jc w:val="center"/>
              </w:trPr>
              <w:tc>
                <w:tcPr>
                  <w:tcW w:w="1719"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pacing w:val="-2"/>
                      <w:sz w:val="21"/>
                      <w:szCs w:val="21"/>
                      <w:lang w:val="en-US"/>
                    </w:rPr>
                  </w:pPr>
                  <w:r>
                    <w:rPr>
                      <w:rFonts w:hint="default" w:ascii="Times New Roman" w:hAnsi="Times New Roman" w:eastAsia="宋体" w:cs="Times New Roman"/>
                      <w:spacing w:val="3"/>
                      <w:sz w:val="21"/>
                      <w:szCs w:val="21"/>
                      <w:lang w:val="en-US" w:eastAsia="zh-CN"/>
                    </w:rPr>
                    <w:t>N5翰林新苑</w:t>
                  </w:r>
                </w:p>
              </w:tc>
              <w:tc>
                <w:tcPr>
                  <w:tcW w:w="1596"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55</w:t>
                  </w:r>
                </w:p>
              </w:tc>
              <w:tc>
                <w:tcPr>
                  <w:tcW w:w="1606" w:type="dxa"/>
                  <w:gridSpan w:val="2"/>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45</w:t>
                  </w:r>
                </w:p>
              </w:tc>
              <w:tc>
                <w:tcPr>
                  <w:tcW w:w="1561"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54</w:t>
                  </w:r>
                </w:p>
              </w:tc>
              <w:tc>
                <w:tcPr>
                  <w:tcW w:w="1577" w:type="dxa"/>
                  <w:gridSpan w:val="2"/>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44</w:t>
                  </w:r>
                </w:p>
              </w:tc>
            </w:tr>
          </w:tbl>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default" w:ascii="Times New Roman" w:hAnsi="Times New Roman" w:eastAsia="宋体" w:cs="Times New Roman"/>
                <w:b/>
                <w:sz w:val="24"/>
              </w:rPr>
            </w:pPr>
            <w:r>
              <w:rPr>
                <w:rFonts w:hint="default" w:ascii="Times New Roman" w:hAnsi="Times New Roman" w:eastAsia="宋体" w:cs="Times New Roman"/>
                <w:sz w:val="24"/>
                <w:szCs w:val="24"/>
                <w:lang w:val="en-US" w:eastAsia="zh-CN"/>
              </w:rPr>
              <w:t>根据上表可知，在验收检测期间，本项目昼间噪声排放数值在</w:t>
            </w:r>
            <w:r>
              <w:rPr>
                <w:rFonts w:hint="default" w:ascii="Times New Roman" w:hAnsi="Times New Roman" w:eastAsia="宋体" w:cs="Times New Roman"/>
                <w:sz w:val="24"/>
                <w:lang w:val="en-US" w:eastAsia="zh-CN"/>
              </w:rPr>
              <w:t>5</w:t>
            </w:r>
            <w:r>
              <w:rPr>
                <w:rFonts w:hint="eastAsia" w:ascii="Times New Roman" w:hAnsi="Times New Roman" w:eastAsia="宋体" w:cs="Times New Roman"/>
                <w:sz w:val="24"/>
                <w:lang w:val="en-US" w:eastAsia="zh-CN"/>
              </w:rPr>
              <w:t>1</w:t>
            </w:r>
            <w:r>
              <w:rPr>
                <w:rFonts w:hint="default" w:ascii="Times New Roman" w:hAnsi="Times New Roman" w:eastAsia="宋体" w:cs="Times New Roman"/>
                <w:sz w:val="24"/>
              </w:rPr>
              <w:t>dB（A）~5</w:t>
            </w:r>
            <w:r>
              <w:rPr>
                <w:rFonts w:hint="eastAsia" w:ascii="Times New Roman" w:hAnsi="Times New Roman" w:eastAsia="宋体" w:cs="Times New Roman"/>
                <w:sz w:val="24"/>
                <w:lang w:val="en-US" w:eastAsia="zh-CN"/>
              </w:rPr>
              <w:t>5</w:t>
            </w:r>
            <w:r>
              <w:rPr>
                <w:rFonts w:hint="default" w:ascii="Times New Roman" w:hAnsi="Times New Roman" w:eastAsia="宋体" w:cs="Times New Roman"/>
                <w:sz w:val="24"/>
              </w:rPr>
              <w:t>dB（A）</w:t>
            </w:r>
            <w:r>
              <w:rPr>
                <w:rFonts w:hint="default" w:ascii="Times New Roman" w:hAnsi="Times New Roman" w:eastAsia="宋体" w:cs="Times New Roman"/>
                <w:sz w:val="24"/>
                <w:lang w:val="en-US" w:eastAsia="zh-CN"/>
              </w:rPr>
              <w:t>之间，夜间</w:t>
            </w:r>
            <w:r>
              <w:rPr>
                <w:rFonts w:hint="default" w:ascii="Times New Roman" w:hAnsi="Times New Roman" w:eastAsia="宋体" w:cs="Times New Roman"/>
                <w:sz w:val="24"/>
                <w:szCs w:val="24"/>
                <w:lang w:val="en-US" w:eastAsia="zh-CN"/>
              </w:rPr>
              <w:t>噪声排放数值在4</w:t>
            </w:r>
            <w:r>
              <w:rPr>
                <w:rFonts w:hint="eastAsia" w:ascii="Times New Roman" w:hAnsi="Times New Roman" w:eastAsia="宋体" w:cs="Times New Roman"/>
                <w:sz w:val="24"/>
                <w:szCs w:val="24"/>
                <w:lang w:val="en-US" w:eastAsia="zh-CN"/>
              </w:rPr>
              <w:t>4</w:t>
            </w:r>
            <w:r>
              <w:rPr>
                <w:rFonts w:hint="default" w:ascii="Times New Roman" w:hAnsi="Times New Roman" w:eastAsia="宋体" w:cs="Times New Roman"/>
                <w:sz w:val="24"/>
              </w:rPr>
              <w:t>dB（A）~</w:t>
            </w:r>
            <w:r>
              <w:rPr>
                <w:rFonts w:hint="default" w:ascii="Times New Roman" w:hAnsi="Times New Roman" w:eastAsia="宋体" w:cs="Times New Roman"/>
                <w:sz w:val="24"/>
                <w:lang w:val="en-US" w:eastAsia="zh-CN"/>
              </w:rPr>
              <w:t>4</w:t>
            </w:r>
            <w:r>
              <w:rPr>
                <w:rFonts w:hint="eastAsia" w:ascii="Times New Roman" w:hAnsi="Times New Roman" w:eastAsia="宋体" w:cs="Times New Roman"/>
                <w:sz w:val="24"/>
                <w:lang w:val="en-US" w:eastAsia="zh-CN"/>
              </w:rPr>
              <w:t>6</w:t>
            </w:r>
            <w:r>
              <w:rPr>
                <w:rFonts w:hint="default" w:ascii="Times New Roman" w:hAnsi="Times New Roman" w:eastAsia="宋体" w:cs="Times New Roman"/>
                <w:sz w:val="24"/>
              </w:rPr>
              <w:t>dB（A）</w:t>
            </w:r>
            <w:r>
              <w:rPr>
                <w:rFonts w:hint="default" w:ascii="Times New Roman" w:hAnsi="Times New Roman" w:eastAsia="宋体" w:cs="Times New Roman"/>
                <w:sz w:val="24"/>
                <w:lang w:val="en-US" w:eastAsia="zh-CN"/>
              </w:rPr>
              <w:t>之间，</w:t>
            </w:r>
            <w:r>
              <w:rPr>
                <w:rFonts w:hint="default" w:ascii="Times New Roman" w:hAnsi="Times New Roman" w:eastAsia="宋体" w:cs="Times New Roman"/>
                <w:sz w:val="24"/>
              </w:rPr>
              <w:t>排放限值能够满足《工业企业厂界环境噪声排放标准》（GB12348-2008）</w:t>
            </w:r>
            <w:r>
              <w:rPr>
                <w:rFonts w:hint="default" w:ascii="Times New Roman" w:hAnsi="Times New Roman" w:eastAsia="宋体" w:cs="Times New Roman"/>
                <w:bCs/>
                <w:sz w:val="24"/>
              </w:rPr>
              <w:t>中的</w:t>
            </w:r>
            <w:r>
              <w:rPr>
                <w:rFonts w:hint="eastAsia" w:ascii="Times New Roman" w:hAnsi="Times New Roman" w:eastAsia="宋体" w:cs="Times New Roman"/>
                <w:bCs/>
                <w:sz w:val="24"/>
                <w:lang w:val="en-US" w:eastAsia="zh-CN"/>
              </w:rPr>
              <w:t>2</w:t>
            </w:r>
            <w:r>
              <w:rPr>
                <w:rFonts w:hint="default" w:ascii="Times New Roman" w:hAnsi="Times New Roman" w:eastAsia="宋体" w:cs="Times New Roman"/>
                <w:bCs/>
                <w:sz w:val="24"/>
              </w:rPr>
              <w:t>类标准限值。</w:t>
            </w:r>
          </w:p>
          <w:p>
            <w:pPr>
              <w:rPr>
                <w:rFonts w:hint="eastAsia" w:eastAsia="宋体"/>
                <w:vertAlign w:val="baseline"/>
                <w:lang w:val="en-US" w:eastAsia="zh-CN"/>
              </w:rPr>
            </w:pPr>
          </w:p>
          <w:p>
            <w:pPr>
              <w:rPr>
                <w:rFonts w:hint="eastAsia" w:eastAsia="宋体"/>
                <w:vertAlign w:val="baseline"/>
                <w:lang w:val="en-US" w:eastAsia="zh-CN"/>
              </w:rPr>
            </w:pPr>
          </w:p>
          <w:p>
            <w:pPr>
              <w:rPr>
                <w:rFonts w:hint="eastAsia" w:eastAsia="宋体"/>
                <w:vertAlign w:val="baseline"/>
                <w:lang w:val="en-US" w:eastAsia="zh-CN"/>
              </w:rPr>
            </w:pPr>
          </w:p>
          <w:p>
            <w:pPr>
              <w:rPr>
                <w:rFonts w:hint="eastAsia" w:eastAsia="宋体"/>
                <w:vertAlign w:val="baseline"/>
                <w:lang w:val="en-US" w:eastAsia="zh-CN"/>
              </w:rPr>
            </w:pPr>
          </w:p>
          <w:p>
            <w:pPr>
              <w:rPr>
                <w:rFonts w:hint="eastAsia" w:eastAsia="宋体"/>
                <w:vertAlign w:val="baseline"/>
                <w:lang w:val="en-US" w:eastAsia="zh-CN"/>
              </w:rPr>
            </w:pPr>
          </w:p>
          <w:p>
            <w:pPr>
              <w:rPr>
                <w:rFonts w:hint="eastAsia" w:eastAsia="宋体"/>
                <w:vertAlign w:val="baseline"/>
                <w:lang w:val="en-US" w:eastAsia="zh-CN"/>
              </w:rPr>
            </w:pPr>
          </w:p>
          <w:p>
            <w:pPr>
              <w:rPr>
                <w:rFonts w:hint="eastAsia" w:eastAsia="宋体"/>
                <w:vertAlign w:val="baseline"/>
                <w:lang w:val="en-US" w:eastAsia="zh-CN"/>
              </w:rPr>
            </w:pPr>
          </w:p>
          <w:p>
            <w:pPr>
              <w:rPr>
                <w:rFonts w:hint="eastAsia" w:eastAsia="宋体"/>
                <w:vertAlign w:val="baseline"/>
                <w:lang w:val="en-US" w:eastAsia="zh-CN"/>
              </w:rPr>
            </w:pPr>
          </w:p>
          <w:p>
            <w:pPr>
              <w:rPr>
                <w:rFonts w:hint="eastAsia" w:eastAsia="宋体"/>
                <w:vertAlign w:val="baseline"/>
                <w:lang w:val="en-US" w:eastAsia="zh-CN"/>
              </w:rPr>
            </w:pPr>
          </w:p>
        </w:tc>
      </w:tr>
    </w:tbl>
    <w:p>
      <w:pPr>
        <w:rPr>
          <w:rFonts w:hint="default"/>
          <w:lang w:val="en-US" w:eastAsia="zh-CN"/>
        </w:rPr>
        <w:sectPr>
          <w:pgSz w:w="12240" w:h="15840"/>
          <w:pgMar w:top="1440" w:right="1800" w:bottom="1440" w:left="1800" w:header="720" w:footer="720" w:gutter="0"/>
          <w:lnNumType w:countBy="0" w:distance="360"/>
          <w:cols w:space="720" w:num="1"/>
          <w:docGrid w:type="lines" w:linePitch="312" w:charSpace="0"/>
        </w:sectPr>
      </w:pPr>
    </w:p>
    <w:p>
      <w:pPr>
        <w:keepNext w:val="0"/>
        <w:keepLines w:val="0"/>
        <w:pageBreakBefore w:val="0"/>
        <w:widowControl/>
        <w:kinsoku/>
        <w:wordWrap/>
        <w:overflowPunct/>
        <w:topLinePunct w:val="0"/>
        <w:autoSpaceDE/>
        <w:autoSpaceDN/>
        <w:bidi w:val="0"/>
        <w:adjustRightInd/>
        <w:snapToGrid/>
        <w:spacing w:after="0" w:line="360" w:lineRule="auto"/>
        <w:jc w:val="left"/>
        <w:textAlignment w:val="auto"/>
        <w:rPr>
          <w:rFonts w:hint="eastAsia" w:ascii="宋体" w:hAnsi="宋体" w:eastAsia="宋体" w:cs="宋体"/>
          <w:b/>
          <w:sz w:val="28"/>
          <w:szCs w:val="28"/>
        </w:rPr>
      </w:pPr>
      <w:r>
        <w:rPr>
          <w:rFonts w:hint="eastAsia" w:ascii="宋体" w:hAnsi="宋体" w:eastAsia="宋体" w:cs="宋体"/>
          <w:b/>
          <w:sz w:val="28"/>
          <w:szCs w:val="28"/>
        </w:rPr>
        <w:t>表八</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856" w:type="dxa"/>
          </w:tcPr>
          <w:p>
            <w:pPr>
              <w:keepNext w:val="0"/>
              <w:keepLines w:val="0"/>
              <w:pageBreakBefore w:val="0"/>
              <w:widowControl/>
              <w:tabs>
                <w:tab w:val="left" w:pos="3480"/>
              </w:tabs>
              <w:kinsoku/>
              <w:wordWrap/>
              <w:overflowPunct/>
              <w:topLinePunct w:val="0"/>
              <w:autoSpaceDE/>
              <w:autoSpaceDN/>
              <w:bidi w:val="0"/>
              <w:adjustRightInd/>
              <w:snapToGrid/>
              <w:spacing w:after="0" w:line="360" w:lineRule="auto"/>
              <w:textAlignment w:val="auto"/>
              <w:outlineLvl w:val="0"/>
              <w:rPr>
                <w:rFonts w:hint="default" w:ascii="Times New Roman" w:hAnsi="Times New Roman" w:eastAsia="宋体" w:cs="Times New Roman"/>
                <w:b/>
                <w:bCs/>
                <w:color w:val="0C0C0C"/>
                <w:sz w:val="24"/>
              </w:rPr>
            </w:pPr>
            <w:bookmarkStart w:id="9" w:name="_Toc1609"/>
            <w:bookmarkStart w:id="10" w:name="_Toc24842"/>
            <w:r>
              <w:rPr>
                <w:rFonts w:hint="default" w:ascii="Times New Roman" w:hAnsi="Times New Roman" w:eastAsia="宋体" w:cs="Times New Roman"/>
                <w:b/>
                <w:bCs/>
                <w:color w:val="0C0C0C"/>
                <w:sz w:val="24"/>
              </w:rPr>
              <w:t>验收监测结论：</w:t>
            </w:r>
          </w:p>
          <w:p>
            <w:pPr>
              <w:keepNext w:val="0"/>
              <w:keepLines w:val="0"/>
              <w:pageBreakBefore w:val="0"/>
              <w:widowControl/>
              <w:tabs>
                <w:tab w:val="left" w:pos="3480"/>
              </w:tabs>
              <w:kinsoku/>
              <w:wordWrap/>
              <w:overflowPunct/>
              <w:topLinePunct w:val="0"/>
              <w:autoSpaceDE/>
              <w:autoSpaceDN/>
              <w:bidi w:val="0"/>
              <w:adjustRightInd/>
              <w:snapToGrid/>
              <w:spacing w:after="0" w:line="360" w:lineRule="auto"/>
              <w:ind w:firstLine="482" w:firstLineChars="200"/>
              <w:textAlignment w:val="auto"/>
              <w:outlineLvl w:val="0"/>
              <w:rPr>
                <w:rFonts w:hint="default" w:ascii="Times New Roman" w:hAnsi="Times New Roman" w:eastAsia="宋体" w:cs="Times New Roman"/>
                <w:b/>
                <w:bCs/>
                <w:color w:val="0C0C0C"/>
                <w:sz w:val="24"/>
              </w:rPr>
            </w:pPr>
            <w:r>
              <w:rPr>
                <w:rFonts w:hint="default" w:ascii="Times New Roman" w:hAnsi="Times New Roman" w:eastAsia="宋体" w:cs="Times New Roman"/>
                <w:b/>
                <w:bCs/>
                <w:color w:val="0C0C0C"/>
                <w:sz w:val="24"/>
              </w:rPr>
              <w:t>1、工况及“三同时”执行情况</w:t>
            </w:r>
            <w:bookmarkEnd w:id="9"/>
            <w:bookmarkEnd w:id="10"/>
          </w:p>
          <w:p>
            <w:pPr>
              <w:keepNext w:val="0"/>
              <w:keepLines w:val="0"/>
              <w:pageBreakBefore w:val="0"/>
              <w:widowControl/>
              <w:kinsoku/>
              <w:wordWrap/>
              <w:overflowPunct/>
              <w:topLinePunct w:val="0"/>
              <w:autoSpaceDE/>
              <w:autoSpaceDN/>
              <w:bidi w:val="0"/>
              <w:adjustRightInd/>
              <w:snapToGrid/>
              <w:spacing w:after="0" w:line="360" w:lineRule="auto"/>
              <w:ind w:firstLine="480" w:firstLineChars="200"/>
              <w:textAlignment w:val="auto"/>
              <w:rPr>
                <w:rFonts w:hint="default" w:ascii="Times New Roman" w:hAnsi="Times New Roman" w:eastAsia="宋体" w:cs="Times New Roman"/>
                <w:bCs/>
                <w:sz w:val="24"/>
              </w:rPr>
            </w:pPr>
            <w:r>
              <w:rPr>
                <w:rFonts w:hint="eastAsia" w:ascii="Times New Roman" w:hAnsi="Times New Roman" w:eastAsia="宋体" w:cs="Times New Roman"/>
                <w:sz w:val="24"/>
                <w:lang w:val="en-US" w:eastAsia="zh-CN"/>
              </w:rPr>
              <w:t>安徽思睿辰新材料</w:t>
            </w:r>
            <w:r>
              <w:rPr>
                <w:rFonts w:hint="default" w:ascii="Times New Roman" w:hAnsi="Times New Roman" w:eastAsia="宋体" w:cs="Times New Roman"/>
                <w:sz w:val="24"/>
                <w:lang w:eastAsia="zh-CN"/>
              </w:rPr>
              <w:t>有限公司</w:t>
            </w:r>
            <w:r>
              <w:rPr>
                <w:rFonts w:hint="default" w:ascii="Times New Roman" w:hAnsi="Times New Roman" w:eastAsia="宋体" w:cs="Times New Roman"/>
                <w:bCs/>
                <w:sz w:val="24"/>
                <w:lang w:eastAsia="zh-CN"/>
              </w:rPr>
              <w:t>年</w:t>
            </w:r>
            <w:r>
              <w:rPr>
                <w:rFonts w:hint="eastAsia" w:ascii="Times New Roman" w:hAnsi="Times New Roman" w:eastAsia="宋体" w:cs="Times New Roman"/>
                <w:bCs/>
                <w:sz w:val="24"/>
                <w:lang w:val="en-US" w:eastAsia="zh-CN"/>
              </w:rPr>
              <w:t>陶瓷覆铜板</w:t>
            </w:r>
            <w:r>
              <w:rPr>
                <w:rFonts w:hint="default" w:ascii="Times New Roman" w:hAnsi="Times New Roman" w:eastAsia="宋体" w:cs="Times New Roman"/>
                <w:bCs/>
                <w:sz w:val="24"/>
                <w:lang w:eastAsia="zh-CN"/>
              </w:rPr>
              <w:t>项目</w:t>
            </w:r>
            <w:r>
              <w:rPr>
                <w:rFonts w:hint="default" w:ascii="Times New Roman" w:hAnsi="Times New Roman" w:eastAsia="宋体" w:cs="Times New Roman"/>
                <w:bCs/>
                <w:sz w:val="24"/>
              </w:rPr>
              <w:t>已按照</w:t>
            </w:r>
            <w:r>
              <w:rPr>
                <w:rFonts w:hint="default" w:ascii="Times New Roman" w:hAnsi="Times New Roman" w:eastAsia="宋体" w:cs="Times New Roman"/>
                <w:bCs/>
                <w:sz w:val="24"/>
                <w:highlight w:val="none"/>
              </w:rPr>
              <w:t>国家有关建设项目环境管理法规要求，进行了环境影响评价，并</w:t>
            </w:r>
            <w:r>
              <w:rPr>
                <w:rFonts w:hint="default" w:ascii="Times New Roman" w:hAnsi="Times New Roman" w:eastAsia="宋体" w:cs="Times New Roman"/>
                <w:bCs/>
                <w:sz w:val="24"/>
                <w:highlight w:val="none"/>
                <w:lang w:eastAsia="zh-CN"/>
              </w:rPr>
              <w:t>于</w:t>
            </w:r>
            <w:r>
              <w:rPr>
                <w:rFonts w:hint="default" w:ascii="Times New Roman" w:hAnsi="Times New Roman" w:eastAsia="宋体" w:cs="Times New Roman"/>
                <w:bCs/>
                <w:sz w:val="24"/>
                <w:highlight w:val="none"/>
                <w:lang w:val="en-US" w:eastAsia="zh-CN"/>
              </w:rPr>
              <w:t>2023年</w:t>
            </w:r>
            <w:r>
              <w:rPr>
                <w:rFonts w:hint="eastAsia" w:ascii="Times New Roman" w:hAnsi="Times New Roman" w:eastAsia="宋体" w:cs="Times New Roman"/>
                <w:bCs/>
                <w:sz w:val="24"/>
                <w:highlight w:val="none"/>
                <w:lang w:val="en-US" w:eastAsia="zh-CN"/>
              </w:rPr>
              <w:t>6</w:t>
            </w:r>
            <w:r>
              <w:rPr>
                <w:rFonts w:hint="default" w:ascii="Times New Roman" w:hAnsi="Times New Roman" w:eastAsia="宋体" w:cs="Times New Roman"/>
                <w:bCs/>
                <w:sz w:val="24"/>
                <w:highlight w:val="none"/>
                <w:lang w:val="en-US" w:eastAsia="zh-CN"/>
              </w:rPr>
              <w:t>月</w:t>
            </w:r>
            <w:r>
              <w:rPr>
                <w:rFonts w:hint="eastAsia" w:ascii="Times New Roman" w:hAnsi="Times New Roman" w:eastAsia="宋体" w:cs="Times New Roman"/>
                <w:bCs/>
                <w:sz w:val="24"/>
                <w:highlight w:val="none"/>
                <w:lang w:val="en-US" w:eastAsia="zh-CN"/>
              </w:rPr>
              <w:t>6</w:t>
            </w:r>
            <w:r>
              <w:rPr>
                <w:rFonts w:hint="default" w:ascii="Times New Roman" w:hAnsi="Times New Roman" w:eastAsia="宋体" w:cs="Times New Roman"/>
                <w:bCs/>
                <w:sz w:val="24"/>
                <w:highlight w:val="none"/>
                <w:lang w:val="en-US" w:eastAsia="zh-CN"/>
              </w:rPr>
              <w:t>日，完成排污许可证登记，并取得固定污染源排污登记回执，登记编号91341524MA8PBTXF6Y001X</w:t>
            </w:r>
            <w:r>
              <w:rPr>
                <w:rFonts w:hint="default" w:ascii="Times New Roman" w:hAnsi="Times New Roman" w:eastAsia="宋体" w:cs="Times New Roman"/>
                <w:bCs/>
                <w:sz w:val="24"/>
              </w:rPr>
              <w:t>，工程相应的环保设施与主体工程同时设计、同时施工、同时投入使用，基本符合“三同时”的要求。建设内容组成不涉及重大变动，符合</w:t>
            </w:r>
            <w:r>
              <w:rPr>
                <w:rFonts w:hint="default" w:ascii="Times New Roman" w:hAnsi="Times New Roman" w:eastAsia="宋体" w:cs="Times New Roman"/>
                <w:sz w:val="24"/>
              </w:rPr>
              <w:t>《建设项目竣工环境保护验收暂行办法》规定，现场检查符合验收条件。</w:t>
            </w:r>
          </w:p>
          <w:p>
            <w:pPr>
              <w:keepNext w:val="0"/>
              <w:keepLines w:val="0"/>
              <w:pageBreakBefore w:val="0"/>
              <w:widowControl/>
              <w:kinsoku/>
              <w:wordWrap/>
              <w:overflowPunct/>
              <w:topLinePunct w:val="0"/>
              <w:autoSpaceDE/>
              <w:autoSpaceDN/>
              <w:bidi w:val="0"/>
              <w:adjustRightInd/>
              <w:snapToGrid/>
              <w:spacing w:after="0" w:line="360" w:lineRule="auto"/>
              <w:ind w:firstLine="480" w:firstLineChars="200"/>
              <w:textAlignment w:val="auto"/>
              <w:rPr>
                <w:rFonts w:hint="default" w:ascii="Times New Roman" w:hAnsi="Times New Roman" w:eastAsia="宋体" w:cs="Times New Roman"/>
                <w:bCs/>
                <w:sz w:val="24"/>
              </w:rPr>
            </w:pPr>
            <w:r>
              <w:rPr>
                <w:rFonts w:hint="default" w:ascii="Times New Roman" w:hAnsi="Times New Roman" w:eastAsia="宋体" w:cs="Times New Roman"/>
                <w:bCs/>
                <w:sz w:val="24"/>
              </w:rPr>
              <w:t>生产调试期间，各类环保设施运行正常，满足验收监测技术规范要求。监测结果具有代表性。</w:t>
            </w:r>
          </w:p>
          <w:p>
            <w:pPr>
              <w:pStyle w:val="31"/>
              <w:keepNext w:val="0"/>
              <w:keepLines w:val="0"/>
              <w:pageBreakBefore w:val="0"/>
              <w:widowControl/>
              <w:kinsoku/>
              <w:wordWrap/>
              <w:overflowPunct/>
              <w:topLinePunct w:val="0"/>
              <w:autoSpaceDE/>
              <w:autoSpaceDN/>
              <w:bidi w:val="0"/>
              <w:adjustRightInd/>
              <w:snapToGrid/>
              <w:spacing w:after="0"/>
              <w:ind w:firstLine="482" w:firstLineChars="200"/>
              <w:jc w:val="both"/>
              <w:textAlignment w:val="auto"/>
              <w:outlineLvl w:val="1"/>
              <w:rPr>
                <w:rFonts w:hint="default" w:ascii="Times New Roman" w:hAnsi="Times New Roman" w:eastAsia="宋体" w:cs="Times New Roman"/>
                <w:b/>
                <w:bCs/>
                <w:color w:val="0C0C0C"/>
              </w:rPr>
            </w:pPr>
            <w:bookmarkStart w:id="11" w:name="_Toc6969"/>
            <w:bookmarkStart w:id="12" w:name="_Toc16263"/>
            <w:bookmarkStart w:id="13" w:name="_Toc512519602"/>
            <w:r>
              <w:rPr>
                <w:rFonts w:hint="default" w:ascii="Times New Roman" w:hAnsi="Times New Roman" w:eastAsia="宋体" w:cs="Times New Roman"/>
                <w:b/>
                <w:bCs/>
                <w:color w:val="0C0C0C"/>
              </w:rPr>
              <w:t>2、</w:t>
            </w:r>
            <w:bookmarkEnd w:id="11"/>
            <w:bookmarkEnd w:id="12"/>
            <w:bookmarkEnd w:id="13"/>
            <w:r>
              <w:rPr>
                <w:rFonts w:hint="default" w:ascii="Times New Roman" w:hAnsi="Times New Roman" w:eastAsia="宋体" w:cs="Times New Roman"/>
                <w:b/>
                <w:bCs/>
                <w:color w:val="0C0C0C"/>
              </w:rPr>
              <w:t>污染物排放监测结果</w:t>
            </w:r>
          </w:p>
          <w:p>
            <w:pPr>
              <w:pStyle w:val="31"/>
              <w:keepNext w:val="0"/>
              <w:keepLines w:val="0"/>
              <w:pageBreakBefore w:val="0"/>
              <w:widowControl/>
              <w:numPr>
                <w:ilvl w:val="0"/>
                <w:numId w:val="0"/>
              </w:numPr>
              <w:kinsoku/>
              <w:wordWrap/>
              <w:overflowPunct/>
              <w:topLinePunct w:val="0"/>
              <w:autoSpaceDE/>
              <w:autoSpaceDN/>
              <w:bidi w:val="0"/>
              <w:adjustRightInd/>
              <w:snapToGrid/>
              <w:spacing w:after="0"/>
              <w:ind w:left="-40" w:leftChars="0" w:firstLine="480" w:firstLineChars="0"/>
              <w:jc w:val="both"/>
              <w:textAlignment w:val="auto"/>
              <w:rPr>
                <w:rFonts w:hint="eastAsia" w:ascii="Times New Roman" w:hAnsi="Times New Roman" w:eastAsia="宋体" w:cs="Times New Roman"/>
                <w:lang w:val="en-US" w:eastAsia="zh-CN"/>
              </w:rPr>
            </w:pPr>
            <w:bookmarkStart w:id="14" w:name="_Toc500598051"/>
            <w:bookmarkStart w:id="15" w:name="_Toc500754030"/>
            <w:r>
              <w:rPr>
                <w:rFonts w:hint="default" w:ascii="Times New Roman" w:hAnsi="Times New Roman" w:eastAsia="宋体" w:cs="Times New Roman"/>
                <w:kern w:val="0"/>
                <w:sz w:val="24"/>
                <w:szCs w:val="22"/>
                <w:lang w:val="en-US" w:eastAsia="zh-CN" w:bidi="ar-SA"/>
              </w:rPr>
              <w:t>（1）</w:t>
            </w:r>
            <w:r>
              <w:rPr>
                <w:rFonts w:hint="eastAsia" w:ascii="Times New Roman" w:hAnsi="Times New Roman" w:eastAsia="宋体" w:cs="Times New Roman"/>
                <w:lang w:val="en-US" w:eastAsia="zh-CN"/>
              </w:rPr>
              <w:t>噪声监测结论</w:t>
            </w:r>
          </w:p>
          <w:p>
            <w:pPr>
              <w:pStyle w:val="31"/>
              <w:keepNext w:val="0"/>
              <w:keepLines w:val="0"/>
              <w:pageBreakBefore w:val="0"/>
              <w:widowControl/>
              <w:numPr>
                <w:ilvl w:val="0"/>
                <w:numId w:val="0"/>
              </w:numPr>
              <w:kinsoku/>
              <w:wordWrap/>
              <w:overflowPunct/>
              <w:topLinePunct w:val="0"/>
              <w:autoSpaceDE/>
              <w:autoSpaceDN/>
              <w:bidi w:val="0"/>
              <w:adjustRightInd/>
              <w:snapToGrid/>
              <w:spacing w:after="0"/>
              <w:ind w:left="0" w:leftChars="0" w:firstLine="480" w:firstLineChars="200"/>
              <w:jc w:val="both"/>
              <w:textAlignment w:val="auto"/>
              <w:rPr>
                <w:rFonts w:hint="default" w:ascii="Times New Roman" w:hAnsi="Times New Roman" w:eastAsia="宋体" w:cs="Times New Roman"/>
                <w:color w:val="0C0C0C"/>
                <w:lang w:val="en-US" w:eastAsia="zh-CN"/>
              </w:rPr>
            </w:pPr>
            <w:r>
              <w:rPr>
                <w:rFonts w:hint="default" w:ascii="Times New Roman" w:hAnsi="Times New Roman" w:eastAsia="宋体" w:cs="Times New Roman"/>
              </w:rPr>
              <w:t>本项目产生的噪声主要来自于设备噪声</w:t>
            </w:r>
            <w:r>
              <w:rPr>
                <w:rFonts w:hint="default" w:ascii="Times New Roman" w:hAnsi="Times New Roman" w:eastAsia="宋体" w:cs="Times New Roman"/>
                <w:bCs/>
                <w:color w:val="000000"/>
              </w:rPr>
              <w:t>，本项目已采取基础减震、设备隔声、厂房隔声以及选用低噪声设备等措施。根据监测结果表明</w:t>
            </w:r>
            <w:r>
              <w:rPr>
                <w:rFonts w:hint="default" w:ascii="Times New Roman" w:hAnsi="Times New Roman" w:eastAsia="宋体" w:cs="Times New Roman"/>
                <w:color w:val="0C0C0C"/>
              </w:rPr>
              <w:t>，厂界噪声均符合《工业企业厂界环境噪声排放标准》（GB12348-2008）</w:t>
            </w:r>
            <w:r>
              <w:rPr>
                <w:rFonts w:hint="eastAsia" w:ascii="Times New Roman" w:hAnsi="Times New Roman" w:eastAsia="宋体" w:cs="Times New Roman"/>
                <w:color w:val="0C0C0C"/>
                <w:lang w:val="en-US" w:eastAsia="zh-CN"/>
              </w:rPr>
              <w:t>2</w:t>
            </w:r>
            <w:r>
              <w:rPr>
                <w:rFonts w:hint="default" w:ascii="Times New Roman" w:hAnsi="Times New Roman" w:eastAsia="宋体" w:cs="Times New Roman"/>
                <w:color w:val="0C0C0C"/>
              </w:rPr>
              <w:t>类区标准限值要求。</w:t>
            </w:r>
            <w:bookmarkEnd w:id="14"/>
            <w:bookmarkEnd w:id="15"/>
          </w:p>
          <w:p>
            <w:pPr>
              <w:pStyle w:val="3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cs="Times New Roman"/>
                <w:b/>
                <w:bCs w:val="0"/>
                <w:lang w:val="en-US" w:eastAsia="zh-CN"/>
              </w:rPr>
            </w:pPr>
            <w:r>
              <w:rPr>
                <w:rFonts w:hint="default" w:ascii="Times New Roman" w:hAnsi="Times New Roman" w:eastAsia="宋体" w:cs="Times New Roman"/>
                <w:b/>
                <w:bCs w:val="0"/>
                <w:lang w:val="en-US" w:eastAsia="zh-CN"/>
              </w:rPr>
              <w:t>3、</w:t>
            </w:r>
            <w:r>
              <w:rPr>
                <w:rFonts w:hint="eastAsia" w:ascii="Times New Roman" w:hAnsi="Times New Roman" w:eastAsia="宋体" w:cs="Times New Roman"/>
                <w:b/>
                <w:bCs w:val="0"/>
                <w:lang w:val="en-US" w:eastAsia="zh-CN"/>
              </w:rPr>
              <w:t>验收结论、建议</w:t>
            </w:r>
          </w:p>
          <w:p>
            <w:pPr>
              <w:pStyle w:val="31"/>
              <w:rPr>
                <w:rFonts w:hint="default" w:ascii="Times New Roman" w:hAnsi="Times New Roman" w:eastAsia="宋体" w:cs="Times New Roman"/>
                <w:bCs/>
              </w:rPr>
            </w:pPr>
            <w:r>
              <w:rPr>
                <w:rFonts w:hint="default" w:ascii="Times New Roman" w:hAnsi="Times New Roman" w:eastAsia="宋体" w:cs="Times New Roman"/>
                <w:bCs/>
              </w:rPr>
              <w:t>项目已根据环评及批复要求落实污染防治措施，建成内容不涉及重大变动。验收监测期间，项目工况稳定，各类环保设施运行正常，根据监测结果，各项污染防治措施均达到验收要求，对周边环境影响可以接受，故可对其提出项目阶段性竣工环境验收合格的意见。</w:t>
            </w:r>
          </w:p>
          <w:p>
            <w:pPr>
              <w:pStyle w:val="2"/>
              <w:rPr>
                <w:rFonts w:hint="eastAsia"/>
                <w:vertAlign w:val="baseline"/>
                <w:lang w:val="en-US" w:eastAsia="zh-CN"/>
              </w:rPr>
            </w:pPr>
          </w:p>
          <w:p>
            <w:pPr>
              <w:pStyle w:val="2"/>
              <w:rPr>
                <w:rFonts w:hint="eastAsia"/>
                <w:vertAlign w:val="baseline"/>
                <w:lang w:val="en-US" w:eastAsia="zh-CN"/>
              </w:rPr>
            </w:pPr>
          </w:p>
          <w:p>
            <w:pPr>
              <w:pStyle w:val="2"/>
              <w:rPr>
                <w:rFonts w:hint="eastAsia"/>
                <w:vertAlign w:val="baseline"/>
                <w:lang w:val="en-US" w:eastAsia="zh-CN"/>
              </w:rPr>
            </w:pPr>
          </w:p>
          <w:p>
            <w:pPr>
              <w:pStyle w:val="2"/>
              <w:rPr>
                <w:rFonts w:hint="eastAsia"/>
                <w:vertAlign w:val="baseline"/>
                <w:lang w:val="en-US" w:eastAsia="zh-CN"/>
              </w:rPr>
            </w:pPr>
          </w:p>
          <w:p>
            <w:pPr>
              <w:pStyle w:val="2"/>
              <w:rPr>
                <w:rFonts w:hint="default"/>
                <w:vertAlign w:val="baseline"/>
                <w:lang w:val="en-US" w:eastAsia="zh-CN"/>
              </w:rPr>
            </w:pPr>
          </w:p>
        </w:tc>
      </w:tr>
    </w:tbl>
    <w:p>
      <w:pPr>
        <w:spacing w:line="220" w:lineRule="atLeast"/>
        <w:rPr>
          <w:rFonts w:hint="default" w:eastAsia="微软雅黑"/>
          <w:lang w:val="en-US" w:eastAsia="zh-CN"/>
        </w:rPr>
      </w:pPr>
    </w:p>
    <w:sectPr>
      <w:pgSz w:w="12240" w:h="15840"/>
      <w:pgMar w:top="1440" w:right="1800" w:bottom="1440" w:left="1800" w:header="720" w:footer="720" w:gutter="0"/>
      <w:lnNumType w:countBy="0" w:distance="360"/>
      <w:cols w:space="720"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姚运" w:date="2023-06-10T17:26:43Z" w:initials="">
    <w:p w14:paraId="44D051CB">
      <w:pPr>
        <w:pStyle w:val="6"/>
      </w:pPr>
      <w:r>
        <w:annotationRef/>
      </w:r>
    </w:p>
  </w:comment>
  <w:comment w:id="1" w:author="姚运" w:date="2023-06-10T17:27:23Z" w:initials="">
    <w:p w14:paraId="69777BD6">
      <w:pPr>
        <w:pStyle w:val="6"/>
        <w:rPr>
          <w:rFonts w:hint="default" w:eastAsia="微软雅黑"/>
          <w:lang w:val="en-US" w:eastAsia="zh-CN"/>
        </w:rPr>
      </w:pPr>
      <w:r>
        <w:rPr>
          <w:rFonts w:hint="eastAsia"/>
          <w:lang w:eastAsia="zh-CN"/>
        </w:rPr>
        <w:t>（</w:t>
      </w:r>
      <w:r>
        <w:rPr>
          <w:rFonts w:hint="eastAsia"/>
          <w:lang w:val="en-US" w:eastAsia="zh-CN"/>
        </w:rPr>
        <w:t>阶段性）</w:t>
      </w:r>
    </w:p>
  </w:comment>
  <w:comment w:id="2" w:author="姚运" w:date="2023-06-10T17:45:11Z" w:initials="">
    <w:p w14:paraId="1A4E5FA6">
      <w:pPr>
        <w:pStyle w:val="6"/>
      </w:pPr>
      <w:r>
        <w:annotationRef/>
      </w:r>
    </w:p>
  </w:comment>
  <w:comment w:id="3" w:author="姚运" w:date="2023-06-10T17:32:54Z" w:initials="">
    <w:p w14:paraId="6ACC436B">
      <w:pPr>
        <w:pStyle w:val="6"/>
      </w:pPr>
      <w:r>
        <w:annotationRef/>
      </w:r>
    </w:p>
  </w:comment>
  <w:comment w:id="4" w:author="姚运" w:date="2023-06-10T17:36:45Z" w:initials="">
    <w:p w14:paraId="6E5942B1">
      <w:pPr>
        <w:pStyle w:val="6"/>
        <w:rPr>
          <w:rFonts w:hint="eastAsia" w:eastAsia="微软雅黑"/>
          <w:lang w:val="en-US" w:eastAsia="zh-CN"/>
        </w:rPr>
      </w:pPr>
      <w:r>
        <w:rPr>
          <w:rFonts w:hint="eastAsia"/>
          <w:lang w:val="en-US" w:eastAsia="zh-CN"/>
        </w:rPr>
        <w:t>删</w:t>
      </w:r>
    </w:p>
  </w:comment>
  <w:comment w:id="5" w:author="姚运" w:date="2023-06-10T17:37:09Z" w:initials="">
    <w:p w14:paraId="78D7390E">
      <w:pPr>
        <w:pStyle w:val="6"/>
        <w:rPr>
          <w:rFonts w:hint="eastAsia" w:eastAsia="微软雅黑"/>
          <w:lang w:val="en-US" w:eastAsia="zh-CN"/>
        </w:rPr>
      </w:pPr>
      <w:r>
        <w:rPr>
          <w:rFonts w:hint="eastAsia"/>
          <w:lang w:val="en-US" w:eastAsia="zh-CN"/>
        </w:rPr>
        <w:t>删</w:t>
      </w:r>
    </w:p>
  </w:comment>
  <w:comment w:id="6" w:author="姚运" w:date="2023-06-10T17:37:24Z" w:initials="">
    <w:p w14:paraId="6C9E7EF5">
      <w:pPr>
        <w:pStyle w:val="6"/>
        <w:rPr>
          <w:rFonts w:hint="eastAsia" w:eastAsia="微软雅黑"/>
          <w:lang w:val="en-US" w:eastAsia="zh-CN"/>
        </w:rPr>
      </w:pPr>
      <w:r>
        <w:rPr>
          <w:rFonts w:hint="eastAsia"/>
          <w:lang w:val="en-US" w:eastAsia="zh-CN"/>
        </w:rPr>
        <w:t>删</w:t>
      </w:r>
    </w:p>
  </w:comment>
  <w:comment w:id="7" w:author="姚运" w:date="2023-06-10T17:37:32Z" w:initials="">
    <w:p w14:paraId="494B7248">
      <w:pPr>
        <w:pStyle w:val="6"/>
        <w:rPr>
          <w:rFonts w:hint="eastAsia" w:eastAsia="微软雅黑"/>
          <w:lang w:val="en-US" w:eastAsia="zh-CN"/>
        </w:rPr>
      </w:pPr>
      <w:r>
        <w:rPr>
          <w:rFonts w:hint="eastAsia"/>
          <w:lang w:val="en-US" w:eastAsia="zh-CN"/>
        </w:rPr>
        <w:t>删</w:t>
      </w:r>
    </w:p>
  </w:comment>
  <w:comment w:id="8" w:author="姚运" w:date="2023-06-10T17:41:13Z" w:initials="">
    <w:p w14:paraId="0A105068">
      <w:pPr>
        <w:pStyle w:val="6"/>
      </w:pPr>
      <w:r>
        <w:annotationRef/>
      </w:r>
    </w:p>
  </w:comment>
  <w:comment w:id="9" w:author="姚运" w:date="2023-06-10T17:42:34Z" w:initials="">
    <w:p w14:paraId="176055CE">
      <w:pPr>
        <w:pStyle w:val="6"/>
        <w:rPr>
          <w:rFonts w:hint="default" w:eastAsia="微软雅黑"/>
          <w:lang w:val="en-US" w:eastAsia="zh-CN"/>
        </w:rPr>
      </w:pPr>
      <w:r>
        <w:rPr>
          <w:rFonts w:hint="eastAsia"/>
          <w:lang w:val="en-US" w:eastAsia="zh-CN"/>
        </w:rPr>
        <w:t>表格里字体为五号字体</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44D051CB" w15:done="0"/>
  <w15:commentEx w15:paraId="69777BD6" w15:done="0"/>
  <w15:commentEx w15:paraId="1A4E5FA6" w15:done="0"/>
  <w15:commentEx w15:paraId="6ACC436B" w15:done="0"/>
  <w15:commentEx w15:paraId="6E5942B1" w15:done="0"/>
  <w15:commentEx w15:paraId="78D7390E" w15:done="0"/>
  <w15:commentEx w15:paraId="6C9E7EF5" w15:done="0"/>
  <w15:commentEx w15:paraId="494B7248" w15:done="0"/>
  <w15:commentEx w15:paraId="0A105068" w15:done="0"/>
  <w15:commentEx w15:paraId="176055CE"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PMingLiU">
    <w:altName w:val="PMingLiU-ExtB"/>
    <w:panose1 w:val="02020500000000000000"/>
    <w:charset w:val="88"/>
    <w:family w:val="roman"/>
    <w:pitch w:val="default"/>
    <w:sig w:usb0="00000000" w:usb1="00000000" w:usb2="00000016" w:usb3="00000000" w:csb0="00100001" w:csb1="00000000"/>
  </w:font>
  <w:font w:name="Arial Unicode MS">
    <w:altName w:val="Arial"/>
    <w:panose1 w:val="020B0604020202020204"/>
    <w:charset w:val="00"/>
    <w:family w:val="roman"/>
    <w:pitch w:val="default"/>
    <w:sig w:usb0="00000000" w:usb1="00000000" w:usb2="00000000" w:usb3="00000000" w:csb0="0000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p>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p>
  <w:p>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ahoma" w:hAnsi="Tahoma" w:eastAsia="微软雅黑" w:cstheme="minorBidi"/>
        <w:sz w:val="22"/>
        <w:szCs w:val="22"/>
        <w:lang w:val="en-US" w:eastAsia="zh-CN" w:bidi="ar-SA"/>
      </w:rPr>
      <w:id w:val="7207752"/>
      <w:docPartObj>
        <w:docPartGallery w:val="autotext"/>
      </w:docPartObj>
    </w:sdtPr>
    <w:sdtEndPr>
      <w:rPr>
        <w:rFonts w:ascii="Tahoma" w:hAnsi="Tahoma" w:eastAsia="微软雅黑" w:cstheme="minorBidi"/>
        <w:sz w:val="22"/>
        <w:szCs w:val="22"/>
        <w:lang w:val="en-US" w:eastAsia="zh-CN" w:bidi="ar-SA"/>
      </w:rPr>
    </w:sdtEndPr>
    <w:sdtContent>
      <w:p>
        <w:pPr>
          <w:pStyle w:val="10"/>
          <w:jc w:val="center"/>
        </w:pPr>
        <w:r>
          <w:fldChar w:fldCharType="begin"/>
        </w:r>
        <w:r>
          <w:instrText xml:space="preserve"> PAGE   \* MERGEFORMAT </w:instrText>
        </w:r>
        <w:r>
          <w:fldChar w:fldCharType="separate"/>
        </w:r>
        <w:r>
          <w:rPr>
            <w:lang w:val="zh-CN"/>
          </w:rPr>
          <w:t>17</w:t>
        </w:r>
        <w:r>
          <w:rPr>
            <w:lang w:val="zh-CN"/>
          </w:rPr>
          <w:fldChar w:fldCharType="end"/>
        </w:r>
      </w:p>
    </w:sdtContent>
  </w:sdt>
  <w:p>
    <w:pPr>
      <w:pStyle w:val="1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207752"/>
      <w:docPartObj>
        <w:docPartGallery w:val="autotext"/>
      </w:docPartObj>
    </w:sdtPr>
    <w:sdtContent>
      <w:p>
        <w:pPr>
          <w:pStyle w:val="10"/>
          <w:jc w:val="center"/>
        </w:pPr>
        <w:r>
          <w:fldChar w:fldCharType="begin"/>
        </w:r>
        <w:r>
          <w:instrText xml:space="preserve"> PAGE   \* MERGEFORMAT </w:instrText>
        </w:r>
        <w:r>
          <w:fldChar w:fldCharType="separate"/>
        </w:r>
        <w:r>
          <w:rPr>
            <w:lang w:val="zh-CN"/>
          </w:rPr>
          <w:t>17</w:t>
        </w:r>
        <w:r>
          <w:rPr>
            <w:lang w:val="zh-CN"/>
          </w:rPr>
          <w:fldChar w:fldCharType="end"/>
        </w:r>
      </w:p>
    </w:sdtContent>
  </w:sdt>
  <w:p>
    <w:pPr>
      <w:pStyle w:val="1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姚运">
    <w15:presenceInfo w15:providerId="WPS Office" w15:userId="168380594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6"/>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U2ODdhNmMwMWJkNjcxYTYzYTYwYjE0ODc3M2IyOWEifQ=="/>
  </w:docVars>
  <w:rsids>
    <w:rsidRoot w:val="00172A27"/>
    <w:rsid w:val="027D368D"/>
    <w:rsid w:val="12975798"/>
    <w:rsid w:val="1F134049"/>
    <w:rsid w:val="236773C3"/>
    <w:rsid w:val="24E836A4"/>
    <w:rsid w:val="2C1005F7"/>
    <w:rsid w:val="365D0EB4"/>
    <w:rsid w:val="3AC10AAD"/>
    <w:rsid w:val="3B667E31"/>
    <w:rsid w:val="42412B3C"/>
    <w:rsid w:val="4DE26193"/>
    <w:rsid w:val="4F904760"/>
    <w:rsid w:val="546B48B3"/>
    <w:rsid w:val="57565BE2"/>
    <w:rsid w:val="5B935E32"/>
    <w:rsid w:val="5E1D67A5"/>
    <w:rsid w:val="5F9721AC"/>
    <w:rsid w:val="63864A33"/>
    <w:rsid w:val="6C134FBF"/>
    <w:rsid w:val="6D43430D"/>
    <w:rsid w:val="719E1C66"/>
    <w:rsid w:val="76CE75B5"/>
    <w:rsid w:val="7E214F8E"/>
    <w:rsid w:val="7FF014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qFormat="1"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3">
    <w:name w:val="heading 4"/>
    <w:basedOn w:val="1"/>
    <w:next w:val="1"/>
    <w:unhideWhenUsed/>
    <w:qFormat/>
    <w:uiPriority w:val="9"/>
    <w:pPr>
      <w:keepNext/>
      <w:spacing w:beforeLines="0" w:afterLines="0" w:line="440" w:lineRule="exact"/>
      <w:jc w:val="center"/>
      <w:outlineLvl w:val="3"/>
    </w:pPr>
    <w:rPr>
      <w:rFonts w:hint="eastAsia" w:ascii="宋体" w:hAnsi="宋体" w:eastAsia="宋体"/>
      <w:b/>
      <w:sz w:val="22"/>
      <w:szCs w:val="20"/>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style>
  <w:style w:type="paragraph" w:styleId="4">
    <w:name w:val="List 3"/>
    <w:basedOn w:val="1"/>
    <w:qFormat/>
    <w:uiPriority w:val="0"/>
    <w:pPr>
      <w:widowControl w:val="0"/>
      <w:adjustRightInd/>
      <w:spacing w:line="240" w:lineRule="auto"/>
      <w:ind w:left="0" w:leftChars="0" w:firstLine="0" w:firstLineChars="0"/>
      <w:jc w:val="both"/>
      <w:textAlignment w:val="auto"/>
    </w:pPr>
    <w:rPr>
      <w:rFonts w:ascii="Times New Roman" w:hAnsi="Times New Roman" w:eastAsia="宋体" w:cs="Times New Roman"/>
      <w:kern w:val="2"/>
      <w:sz w:val="21"/>
      <w:szCs w:val="24"/>
      <w:lang w:val="en-US" w:eastAsia="zh-CN" w:bidi="ar-SA"/>
    </w:rPr>
  </w:style>
  <w:style w:type="paragraph" w:styleId="5">
    <w:name w:val="Normal Indent"/>
    <w:basedOn w:val="1"/>
    <w:next w:val="3"/>
    <w:unhideWhenUsed/>
    <w:qFormat/>
    <w:uiPriority w:val="99"/>
    <w:pPr>
      <w:spacing w:beforeLines="0" w:afterLines="0" w:line="360" w:lineRule="auto"/>
      <w:ind w:firstLine="600" w:firstLineChars="200"/>
    </w:pPr>
    <w:rPr>
      <w:rFonts w:hint="default" w:ascii="Times New Roman" w:hAnsi="Times New Roman" w:eastAsia="宋体"/>
      <w:sz w:val="24"/>
      <w:szCs w:val="22"/>
    </w:rPr>
  </w:style>
  <w:style w:type="paragraph" w:styleId="6">
    <w:name w:val="annotation text"/>
    <w:basedOn w:val="1"/>
    <w:qFormat/>
    <w:uiPriority w:val="0"/>
    <w:pPr>
      <w:jc w:val="left"/>
    </w:pPr>
  </w:style>
  <w:style w:type="paragraph" w:styleId="7">
    <w:name w:val="Body Text Indent"/>
    <w:basedOn w:val="1"/>
    <w:next w:val="8"/>
    <w:qFormat/>
    <w:uiPriority w:val="0"/>
    <w:pPr>
      <w:spacing w:after="120"/>
      <w:ind w:left="420" w:leftChars="200"/>
    </w:pPr>
    <w:rPr>
      <w:kern w:val="0"/>
      <w:sz w:val="24"/>
      <w:szCs w:val="20"/>
    </w:rPr>
  </w:style>
  <w:style w:type="paragraph" w:styleId="8">
    <w:name w:val="Body Text Indent 2"/>
    <w:basedOn w:val="1"/>
    <w:next w:val="9"/>
    <w:qFormat/>
    <w:uiPriority w:val="0"/>
    <w:pPr>
      <w:spacing w:after="120" w:line="480" w:lineRule="auto"/>
      <w:ind w:left="420" w:leftChars="200"/>
    </w:pPr>
    <w:rPr>
      <w:rFonts w:ascii="Times New Roman" w:hAnsi="Times New Roman" w:eastAsia="宋体" w:cs="Times New Roman"/>
      <w:kern w:val="0"/>
      <w:sz w:val="20"/>
    </w:rPr>
  </w:style>
  <w:style w:type="paragraph" w:styleId="9">
    <w:name w:val="Body Text First Indent 2"/>
    <w:basedOn w:val="7"/>
    <w:next w:val="1"/>
    <w:qFormat/>
    <w:uiPriority w:val="99"/>
    <w:pPr>
      <w:ind w:firstLine="420"/>
    </w:pPr>
  </w:style>
  <w:style w:type="paragraph" w:styleId="10">
    <w:name w:val="footer"/>
    <w:basedOn w:val="1"/>
    <w:unhideWhenUsed/>
    <w:qFormat/>
    <w:uiPriority w:val="99"/>
    <w:pPr>
      <w:tabs>
        <w:tab w:val="center" w:pos="4153"/>
        <w:tab w:val="right" w:pos="8306"/>
      </w:tabs>
    </w:pPr>
    <w:rPr>
      <w:sz w:val="18"/>
      <w:szCs w:val="18"/>
    </w:rPr>
  </w:style>
  <w:style w:type="paragraph" w:styleId="11">
    <w:name w:val="envelope return"/>
    <w:basedOn w:val="1"/>
    <w:unhideWhenUsed/>
    <w:qFormat/>
    <w:uiPriority w:val="0"/>
    <w:pPr>
      <w:snapToGrid w:val="0"/>
      <w:spacing w:beforeLines="0" w:afterLines="0" w:line="480" w:lineRule="exact"/>
    </w:pPr>
    <w:rPr>
      <w:rFonts w:hint="default" w:ascii="Arial" w:hAnsi="Arial" w:eastAsia="宋体" w:cs="Arial"/>
      <w:sz w:val="21"/>
      <w:szCs w:val="24"/>
    </w:rPr>
  </w:style>
  <w:style w:type="paragraph" w:styleId="12">
    <w:name w:val="Body Text 2"/>
    <w:basedOn w:val="1"/>
    <w:unhideWhenUsed/>
    <w:qFormat/>
    <w:uiPriority w:val="0"/>
    <w:pPr>
      <w:spacing w:beforeLines="0" w:after="120" w:afterLines="0" w:line="480" w:lineRule="auto"/>
    </w:pPr>
    <w:rPr>
      <w:rFonts w:hint="default"/>
      <w:sz w:val="20"/>
      <w:szCs w:val="22"/>
    </w:rPr>
  </w:style>
  <w:style w:type="paragraph" w:styleId="13">
    <w:name w:val="Normal (Web)"/>
    <w:basedOn w:val="1"/>
    <w:qFormat/>
    <w:uiPriority w:val="0"/>
    <w:pPr>
      <w:spacing w:before="0" w:beforeAutospacing="1" w:after="0" w:afterAutospacing="1"/>
      <w:ind w:left="0" w:right="0"/>
      <w:jc w:val="left"/>
    </w:pPr>
    <w:rPr>
      <w:kern w:val="0"/>
      <w:sz w:val="24"/>
      <w:lang w:val="en-US" w:eastAsia="zh-CN" w:bidi="ar"/>
    </w:rPr>
  </w:style>
  <w:style w:type="table" w:styleId="15">
    <w:name w:val="Table Grid"/>
    <w:basedOn w:val="14"/>
    <w:qFormat/>
    <w:uiPriority w:val="9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7">
    <w:name w:val="xl27"/>
    <w:basedOn w:val="1"/>
    <w:next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hint="eastAsia" w:ascii="PMingLiU" w:eastAsia="PMingLiU"/>
      <w:kern w:val="0"/>
      <w:sz w:val="16"/>
      <w:szCs w:val="16"/>
      <w:lang w:eastAsia="zh-TW"/>
    </w:rPr>
  </w:style>
  <w:style w:type="paragraph" w:customStyle="1" w:styleId="18">
    <w:name w:val="报告表正文"/>
    <w:basedOn w:val="1"/>
    <w:qFormat/>
    <w:uiPriority w:val="99"/>
    <w:pPr>
      <w:spacing w:line="360" w:lineRule="auto"/>
      <w:ind w:firstLine="200"/>
    </w:pPr>
    <w:rPr>
      <w:rFonts w:ascii="Calibri" w:hAnsi="Calibri"/>
      <w:kern w:val="0"/>
      <w:sz w:val="20"/>
      <w:szCs w:val="20"/>
      <w:lang w:val="zh-CN"/>
    </w:rPr>
  </w:style>
  <w:style w:type="paragraph" w:customStyle="1" w:styleId="19">
    <w:name w:val="标号正文"/>
    <w:basedOn w:val="1"/>
    <w:next w:val="1"/>
    <w:unhideWhenUsed/>
    <w:qFormat/>
    <w:uiPriority w:val="0"/>
    <w:pPr>
      <w:tabs>
        <w:tab w:val="left" w:pos="1540"/>
      </w:tabs>
      <w:overflowPunct w:val="0"/>
      <w:spacing w:beforeLines="0" w:afterLines="0" w:line="360" w:lineRule="auto"/>
      <w:ind w:firstLine="1040"/>
    </w:pPr>
    <w:rPr>
      <w:rFonts w:hint="default" w:ascii="Arial" w:hAnsi="Arial" w:eastAsia="宋体"/>
      <w:sz w:val="24"/>
      <w:szCs w:val="20"/>
    </w:rPr>
  </w:style>
  <w:style w:type="paragraph" w:customStyle="1" w:styleId="20">
    <w:name w:val="xl23"/>
    <w:basedOn w:val="1"/>
    <w:qFormat/>
    <w:uiPriority w:val="0"/>
    <w:pPr>
      <w:widowControl/>
      <w:spacing w:before="100" w:beforeAutospacing="1" w:after="100" w:afterAutospacing="1"/>
      <w:jc w:val="center"/>
    </w:pPr>
    <w:rPr>
      <w:rFonts w:ascii="Arial Unicode MS" w:hAnsi="Arial Unicode MS"/>
      <w:kern w:val="0"/>
      <w:sz w:val="24"/>
      <w:szCs w:val="20"/>
    </w:rPr>
  </w:style>
  <w:style w:type="paragraph" w:customStyle="1" w:styleId="21">
    <w:name w:val="报告表表格标题"/>
    <w:qFormat/>
    <w:uiPriority w:val="99"/>
    <w:pPr>
      <w:widowControl w:val="0"/>
      <w:snapToGrid w:val="0"/>
      <w:spacing w:line="360" w:lineRule="exact"/>
      <w:ind w:firstLine="200"/>
      <w:jc w:val="both"/>
    </w:pPr>
    <w:rPr>
      <w:rFonts w:ascii="Times New Roman" w:hAnsi="Times New Roman" w:eastAsia="宋体" w:cs="Times New Roman"/>
      <w:kern w:val="2"/>
      <w:sz w:val="21"/>
      <w:szCs w:val="24"/>
      <w:lang w:val="en-US" w:eastAsia="zh-CN" w:bidi="ar-SA"/>
    </w:rPr>
  </w:style>
  <w:style w:type="paragraph" w:customStyle="1" w:styleId="22">
    <w:name w:val="Default"/>
    <w:basedOn w:val="23"/>
    <w:next w:val="24"/>
    <w:qFormat/>
    <w:uiPriority w:val="0"/>
    <w:pPr>
      <w:widowControl w:val="0"/>
      <w:autoSpaceDE w:val="0"/>
      <w:autoSpaceDN w:val="0"/>
      <w:adjustRightInd w:val="0"/>
    </w:pPr>
    <w:rPr>
      <w:rFonts w:ascii="宋体" w:cs="宋体"/>
      <w:color w:val="000000"/>
      <w:sz w:val="24"/>
      <w:szCs w:val="24"/>
      <w:lang w:val="en-US" w:eastAsia="zh-CN" w:bidi="ar-SA"/>
    </w:rPr>
  </w:style>
  <w:style w:type="paragraph" w:customStyle="1" w:styleId="23">
    <w:name w:val="标题2"/>
    <w:basedOn w:val="1"/>
    <w:unhideWhenUsed/>
    <w:qFormat/>
    <w:uiPriority w:val="99"/>
    <w:pPr>
      <w:spacing w:beforeLines="0" w:afterLines="0" w:line="360" w:lineRule="auto"/>
    </w:pPr>
    <w:rPr>
      <w:rFonts w:hint="default"/>
      <w:b/>
      <w:sz w:val="28"/>
      <w:szCs w:val="22"/>
    </w:rPr>
  </w:style>
  <w:style w:type="paragraph" w:customStyle="1" w:styleId="24">
    <w:name w:val="样式35"/>
    <w:basedOn w:val="1"/>
    <w:unhideWhenUsed/>
    <w:qFormat/>
    <w:uiPriority w:val="0"/>
    <w:pPr>
      <w:adjustRightInd w:val="0"/>
      <w:spacing w:beforeLines="0" w:afterLines="0" w:line="312" w:lineRule="auto"/>
      <w:ind w:firstLine="567"/>
    </w:pPr>
    <w:rPr>
      <w:rFonts w:hint="eastAsia" w:ascii="宋体" w:eastAsia="宋体"/>
      <w:kern w:val="0"/>
      <w:sz w:val="28"/>
      <w:szCs w:val="24"/>
    </w:rPr>
  </w:style>
  <w:style w:type="paragraph" w:customStyle="1" w:styleId="25">
    <w:name w:val="文本"/>
    <w:basedOn w:val="1"/>
    <w:next w:val="1"/>
    <w:qFormat/>
    <w:uiPriority w:val="0"/>
    <w:pPr>
      <w:autoSpaceDE w:val="0"/>
      <w:autoSpaceDN w:val="0"/>
      <w:ind w:firstLine="480"/>
    </w:pPr>
    <w:rPr>
      <w:szCs w:val="24"/>
      <w:lang w:val="zh-CN"/>
    </w:rPr>
  </w:style>
  <w:style w:type="paragraph" w:customStyle="1" w:styleId="26">
    <w:name w:val="Default1"/>
    <w:basedOn w:val="27"/>
    <w:next w:val="1"/>
    <w:unhideWhenUsed/>
    <w:qFormat/>
    <w:uiPriority w:val="0"/>
    <w:pPr>
      <w:widowControl w:val="0"/>
      <w:autoSpaceDE w:val="0"/>
      <w:autoSpaceDN w:val="0"/>
      <w:adjustRightInd w:val="0"/>
      <w:spacing w:beforeLines="0" w:afterLines="0" w:line="360" w:lineRule="auto"/>
      <w:ind w:firstLine="720" w:firstLineChars="200"/>
      <w:jc w:val="left"/>
    </w:pPr>
    <w:rPr>
      <w:rFonts w:hint="eastAsia" w:ascii="Times New Roman" w:hAnsi="Times New Roman" w:eastAsia="Times New Roman" w:cs="宋体"/>
      <w:color w:val="000000"/>
      <w:sz w:val="24"/>
      <w:szCs w:val="21"/>
      <w:lang w:val="en-US" w:eastAsia="zh-CN"/>
    </w:rPr>
  </w:style>
  <w:style w:type="paragraph" w:customStyle="1" w:styleId="27">
    <w:name w:val="Normal_14_0"/>
    <w:unhideWhenUsed/>
    <w:qFormat/>
    <w:uiPriority w:val="0"/>
    <w:pPr>
      <w:spacing w:before="120" w:beforeLines="0" w:after="240" w:afterLines="0"/>
      <w:jc w:val="both"/>
    </w:pPr>
    <w:rPr>
      <w:rFonts w:hint="default" w:ascii="Calibri" w:hAnsi="Calibri" w:eastAsia="Calibri" w:cs="Times New Roman"/>
      <w:sz w:val="22"/>
      <w:szCs w:val="22"/>
      <w:lang w:val="ru-RU" w:eastAsia="en-US" w:bidi="ar-SA"/>
    </w:rPr>
  </w:style>
  <w:style w:type="paragraph" w:customStyle="1" w:styleId="28">
    <w:name w:val="表格内容"/>
    <w:basedOn w:val="1"/>
    <w:next w:val="1"/>
    <w:unhideWhenUsed/>
    <w:qFormat/>
    <w:uiPriority w:val="0"/>
    <w:pPr>
      <w:spacing w:beforeLines="0" w:after="0" w:afterLines="0"/>
      <w:jc w:val="center"/>
    </w:pPr>
    <w:rPr>
      <w:rFonts w:hint="eastAsia" w:ascii="宋体" w:hAnsi="宋体" w:eastAsia="宋体" w:cs="宋体"/>
      <w:sz w:val="21"/>
      <w:szCs w:val="21"/>
    </w:rPr>
  </w:style>
  <w:style w:type="paragraph" w:customStyle="1" w:styleId="29">
    <w:name w:val="表文"/>
    <w:basedOn w:val="2"/>
    <w:next w:val="5"/>
    <w:unhideWhenUsed/>
    <w:qFormat/>
    <w:uiPriority w:val="0"/>
    <w:pPr>
      <w:spacing w:beforeLines="0" w:afterLines="0" w:line="360" w:lineRule="auto"/>
      <w:ind w:left="0"/>
      <w:jc w:val="center"/>
    </w:pPr>
    <w:rPr>
      <w:rFonts w:hint="default" w:ascii="Times New Roman" w:hAnsi="Times New Roman" w:eastAsia="仿宋_GB2312" w:cs="Times New Roman"/>
      <w:sz w:val="24"/>
      <w:szCs w:val="20"/>
    </w:rPr>
  </w:style>
  <w:style w:type="paragraph" w:customStyle="1" w:styleId="30">
    <w:name w:val="样式38"/>
    <w:basedOn w:val="1"/>
    <w:qFormat/>
    <w:uiPriority w:val="0"/>
    <w:pPr>
      <w:widowControl/>
      <w:spacing w:line="360" w:lineRule="auto"/>
      <w:jc w:val="center"/>
      <w:outlineLvl w:val="0"/>
    </w:pPr>
    <w:rPr>
      <w:color w:val="000000"/>
      <w:kern w:val="0"/>
      <w:sz w:val="28"/>
      <w:szCs w:val="28"/>
    </w:rPr>
  </w:style>
  <w:style w:type="paragraph" w:customStyle="1" w:styleId="31">
    <w:name w:val="样式3"/>
    <w:basedOn w:val="1"/>
    <w:qFormat/>
    <w:uiPriority w:val="99"/>
    <w:pPr>
      <w:widowControl/>
      <w:spacing w:line="360" w:lineRule="auto"/>
      <w:ind w:firstLine="480" w:firstLineChars="200"/>
      <w:jc w:val="left"/>
    </w:pPr>
    <w:rPr>
      <w:rFonts w:ascii="Calibri" w:hAnsi="Calibri"/>
      <w:kern w:val="0"/>
      <w:sz w:val="24"/>
      <w:szCs w:val="22"/>
    </w:rPr>
  </w:style>
  <w:style w:type="table" w:customStyle="1" w:styleId="3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endnotes" Target="endnotes.xml"/><Relationship Id="rId5" Type="http://schemas.openxmlformats.org/officeDocument/2006/relationships/footnotes" Target="footnotes.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6" Type="http://schemas.microsoft.com/office/2011/relationships/people" Target="people.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26</Pages>
  <Words>10911</Words>
  <Characters>12088</Characters>
  <Lines>1</Lines>
  <Paragraphs>1</Paragraphs>
  <TotalTime>22</TotalTime>
  <ScaleCrop>false</ScaleCrop>
  <LinksUpToDate>false</LinksUpToDate>
  <CharactersWithSpaces>12215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2023-06-05T06:00:00Z</dcterms:created>
  <dc:creator>WPS_1569838599</dc:creator>
  <cp:lastModifiedBy>WPS_1569838599</cp:lastModifiedBy>
  <dcterms:modified xsi:type="dcterms:W3CDTF">2023-06-14T06:51:30Z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29846D6DD8374167B4C4FD484160BEC0_11</vt:lpwstr>
  </property>
</Properties>
</file>