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rPr>
          <w:rFonts w:hAnsi="宋体"/>
          <w:b/>
          <w:sz w:val="52"/>
          <w:szCs w:val="52"/>
        </w:rPr>
      </w:pPr>
    </w:p>
    <w:p>
      <w:pPr>
        <w:spacing w:line="360" w:lineRule="auto"/>
        <w:rPr>
          <w:rFonts w:hAnsi="宋体"/>
          <w:b/>
          <w:sz w:val="52"/>
          <w:szCs w:val="52"/>
        </w:rPr>
      </w:pPr>
    </w:p>
    <w:p>
      <w:pPr>
        <w:widowControl/>
        <w:adjustRightInd w:val="0"/>
        <w:snapToGrid w:val="0"/>
        <w:spacing w:after="200" w:afterLines="0" w:line="360" w:lineRule="auto"/>
        <w:jc w:val="both"/>
        <w:rPr>
          <w:rFonts w:hint="eastAsia" w:ascii="华文新魏" w:hAnsi="Tahoma" w:eastAsia="华文新魏" w:cstheme="minorBidi"/>
          <w:color w:val="000000"/>
          <w:kern w:val="0"/>
          <w:sz w:val="48"/>
          <w:szCs w:val="48"/>
          <w:highlight w:val="red"/>
        </w:rPr>
      </w:pPr>
    </w:p>
    <w:p>
      <w:pPr>
        <w:keepNext w:val="0"/>
        <w:keepLines w:val="0"/>
        <w:pageBreakBefore w:val="0"/>
        <w:widowControl/>
        <w:kinsoku/>
        <w:wordWrap/>
        <w:overflowPunct/>
        <w:topLinePunct w:val="0"/>
        <w:autoSpaceDE/>
        <w:autoSpaceDN/>
        <w:bidi w:val="0"/>
        <w:adjustRightInd w:val="0"/>
        <w:snapToGrid w:val="0"/>
        <w:spacing w:afterLines="0" w:line="360" w:lineRule="auto"/>
        <w:jc w:val="center"/>
        <w:textAlignment w:val="auto"/>
        <w:rPr>
          <w:rFonts w:hint="eastAsia" w:ascii="仿宋" w:hAnsi="仿宋" w:eastAsia="仿宋" w:cs="仿宋"/>
          <w:b/>
          <w:sz w:val="36"/>
          <w:szCs w:val="36"/>
          <w:highlight w:val="none"/>
          <w:lang w:eastAsia="zh-CN"/>
        </w:rPr>
      </w:pPr>
      <w:r>
        <w:rPr>
          <w:rFonts w:hint="eastAsia" w:ascii="仿宋" w:hAnsi="仿宋" w:eastAsia="仿宋" w:cs="仿宋"/>
          <w:b/>
          <w:sz w:val="36"/>
          <w:szCs w:val="36"/>
          <w:highlight w:val="none"/>
          <w:lang w:eastAsia="zh-CN"/>
        </w:rPr>
        <w:t>安徽晨曜智能设备科技有限公司</w:t>
      </w:r>
    </w:p>
    <w:p>
      <w:pPr>
        <w:keepNext w:val="0"/>
        <w:keepLines w:val="0"/>
        <w:pageBreakBefore w:val="0"/>
        <w:widowControl/>
        <w:kinsoku/>
        <w:wordWrap/>
        <w:overflowPunct/>
        <w:topLinePunct w:val="0"/>
        <w:autoSpaceDE/>
        <w:autoSpaceDN/>
        <w:bidi w:val="0"/>
        <w:adjustRightInd w:val="0"/>
        <w:snapToGrid w:val="0"/>
        <w:spacing w:afterLines="0" w:line="360" w:lineRule="auto"/>
        <w:jc w:val="center"/>
        <w:textAlignment w:val="auto"/>
        <w:rPr>
          <w:rFonts w:hint="eastAsia" w:ascii="仿宋" w:hAnsi="仿宋" w:eastAsia="仿宋" w:cs="仿宋"/>
          <w:b/>
          <w:sz w:val="36"/>
          <w:szCs w:val="36"/>
          <w:highlight w:val="none"/>
          <w:lang w:eastAsia="zh-CN"/>
        </w:rPr>
      </w:pPr>
      <w:r>
        <w:rPr>
          <w:rFonts w:hint="eastAsia" w:ascii="仿宋" w:hAnsi="仿宋" w:eastAsia="仿宋" w:cs="仿宋"/>
          <w:b/>
          <w:sz w:val="36"/>
          <w:szCs w:val="36"/>
          <w:highlight w:val="none"/>
          <w:lang w:eastAsia="zh-CN"/>
        </w:rPr>
        <w:t>晨曜年产10万吨高端金属结构件项目</w:t>
      </w:r>
    </w:p>
    <w:p>
      <w:pPr>
        <w:keepNext w:val="0"/>
        <w:keepLines w:val="0"/>
        <w:pageBreakBefore w:val="0"/>
        <w:widowControl/>
        <w:kinsoku/>
        <w:wordWrap/>
        <w:overflowPunct/>
        <w:topLinePunct w:val="0"/>
        <w:autoSpaceDE/>
        <w:autoSpaceDN/>
        <w:bidi w:val="0"/>
        <w:adjustRightInd w:val="0"/>
        <w:snapToGrid w:val="0"/>
        <w:spacing w:afterLines="0" w:line="360" w:lineRule="auto"/>
        <w:jc w:val="center"/>
        <w:textAlignment w:val="auto"/>
        <w:rPr>
          <w:rFonts w:hint="eastAsia" w:asciiTheme="minorEastAsia" w:hAnsiTheme="minorEastAsia" w:eastAsiaTheme="minorEastAsia" w:cstheme="minorEastAsia"/>
          <w:b/>
          <w:color w:val="000000"/>
          <w:kern w:val="0"/>
          <w:sz w:val="48"/>
          <w:szCs w:val="48"/>
          <w:highlight w:val="none"/>
        </w:rPr>
      </w:pPr>
      <w:r>
        <w:rPr>
          <w:rFonts w:hint="eastAsia" w:asciiTheme="minorEastAsia" w:hAnsiTheme="minorEastAsia" w:eastAsiaTheme="minorEastAsia" w:cstheme="minorEastAsia"/>
          <w:b/>
          <w:bCs/>
          <w:color w:val="000000"/>
          <w:kern w:val="0"/>
          <w:sz w:val="48"/>
          <w:szCs w:val="48"/>
          <w:highlight w:val="none"/>
        </w:rPr>
        <w:t>竣工环境保护</w:t>
      </w:r>
      <w:r>
        <w:rPr>
          <w:rFonts w:hint="eastAsia" w:asciiTheme="minorEastAsia" w:hAnsiTheme="minorEastAsia" w:eastAsiaTheme="minorEastAsia" w:cstheme="minorEastAsia"/>
          <w:b/>
          <w:color w:val="000000"/>
          <w:kern w:val="0"/>
          <w:sz w:val="48"/>
          <w:szCs w:val="48"/>
          <w:highlight w:val="none"/>
        </w:rPr>
        <w:t>验</w:t>
      </w:r>
      <w:r>
        <w:rPr>
          <w:rFonts w:hint="eastAsia" w:asciiTheme="minorEastAsia" w:hAnsiTheme="minorEastAsia" w:eastAsiaTheme="minorEastAsia" w:cstheme="minorEastAsia"/>
          <w:b/>
          <w:bCs/>
          <w:color w:val="000000"/>
          <w:kern w:val="0"/>
          <w:sz w:val="48"/>
          <w:szCs w:val="48"/>
          <w:highlight w:val="none"/>
        </w:rPr>
        <w:t>收报</w:t>
      </w:r>
      <w:r>
        <w:rPr>
          <w:rFonts w:hint="eastAsia" w:asciiTheme="minorEastAsia" w:hAnsiTheme="minorEastAsia" w:eastAsiaTheme="minorEastAsia" w:cstheme="minorEastAsia"/>
          <w:b/>
          <w:color w:val="000000"/>
          <w:kern w:val="0"/>
          <w:sz w:val="48"/>
          <w:szCs w:val="48"/>
          <w:highlight w:val="none"/>
        </w:rPr>
        <w:t>告</w:t>
      </w:r>
    </w:p>
    <w:p>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highlight w:val="none"/>
        </w:rPr>
      </w:pPr>
    </w:p>
    <w:p>
      <w:pPr>
        <w:spacing w:line="360" w:lineRule="auto"/>
        <w:rPr>
          <w:highlight w:val="none"/>
        </w:rPr>
      </w:pPr>
    </w:p>
    <w:p>
      <w:pPr>
        <w:rPr>
          <w:highlight w:val="none"/>
        </w:rPr>
      </w:pPr>
    </w:p>
    <w:p>
      <w:pPr>
        <w:pStyle w:val="10"/>
        <w:ind w:left="0" w:leftChars="0" w:firstLine="0" w:firstLineChars="0"/>
        <w:rPr>
          <w:highlight w:val="none"/>
        </w:rPr>
      </w:pPr>
    </w:p>
    <w:p>
      <w:pPr>
        <w:pStyle w:val="10"/>
        <w:ind w:left="0" w:leftChars="0" w:firstLine="0" w:firstLineChars="0"/>
        <w:rPr>
          <w:highlight w:val="none"/>
        </w:rPr>
      </w:pPr>
    </w:p>
    <w:p>
      <w:pPr>
        <w:pStyle w:val="10"/>
        <w:ind w:left="0" w:leftChars="0" w:firstLine="0" w:firstLineChars="0"/>
        <w:rPr>
          <w:highlight w:val="none"/>
        </w:rPr>
      </w:pPr>
    </w:p>
    <w:p>
      <w:pPr>
        <w:pStyle w:val="10"/>
        <w:ind w:left="0" w:leftChars="0" w:firstLine="0" w:firstLineChars="0"/>
        <w:rPr>
          <w:highlight w:val="none"/>
        </w:rPr>
      </w:pPr>
    </w:p>
    <w:p>
      <w:pPr>
        <w:pStyle w:val="10"/>
        <w:ind w:left="0" w:leftChars="0" w:firstLine="0" w:firstLineChars="0"/>
        <w:rPr>
          <w:highlight w:val="none"/>
        </w:rPr>
      </w:pPr>
    </w:p>
    <w:p>
      <w:pPr>
        <w:pStyle w:val="10"/>
        <w:ind w:left="0" w:leftChars="0" w:firstLine="0" w:firstLineChars="0"/>
        <w:rPr>
          <w:highlight w:val="none"/>
        </w:rPr>
      </w:pPr>
    </w:p>
    <w:p>
      <w:pPr>
        <w:pStyle w:val="10"/>
        <w:ind w:left="0" w:leftChars="0" w:firstLine="0" w:firstLineChars="0"/>
        <w:rPr>
          <w:highlight w:val="none"/>
        </w:rPr>
      </w:pPr>
    </w:p>
    <w:p>
      <w:pPr>
        <w:pStyle w:val="10"/>
        <w:ind w:left="0" w:leftChars="0" w:firstLine="0" w:firstLineChars="0"/>
        <w:rPr>
          <w:highlight w:val="none"/>
        </w:rPr>
      </w:pPr>
    </w:p>
    <w:p>
      <w:pPr>
        <w:pStyle w:val="40"/>
        <w:ind w:firstLine="0" w:firstLineChars="0"/>
        <w:jc w:val="center"/>
        <w:rPr>
          <w:rFonts w:hint="eastAsia" w:eastAsia="仿宋" w:cs="Times New Roman"/>
          <w:b/>
          <w:bCs/>
          <w:color w:val="000000"/>
          <w:sz w:val="32"/>
          <w:szCs w:val="32"/>
          <w:highlight w:val="none"/>
          <w:lang w:eastAsia="zh-CN"/>
        </w:rPr>
      </w:pPr>
      <w:r>
        <w:rPr>
          <w:rFonts w:hint="eastAsia" w:ascii="仿宋" w:hAnsi="仿宋" w:eastAsia="仿宋" w:cs="仿宋"/>
          <w:b/>
          <w:bCs/>
          <w:color w:val="000000"/>
          <w:sz w:val="32"/>
          <w:szCs w:val="32"/>
          <w:highlight w:val="none"/>
          <w:lang w:eastAsia="zh-CN"/>
        </w:rPr>
        <w:t>建设单位：安徽晨曜智能设备科技有限公司</w:t>
      </w:r>
    </w:p>
    <w:p>
      <w:pPr>
        <w:pStyle w:val="40"/>
        <w:ind w:firstLine="0" w:firstLineChars="0"/>
        <w:jc w:val="center"/>
        <w:rPr>
          <w:rFonts w:hint="eastAsia" w:ascii="Times New Roman" w:hAnsi="Times New Roman" w:eastAsia="仿宋" w:cs="Times New Roman"/>
          <w:b/>
          <w:bCs/>
          <w:color w:val="000000"/>
          <w:sz w:val="32"/>
          <w:szCs w:val="32"/>
          <w:highlight w:val="none"/>
          <w:lang w:eastAsia="zh-CN"/>
        </w:rPr>
      </w:pPr>
      <w:r>
        <w:rPr>
          <w:rFonts w:hint="eastAsia" w:eastAsia="仿宋" w:cs="Times New Roman"/>
          <w:b/>
          <w:bCs/>
          <w:color w:val="000000"/>
          <w:sz w:val="32"/>
          <w:szCs w:val="32"/>
          <w:highlight w:val="none"/>
          <w:lang w:eastAsia="zh-CN"/>
        </w:rPr>
        <w:t>编制单位：安徽锦环环境科技有限公司</w:t>
      </w:r>
    </w:p>
    <w:p>
      <w:pPr>
        <w:pStyle w:val="40"/>
        <w:ind w:firstLine="0" w:firstLineChars="0"/>
        <w:jc w:val="center"/>
        <w:rPr>
          <w:rFonts w:hint="default" w:ascii="Times New Roman" w:hAnsi="Times New Roman" w:eastAsia="仿宋" w:cs="Times New Roman"/>
          <w:b/>
          <w:bCs/>
          <w:color w:val="000000"/>
          <w:sz w:val="36"/>
          <w:szCs w:val="36"/>
          <w:highlight w:val="none"/>
        </w:rPr>
      </w:pPr>
      <w:r>
        <w:rPr>
          <w:rFonts w:hint="default" w:ascii="Times New Roman" w:hAnsi="Times New Roman" w:eastAsia="仿宋" w:cs="Times New Roman"/>
          <w:b/>
          <w:bCs/>
          <w:color w:val="000000"/>
          <w:sz w:val="36"/>
          <w:szCs w:val="36"/>
          <w:highlight w:val="none"/>
        </w:rPr>
        <w:t>202</w:t>
      </w:r>
      <w:r>
        <w:rPr>
          <w:rFonts w:hint="eastAsia" w:eastAsia="仿宋" w:cs="Times New Roman"/>
          <w:b/>
          <w:bCs/>
          <w:color w:val="000000"/>
          <w:sz w:val="36"/>
          <w:szCs w:val="36"/>
          <w:highlight w:val="none"/>
          <w:lang w:val="en-US" w:eastAsia="zh-CN"/>
        </w:rPr>
        <w:t>3</w:t>
      </w:r>
      <w:r>
        <w:rPr>
          <w:rFonts w:hint="default" w:ascii="Times New Roman" w:hAnsi="Times New Roman" w:eastAsia="仿宋" w:cs="Times New Roman"/>
          <w:b/>
          <w:bCs/>
          <w:color w:val="000000"/>
          <w:sz w:val="36"/>
          <w:szCs w:val="36"/>
          <w:highlight w:val="none"/>
        </w:rPr>
        <w:t>年</w:t>
      </w:r>
      <w:r>
        <w:rPr>
          <w:rFonts w:hint="eastAsia" w:eastAsia="仿宋" w:cs="Times New Roman"/>
          <w:b/>
          <w:bCs/>
          <w:color w:val="000000"/>
          <w:sz w:val="36"/>
          <w:szCs w:val="36"/>
          <w:highlight w:val="none"/>
          <w:lang w:val="en-US" w:eastAsia="zh-CN"/>
        </w:rPr>
        <w:t>9</w:t>
      </w:r>
      <w:r>
        <w:rPr>
          <w:rFonts w:hint="default" w:ascii="Times New Roman" w:hAnsi="Times New Roman" w:eastAsia="仿宋" w:cs="Times New Roman"/>
          <w:b/>
          <w:bCs/>
          <w:color w:val="000000"/>
          <w:sz w:val="36"/>
          <w:szCs w:val="36"/>
          <w:highlight w:val="none"/>
        </w:rPr>
        <w:t>月</w:t>
      </w:r>
    </w:p>
    <w:p>
      <w:pPr>
        <w:keepNext w:val="0"/>
        <w:keepLines w:val="0"/>
        <w:widowControl/>
        <w:suppressLineNumbers w:val="0"/>
        <w:jc w:val="left"/>
      </w:pPr>
      <w:r>
        <w:br w:type="page"/>
      </w:r>
      <w:r>
        <w:rPr>
          <w:rFonts w:ascii="MicrosoftYaHei-Bold" w:hAnsi="MicrosoftYaHei-Bold" w:eastAsia="MicrosoftYaHei-Bold" w:cs="MicrosoftYaHei-Bold"/>
          <w:b/>
          <w:bCs/>
          <w:color w:val="000000"/>
          <w:kern w:val="0"/>
          <w:sz w:val="28"/>
          <w:szCs w:val="28"/>
          <w:lang w:val="en-US" w:eastAsia="zh-CN" w:bidi="ar"/>
        </w:rPr>
        <w:t>建设单位法人代表</w:t>
      </w:r>
      <w:r>
        <w:rPr>
          <w:rFonts w:hint="eastAsia" w:ascii="MicrosoftYaHei-Bold" w:hAnsi="MicrosoftYaHei-Bold" w:eastAsia="MicrosoftYaHei-Bold" w:cs="MicrosoftYaHei-Bold"/>
          <w:b/>
          <w:bCs/>
          <w:color w:val="000000"/>
          <w:kern w:val="0"/>
          <w:sz w:val="28"/>
          <w:szCs w:val="28"/>
          <w:lang w:val="en-US" w:eastAsia="zh-CN" w:bidi="ar"/>
        </w:rPr>
        <w:t xml:space="preserve">：      </w:t>
      </w:r>
      <w:r>
        <w:rPr>
          <w:rFonts w:ascii="微软雅黑" w:hAnsi="微软雅黑" w:eastAsia="微软雅黑" w:cs="微软雅黑"/>
          <w:color w:val="000000"/>
          <w:kern w:val="0"/>
          <w:sz w:val="28"/>
          <w:szCs w:val="28"/>
          <w:lang w:val="en-US" w:eastAsia="zh-CN" w:bidi="ar"/>
        </w:rPr>
        <w:t xml:space="preserve">（签字） </w:t>
      </w:r>
    </w:p>
    <w:p>
      <w:pPr>
        <w:keepNext w:val="0"/>
        <w:keepLines w:val="0"/>
        <w:widowControl/>
        <w:suppressLineNumbers w:val="0"/>
        <w:jc w:val="left"/>
      </w:pPr>
      <w:r>
        <w:rPr>
          <w:rFonts w:hint="default" w:ascii="MicrosoftYaHei-Bold" w:hAnsi="MicrosoftYaHei-Bold" w:eastAsia="MicrosoftYaHei-Bold" w:cs="MicrosoftYaHei-Bold"/>
          <w:b/>
          <w:bCs/>
          <w:color w:val="000000"/>
          <w:kern w:val="0"/>
          <w:sz w:val="28"/>
          <w:szCs w:val="28"/>
          <w:lang w:val="en-US" w:eastAsia="zh-CN" w:bidi="ar"/>
        </w:rPr>
        <w:t>编制单位法人代表</w:t>
      </w:r>
      <w:r>
        <w:rPr>
          <w:rFonts w:hint="eastAsia" w:ascii="MicrosoftYaHei-Bold" w:hAnsi="MicrosoftYaHei-Bold" w:eastAsia="MicrosoftYaHei-Bold" w:cs="MicrosoftYaHei-Bold"/>
          <w:b/>
          <w:bCs/>
          <w:color w:val="000000"/>
          <w:kern w:val="0"/>
          <w:sz w:val="28"/>
          <w:szCs w:val="28"/>
          <w:lang w:val="en-US" w:eastAsia="zh-CN" w:bidi="ar"/>
        </w:rPr>
        <w:t xml:space="preserve">：       </w:t>
      </w:r>
      <w:r>
        <w:rPr>
          <w:rFonts w:hint="eastAsia" w:ascii="微软雅黑" w:hAnsi="微软雅黑" w:eastAsia="微软雅黑" w:cs="微软雅黑"/>
          <w:color w:val="000000"/>
          <w:kern w:val="0"/>
          <w:sz w:val="28"/>
          <w:szCs w:val="28"/>
          <w:lang w:val="en-US" w:eastAsia="zh-CN" w:bidi="ar"/>
        </w:rPr>
        <w:t xml:space="preserve">（签字） </w:t>
      </w:r>
    </w:p>
    <w:p>
      <w:pPr>
        <w:keepNext w:val="0"/>
        <w:keepLines w:val="0"/>
        <w:widowControl/>
        <w:suppressLineNumbers w:val="0"/>
        <w:jc w:val="left"/>
      </w:pPr>
      <w:r>
        <w:rPr>
          <w:rFonts w:hint="default" w:ascii="MicrosoftYaHei-Bold" w:hAnsi="MicrosoftYaHei-Bold" w:eastAsia="MicrosoftYaHei-Bold" w:cs="MicrosoftYaHei-Bold"/>
          <w:b/>
          <w:bCs/>
          <w:color w:val="000000"/>
          <w:kern w:val="0"/>
          <w:sz w:val="25"/>
          <w:szCs w:val="25"/>
          <w:lang w:val="en-US" w:eastAsia="zh-CN" w:bidi="ar"/>
        </w:rPr>
        <w:t>项 目 负 责 人</w:t>
      </w:r>
      <w:r>
        <w:rPr>
          <w:rFonts w:hint="eastAsia" w:ascii="MicrosoftYaHei-Bold" w:hAnsi="MicrosoftYaHei-Bold" w:eastAsia="MicrosoftYaHei-Bold" w:cs="MicrosoftYaHei-Bold"/>
          <w:b/>
          <w:bCs/>
          <w:color w:val="000000"/>
          <w:kern w:val="0"/>
          <w:sz w:val="25"/>
          <w:szCs w:val="25"/>
          <w:lang w:val="en-US" w:eastAsia="zh-CN" w:bidi="ar"/>
        </w:rPr>
        <w:t>：</w:t>
      </w:r>
    </w:p>
    <w:p>
      <w:pPr>
        <w:keepNext w:val="0"/>
        <w:keepLines w:val="0"/>
        <w:widowControl/>
        <w:suppressLineNumbers w:val="0"/>
        <w:jc w:val="left"/>
      </w:pPr>
      <w:r>
        <w:rPr>
          <w:rFonts w:hint="default" w:ascii="MicrosoftYaHei-Bold" w:hAnsi="MicrosoftYaHei-Bold" w:eastAsia="MicrosoftYaHei-Bold" w:cs="MicrosoftYaHei-Bold"/>
          <w:b/>
          <w:bCs/>
          <w:color w:val="000000"/>
          <w:kern w:val="0"/>
          <w:sz w:val="25"/>
          <w:szCs w:val="25"/>
          <w:lang w:val="en-US" w:eastAsia="zh-CN" w:bidi="ar"/>
        </w:rPr>
        <w:t>报 告 编 写 人：</w:t>
      </w:r>
    </w:p>
    <w:p>
      <w:pPr>
        <w:widowControl/>
        <w:spacing w:line="360" w:lineRule="auto"/>
        <w:jc w:val="left"/>
        <w:rPr>
          <w:b/>
          <w:sz w:val="28"/>
          <w:szCs w:val="28"/>
          <w:vertAlign w:val="baseline"/>
        </w:rPr>
      </w:pPr>
    </w:p>
    <w:p>
      <w:pPr>
        <w:widowControl/>
        <w:spacing w:line="360" w:lineRule="auto"/>
        <w:jc w:val="left"/>
        <w:rPr>
          <w:b/>
          <w:sz w:val="28"/>
          <w:szCs w:val="28"/>
        </w:rPr>
      </w:pPr>
    </w:p>
    <w:p>
      <w:pPr>
        <w:pStyle w:val="10"/>
        <w:rPr>
          <w:rFonts w:ascii="宋体" w:hAnsi="宋体"/>
          <w:b/>
          <w:bCs/>
          <w:sz w:val="36"/>
          <w:szCs w:val="36"/>
        </w:rPr>
      </w:pPr>
      <w:bookmarkStart w:id="0" w:name="_Toc500944435"/>
      <w:bookmarkStart w:id="1" w:name="_Toc501715336"/>
      <w:bookmarkStart w:id="2" w:name="_Toc500749591"/>
      <w:bookmarkStart w:id="3" w:name="_Toc12969"/>
      <w:bookmarkStart w:id="4" w:name="_Toc500753868"/>
    </w:p>
    <w:p>
      <w:pPr>
        <w:pStyle w:val="10"/>
        <w:rPr>
          <w:rFonts w:ascii="宋体" w:hAnsi="宋体"/>
          <w:b/>
          <w:bCs/>
          <w:sz w:val="36"/>
          <w:szCs w:val="36"/>
        </w:rPr>
      </w:pPr>
    </w:p>
    <w:p>
      <w:pPr>
        <w:pStyle w:val="10"/>
        <w:rPr>
          <w:rFonts w:ascii="宋体" w:hAnsi="宋体"/>
          <w:b/>
          <w:bCs/>
          <w:sz w:val="36"/>
          <w:szCs w:val="36"/>
        </w:rPr>
      </w:pPr>
    </w:p>
    <w:p>
      <w:pPr>
        <w:jc w:val="center"/>
        <w:rPr>
          <w:rFonts w:ascii="宋体" w:hAnsi="宋体"/>
          <w:b/>
          <w:bCs/>
          <w:sz w:val="36"/>
          <w:szCs w:val="36"/>
        </w:rPr>
      </w:pPr>
    </w:p>
    <w:p>
      <w:pPr>
        <w:pStyle w:val="10"/>
      </w:pPr>
    </w:p>
    <w:p>
      <w:pPr>
        <w:pStyle w:val="10"/>
      </w:pPr>
    </w:p>
    <w:p>
      <w:pPr>
        <w:pStyle w:val="10"/>
      </w:pPr>
    </w:p>
    <w:p>
      <w:pPr>
        <w:pStyle w:val="10"/>
      </w:pPr>
    </w:p>
    <w:p>
      <w:pPr>
        <w:pStyle w:val="10"/>
      </w:pPr>
    </w:p>
    <w:p>
      <w:pPr>
        <w:pStyle w:val="10"/>
      </w:pP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建设单位：   （盖章）                 编制单位 ：   （盖章） </w:t>
      </w:r>
    </w:p>
    <w:p>
      <w:pPr>
        <w:keepNext w:val="0"/>
        <w:keepLines w:val="0"/>
        <w:widowControl/>
        <w:suppressLineNumbers w:val="0"/>
        <w:jc w:val="left"/>
        <w:rPr>
          <w:rFonts w:hint="default" w:ascii="宋体" w:hAnsi="宋体" w:eastAsia="宋体" w:cs="宋体"/>
          <w:sz w:val="28"/>
          <w:szCs w:val="28"/>
          <w:lang w:val="en-US"/>
        </w:rPr>
      </w:pPr>
      <w:r>
        <w:rPr>
          <w:rFonts w:hint="eastAsia" w:ascii="宋体" w:hAnsi="宋体" w:eastAsia="宋体" w:cs="宋体"/>
          <w:color w:val="000000"/>
          <w:kern w:val="0"/>
          <w:sz w:val="28"/>
          <w:szCs w:val="28"/>
          <w:lang w:val="en-US" w:eastAsia="zh-CN" w:bidi="ar"/>
        </w:rPr>
        <w:t xml:space="preserve">电话: </w:t>
      </w:r>
      <w:r>
        <w:rPr>
          <w:rFonts w:hint="eastAsia" w:ascii="宋体" w:hAnsi="宋体" w:eastAsia="宋体" w:cs="宋体"/>
          <w:color w:val="0000FF"/>
          <w:kern w:val="0"/>
          <w:sz w:val="28"/>
          <w:szCs w:val="28"/>
          <w:lang w:val="en-US" w:eastAsia="zh-CN" w:bidi="ar"/>
        </w:rPr>
        <w:t xml:space="preserve"> </w:t>
      </w:r>
      <w:r>
        <w:rPr>
          <w:rFonts w:hint="eastAsia" w:ascii="Times New Roman" w:hAnsi="Times New Roman" w:eastAsia="宋体" w:cs="Times New Roman"/>
          <w:color w:val="000000"/>
          <w:kern w:val="0"/>
          <w:sz w:val="28"/>
          <w:szCs w:val="28"/>
          <w:lang w:val="en-US" w:eastAsia="zh-CN" w:bidi="ar"/>
        </w:rPr>
        <w:t xml:space="preserve">19942661111   </w:t>
      </w:r>
      <w:r>
        <w:rPr>
          <w:rFonts w:hint="eastAsia" w:ascii="宋体" w:hAnsi="宋体" w:eastAsia="宋体" w:cs="宋体"/>
          <w:color w:val="000000"/>
          <w:kern w:val="0"/>
          <w:sz w:val="28"/>
          <w:szCs w:val="28"/>
          <w:lang w:val="en-US" w:eastAsia="zh-CN" w:bidi="ar"/>
        </w:rPr>
        <w:t xml:space="preserve">                 电话: </w:t>
      </w:r>
      <w:r>
        <w:rPr>
          <w:rFonts w:hint="default" w:ascii="Times New Roman" w:hAnsi="Times New Roman" w:eastAsia="宋体" w:cs="Times New Roman"/>
          <w:color w:val="000000"/>
          <w:kern w:val="0"/>
          <w:sz w:val="28"/>
          <w:szCs w:val="28"/>
          <w:lang w:val="en-US" w:eastAsia="zh-CN" w:bidi="ar"/>
        </w:rPr>
        <w:t>18075066011</w:t>
      </w:r>
    </w:p>
    <w:p>
      <w:pPr>
        <w:keepNext w:val="0"/>
        <w:keepLines w:val="0"/>
        <w:widowControl/>
        <w:suppressLineNumbers w:val="0"/>
        <w:jc w:val="left"/>
        <w:rPr>
          <w:rFonts w:hint="default" w:ascii="宋体" w:hAnsi="宋体" w:eastAsia="宋体" w:cs="宋体"/>
          <w:sz w:val="28"/>
          <w:szCs w:val="28"/>
          <w:lang w:val="en-US"/>
        </w:rPr>
      </w:pPr>
      <w:r>
        <w:rPr>
          <w:rFonts w:hint="eastAsia" w:ascii="宋体" w:hAnsi="宋体" w:eastAsia="宋体" w:cs="宋体"/>
          <w:color w:val="000000"/>
          <w:kern w:val="0"/>
          <w:sz w:val="28"/>
          <w:szCs w:val="28"/>
          <w:lang w:val="en-US" w:eastAsia="zh-CN" w:bidi="ar"/>
        </w:rPr>
        <w:t>传真:  /                              传真:  /</w:t>
      </w:r>
    </w:p>
    <w:p>
      <w:pPr>
        <w:keepNext w:val="0"/>
        <w:keepLines w:val="0"/>
        <w:widowControl/>
        <w:suppressLineNumbers w:val="0"/>
        <w:jc w:val="left"/>
        <w:rPr>
          <w:rFonts w:hint="default" w:ascii="Times New Roman" w:hAnsi="Times New Roman" w:eastAsia="宋体" w:cs="Times New Roman"/>
          <w:sz w:val="28"/>
          <w:szCs w:val="28"/>
          <w:lang w:val="en-US"/>
        </w:rPr>
      </w:pPr>
      <w:r>
        <w:rPr>
          <w:sz w:val="28"/>
        </w:rPr>
        <mc:AlternateContent>
          <mc:Choice Requires="wps">
            <w:drawing>
              <wp:anchor distT="0" distB="0" distL="114300" distR="114300" simplePos="0" relativeHeight="251662336" behindDoc="0" locked="0" layoutInCell="1" allowOverlap="1">
                <wp:simplePos x="0" y="0"/>
                <wp:positionH relativeFrom="column">
                  <wp:posOffset>-104775</wp:posOffset>
                </wp:positionH>
                <wp:positionV relativeFrom="paragraph">
                  <wp:posOffset>299085</wp:posOffset>
                </wp:positionV>
                <wp:extent cx="2640965" cy="1177925"/>
                <wp:effectExtent l="0" t="0" r="0" b="0"/>
                <wp:wrapNone/>
                <wp:docPr id="2" name="文本框 3"/>
                <wp:cNvGraphicFramePr/>
                <a:graphic xmlns:a="http://schemas.openxmlformats.org/drawingml/2006/main">
                  <a:graphicData uri="http://schemas.microsoft.com/office/word/2010/wordprocessingShape">
                    <wps:wsp>
                      <wps:cNvSpPr txBox="1"/>
                      <wps:spPr>
                        <a:xfrm>
                          <a:off x="0" y="0"/>
                          <a:ext cx="2640965" cy="1177925"/>
                        </a:xfrm>
                        <a:prstGeom prst="rect">
                          <a:avLst/>
                        </a:prstGeom>
                        <a:noFill/>
                        <a:ln>
                          <a:noFill/>
                        </a:ln>
                      </wps:spPr>
                      <wps:txbx>
                        <w:txbxContent>
                          <w:p>
                            <w:r>
                              <w:rPr>
                                <w:rFonts w:hint="eastAsia" w:ascii="宋体" w:hAnsi="宋体" w:eastAsia="宋体" w:cs="宋体"/>
                                <w:color w:val="000000"/>
                                <w:kern w:val="0"/>
                                <w:sz w:val="28"/>
                                <w:szCs w:val="28"/>
                                <w:lang w:val="en-US" w:eastAsia="zh-CN" w:bidi="ar"/>
                              </w:rPr>
                              <w:t>地址:六安高新技术产业开发区平桥园区兰迪路与赛分路交口西南侧</w:t>
                            </w:r>
                          </w:p>
                        </w:txbxContent>
                      </wps:txbx>
                      <wps:bodyPr upright="1"/>
                    </wps:wsp>
                  </a:graphicData>
                </a:graphic>
              </wp:anchor>
            </w:drawing>
          </mc:Choice>
          <mc:Fallback>
            <w:pict>
              <v:shape id="文本框 3" o:spid="_x0000_s1026" o:spt="202" type="#_x0000_t202" style="position:absolute;left:0pt;margin-left:-8.25pt;margin-top:23.55pt;height:92.75pt;width:207.95pt;z-index:251662336;mso-width-relative:page;mso-height-relative:page;" filled="f" stroked="f" coordsize="21600,21600" o:gfxdata="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N5SaN&#10;2AAAAAoBAAAPAAAAAAAAAAEAIAAAACIAAABkcnMvZG93bnJldi54bWxQSwECFAAUAAAACACHTuJA&#10;/x47qK8BAABPAwAADgAAAAAAAAABACAAAAAnAQAAZHJzL2Uyb0RvYy54bWxQSwUGAAAAAAYABgBZ&#10;AQAASAUAAAAA&#10;">
                <v:fill on="f" focussize="0,0"/>
                <v:stroke on="f"/>
                <v:imagedata o:title=""/>
                <o:lock v:ext="edit" aspectratio="f"/>
                <v:textbox>
                  <w:txbxContent>
                    <w:p>
                      <w:r>
                        <w:rPr>
                          <w:rFonts w:hint="eastAsia" w:ascii="宋体" w:hAnsi="宋体" w:eastAsia="宋体" w:cs="宋体"/>
                          <w:color w:val="000000"/>
                          <w:kern w:val="0"/>
                          <w:sz w:val="28"/>
                          <w:szCs w:val="28"/>
                          <w:lang w:val="en-US" w:eastAsia="zh-CN" w:bidi="ar"/>
                        </w:rPr>
                        <w:t>地址:六安高新技术产业开发区平桥园区兰迪路与赛分路交口西南侧</w:t>
                      </w:r>
                    </w:p>
                  </w:txbxContent>
                </v:textbox>
              </v:shape>
            </w:pict>
          </mc:Fallback>
        </mc:AlternateContent>
      </w:r>
      <w:r>
        <w:rPr>
          <w:sz w:val="28"/>
        </w:rPr>
        <mc:AlternateContent>
          <mc:Choice Requires="wps">
            <w:drawing>
              <wp:anchor distT="0" distB="0" distL="114300" distR="114300" simplePos="0" relativeHeight="251663360" behindDoc="0" locked="0" layoutInCell="1" allowOverlap="1">
                <wp:simplePos x="0" y="0"/>
                <wp:positionH relativeFrom="column">
                  <wp:posOffset>3328670</wp:posOffset>
                </wp:positionH>
                <wp:positionV relativeFrom="paragraph">
                  <wp:posOffset>347980</wp:posOffset>
                </wp:positionV>
                <wp:extent cx="2640965" cy="1177925"/>
                <wp:effectExtent l="0" t="0" r="0" b="0"/>
                <wp:wrapNone/>
                <wp:docPr id="3" name="文本框 4"/>
                <wp:cNvGraphicFramePr/>
                <a:graphic xmlns:a="http://schemas.openxmlformats.org/drawingml/2006/main">
                  <a:graphicData uri="http://schemas.microsoft.com/office/word/2010/wordprocessingShape">
                    <wps:wsp>
                      <wps:cNvSpPr txBox="1"/>
                      <wps:spPr>
                        <a:xfrm>
                          <a:off x="0" y="0"/>
                          <a:ext cx="2640965" cy="1177925"/>
                        </a:xfrm>
                        <a:prstGeom prst="rect">
                          <a:avLst/>
                        </a:prstGeom>
                        <a:noFill/>
                        <a:ln>
                          <a:noFill/>
                        </a:ln>
                      </wps:spPr>
                      <wps:txbx>
                        <w:txbxContent>
                          <w:p>
                            <w:r>
                              <w:rPr>
                                <w:rFonts w:hint="eastAsia" w:ascii="宋体" w:hAnsi="宋体" w:eastAsia="宋体" w:cs="宋体"/>
                                <w:color w:val="000000"/>
                                <w:kern w:val="0"/>
                                <w:sz w:val="28"/>
                                <w:szCs w:val="28"/>
                                <w:lang w:val="en-US" w:eastAsia="zh-CN" w:bidi="ar"/>
                              </w:rPr>
                              <w:t xml:space="preserve">地址: </w:t>
                            </w:r>
                            <w:r>
                              <w:rPr>
                                <w:rFonts w:hint="default" w:ascii="Times New Roman" w:hAnsi="Times New Roman" w:eastAsia="宋体" w:cs="Times New Roman"/>
                                <w:color w:val="000000"/>
                                <w:kern w:val="0"/>
                                <w:sz w:val="28"/>
                                <w:szCs w:val="28"/>
                                <w:lang w:val="en-US" w:eastAsia="zh-CN" w:bidi="ar"/>
                              </w:rPr>
                              <w:t>文汇大厦220</w:t>
                            </w:r>
                            <w:r>
                              <w:rPr>
                                <w:rFonts w:hint="eastAsia" w:cs="Times New Roman"/>
                                <w:color w:val="000000"/>
                                <w:kern w:val="0"/>
                                <w:sz w:val="28"/>
                                <w:szCs w:val="28"/>
                                <w:lang w:val="en-US" w:eastAsia="zh-CN" w:bidi="ar"/>
                              </w:rPr>
                              <w:t>7</w:t>
                            </w:r>
                            <w:r>
                              <w:rPr>
                                <w:rFonts w:hint="default" w:ascii="Times New Roman" w:hAnsi="Times New Roman" w:eastAsia="宋体" w:cs="Times New Roman"/>
                                <w:color w:val="000000"/>
                                <w:kern w:val="0"/>
                                <w:sz w:val="28"/>
                                <w:szCs w:val="28"/>
                                <w:lang w:val="en-US" w:eastAsia="zh-CN" w:bidi="ar"/>
                              </w:rPr>
                              <w:t>室</w:t>
                            </w:r>
                          </w:p>
                        </w:txbxContent>
                      </wps:txbx>
                      <wps:bodyPr upright="1"/>
                    </wps:wsp>
                  </a:graphicData>
                </a:graphic>
              </wp:anchor>
            </w:drawing>
          </mc:Choice>
          <mc:Fallback>
            <w:pict>
              <v:shape id="文本框 4" o:spid="_x0000_s1026" o:spt="202" type="#_x0000_t202" style="position:absolute;left:0pt;margin-left:262.1pt;margin-top:27.4pt;height:92.75pt;width:207.95pt;z-index:251663360;mso-width-relative:page;mso-height-relative:page;" filled="f" stroked="f" coordsize="21600,21600" o:gfxdata="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yEdNnX&#10;AAAACgEAAA8AAAAAAAAAAQAgAAAAIgAAAGRycy9kb3ducmV2LnhtbFBLAQIUABQAAAAIAIdO4kDA&#10;lIvlrwEAAE8DAAAOAAAAAAAAAAEAIAAAACYBAABkcnMvZTJvRG9jLnhtbFBLBQYAAAAABgAGAFkB&#10;AABHBQAAAAA=&#10;">
                <v:fill on="f" focussize="0,0"/>
                <v:stroke on="f"/>
                <v:imagedata o:title=""/>
                <o:lock v:ext="edit" aspectratio="f"/>
                <v:textbox>
                  <w:txbxContent>
                    <w:p>
                      <w:r>
                        <w:rPr>
                          <w:rFonts w:hint="eastAsia" w:ascii="宋体" w:hAnsi="宋体" w:eastAsia="宋体" w:cs="宋体"/>
                          <w:color w:val="000000"/>
                          <w:kern w:val="0"/>
                          <w:sz w:val="28"/>
                          <w:szCs w:val="28"/>
                          <w:lang w:val="en-US" w:eastAsia="zh-CN" w:bidi="ar"/>
                        </w:rPr>
                        <w:t xml:space="preserve">地址: </w:t>
                      </w:r>
                      <w:r>
                        <w:rPr>
                          <w:rFonts w:hint="default" w:ascii="Times New Roman" w:hAnsi="Times New Roman" w:eastAsia="宋体" w:cs="Times New Roman"/>
                          <w:color w:val="000000"/>
                          <w:kern w:val="0"/>
                          <w:sz w:val="28"/>
                          <w:szCs w:val="28"/>
                          <w:lang w:val="en-US" w:eastAsia="zh-CN" w:bidi="ar"/>
                        </w:rPr>
                        <w:t>文汇大厦220</w:t>
                      </w:r>
                      <w:r>
                        <w:rPr>
                          <w:rFonts w:hint="eastAsia" w:cs="Times New Roman"/>
                          <w:color w:val="000000"/>
                          <w:kern w:val="0"/>
                          <w:sz w:val="28"/>
                          <w:szCs w:val="28"/>
                          <w:lang w:val="en-US" w:eastAsia="zh-CN" w:bidi="ar"/>
                        </w:rPr>
                        <w:t>7</w:t>
                      </w:r>
                      <w:r>
                        <w:rPr>
                          <w:rFonts w:hint="default" w:ascii="Times New Roman" w:hAnsi="Times New Roman" w:eastAsia="宋体" w:cs="Times New Roman"/>
                          <w:color w:val="000000"/>
                          <w:kern w:val="0"/>
                          <w:sz w:val="28"/>
                          <w:szCs w:val="28"/>
                          <w:lang w:val="en-US" w:eastAsia="zh-CN" w:bidi="ar"/>
                        </w:rPr>
                        <w:t>室</w:t>
                      </w:r>
                    </w:p>
                  </w:txbxContent>
                </v:textbox>
              </v:shape>
            </w:pict>
          </mc:Fallback>
        </mc:AlternateContent>
      </w:r>
      <w:r>
        <w:rPr>
          <w:rFonts w:hint="eastAsia" w:ascii="宋体" w:hAnsi="宋体" w:eastAsia="宋体" w:cs="宋体"/>
          <w:color w:val="000000"/>
          <w:kern w:val="0"/>
          <w:sz w:val="28"/>
          <w:szCs w:val="28"/>
          <w:lang w:val="en-US" w:eastAsia="zh-CN" w:bidi="ar"/>
        </w:rPr>
        <w:t xml:space="preserve">邮编: </w:t>
      </w:r>
      <w:r>
        <w:rPr>
          <w:rFonts w:hint="default" w:ascii="Times New Roman" w:hAnsi="Times New Roman" w:eastAsia="宋体" w:cs="Times New Roman"/>
          <w:color w:val="000000"/>
          <w:kern w:val="0"/>
          <w:sz w:val="28"/>
          <w:szCs w:val="28"/>
          <w:lang w:val="en-US" w:eastAsia="zh-CN" w:bidi="ar"/>
        </w:rPr>
        <w:t xml:space="preserve">237000  </w:t>
      </w:r>
      <w:r>
        <w:rPr>
          <w:rFonts w:hint="eastAsia" w:ascii="宋体" w:hAnsi="宋体" w:eastAsia="宋体" w:cs="宋体"/>
          <w:color w:val="000000"/>
          <w:kern w:val="0"/>
          <w:sz w:val="28"/>
          <w:szCs w:val="28"/>
          <w:lang w:val="en-US" w:eastAsia="zh-CN" w:bidi="ar"/>
        </w:rPr>
        <w:t xml:space="preserve">                        邮编: </w:t>
      </w:r>
      <w:r>
        <w:rPr>
          <w:rFonts w:hint="default" w:ascii="Times New Roman" w:hAnsi="Times New Roman" w:eastAsia="宋体" w:cs="Times New Roman"/>
          <w:color w:val="000000"/>
          <w:kern w:val="0"/>
          <w:sz w:val="28"/>
          <w:szCs w:val="28"/>
          <w:lang w:val="en-US" w:eastAsia="zh-CN" w:bidi="ar"/>
        </w:rPr>
        <w:t>237000</w:t>
      </w:r>
    </w:p>
    <w:p>
      <w:pPr>
        <w:keepNext w:val="0"/>
        <w:keepLines w:val="0"/>
        <w:widowControl/>
        <w:suppressLineNumbers w:val="0"/>
        <w:jc w:val="left"/>
        <w:rPr>
          <w:rFonts w:hint="default" w:ascii="Times New Roman" w:hAnsi="Times New Roman" w:eastAsia="宋体" w:cs="Times New Roman"/>
          <w:sz w:val="28"/>
          <w:szCs w:val="28"/>
          <w:lang w:val="en-US"/>
        </w:rPr>
      </w:pPr>
      <w:r>
        <w:rPr>
          <w:rFonts w:hint="eastAsia" w:ascii="宋体" w:hAnsi="宋体" w:cs="宋体"/>
          <w:color w:val="0000FF"/>
          <w:kern w:val="0"/>
          <w:sz w:val="28"/>
          <w:szCs w:val="28"/>
          <w:lang w:val="en-US" w:eastAsia="zh-CN" w:bidi="ar"/>
        </w:rPr>
        <w:t xml:space="preserve"> </w:t>
      </w:r>
      <w:r>
        <w:rPr>
          <w:rFonts w:hint="eastAsia" w:ascii="宋体" w:hAnsi="宋体" w:cs="宋体"/>
          <w:color w:val="000000"/>
          <w:kern w:val="0"/>
          <w:sz w:val="28"/>
          <w:szCs w:val="28"/>
          <w:lang w:val="en-US" w:eastAsia="zh-CN" w:bidi="ar"/>
        </w:rPr>
        <w:t xml:space="preserve">    </w:t>
      </w:r>
    </w:p>
    <w:p>
      <w:pPr>
        <w:pStyle w:val="10"/>
        <w:ind w:left="0" w:leftChars="0" w:firstLine="0" w:firstLineChars="0"/>
      </w:pPr>
    </w:p>
    <w:p>
      <w:pPr>
        <w:jc w:val="center"/>
        <w:rPr>
          <w:b/>
          <w:bCs/>
          <w:sz w:val="36"/>
          <w:szCs w:val="36"/>
        </w:rPr>
      </w:pPr>
      <w:r>
        <w:rPr>
          <w:rFonts w:ascii="宋体" w:hAnsi="宋体"/>
          <w:b/>
          <w:bCs/>
          <w:sz w:val="36"/>
          <w:szCs w:val="36"/>
        </w:rPr>
        <w:br w:type="page"/>
      </w:r>
      <w:r>
        <w:rPr>
          <w:rFonts w:ascii="宋体" w:hAnsi="宋体"/>
          <w:b/>
          <w:bCs/>
          <w:sz w:val="36"/>
          <w:szCs w:val="36"/>
        </w:rPr>
        <w:t>目录</w:t>
      </w:r>
    </w:p>
    <w:p>
      <w:pPr>
        <w:pStyle w:val="20"/>
        <w:tabs>
          <w:tab w:val="right" w:leader="dot" w:pos="8306"/>
          <w:tab w:val="clear" w:pos="8296"/>
        </w:tabs>
      </w:pPr>
      <w:r>
        <w:fldChar w:fldCharType="begin"/>
      </w:r>
      <w:r>
        <w:instrText xml:space="preserve">TOC \o "1-2" \h \u </w:instrText>
      </w:r>
      <w:r>
        <w:fldChar w:fldCharType="separate"/>
      </w:r>
      <w:r>
        <w:fldChar w:fldCharType="begin"/>
      </w:r>
      <w:r>
        <w:instrText xml:space="preserve"> HYPERLINK \l _Toc8639 </w:instrText>
      </w:r>
      <w:r>
        <w:fldChar w:fldCharType="separate"/>
      </w:r>
      <w:r>
        <w:rPr>
          <w:rFonts w:hint="eastAsia"/>
          <w:bCs/>
          <w:szCs w:val="32"/>
        </w:rPr>
        <w:t xml:space="preserve">第一章  </w:t>
      </w:r>
      <w:r>
        <w:rPr>
          <w:bCs/>
          <w:szCs w:val="32"/>
        </w:rPr>
        <w:t>项目概况</w:t>
      </w:r>
      <w:r>
        <w:tab/>
      </w:r>
      <w:r>
        <w:fldChar w:fldCharType="begin"/>
      </w:r>
      <w:r>
        <w:instrText xml:space="preserve"> PAGEREF _Toc8639 \h </w:instrText>
      </w:r>
      <w:r>
        <w:fldChar w:fldCharType="separate"/>
      </w:r>
      <w:r>
        <w:t>1</w:t>
      </w:r>
      <w:r>
        <w:fldChar w:fldCharType="end"/>
      </w:r>
      <w:r>
        <w:fldChar w:fldCharType="end"/>
      </w:r>
    </w:p>
    <w:p>
      <w:pPr>
        <w:pStyle w:val="24"/>
        <w:tabs>
          <w:tab w:val="right" w:leader="dot" w:pos="8306"/>
          <w:tab w:val="clear" w:pos="8296"/>
        </w:tabs>
      </w:pPr>
      <w:r>
        <w:fldChar w:fldCharType="begin"/>
      </w:r>
      <w:r>
        <w:instrText xml:space="preserve"> HYPERLINK \l _Toc18847 </w:instrText>
      </w:r>
      <w:r>
        <w:fldChar w:fldCharType="separate"/>
      </w:r>
      <w:r>
        <w:rPr>
          <w:rFonts w:hint="eastAsia" w:hAnsi="宋体"/>
          <w:bCs/>
          <w:szCs w:val="28"/>
        </w:rPr>
        <w:t>1.1 项目简介</w:t>
      </w:r>
      <w:r>
        <w:tab/>
      </w:r>
      <w:r>
        <w:fldChar w:fldCharType="begin"/>
      </w:r>
      <w:r>
        <w:instrText xml:space="preserve"> PAGEREF _Toc18847 \h </w:instrText>
      </w:r>
      <w:r>
        <w:fldChar w:fldCharType="separate"/>
      </w:r>
      <w:r>
        <w:t>1</w:t>
      </w:r>
      <w:r>
        <w:fldChar w:fldCharType="end"/>
      </w:r>
      <w:r>
        <w:fldChar w:fldCharType="end"/>
      </w:r>
    </w:p>
    <w:p>
      <w:pPr>
        <w:pStyle w:val="24"/>
        <w:tabs>
          <w:tab w:val="right" w:leader="dot" w:pos="8306"/>
          <w:tab w:val="clear" w:pos="8296"/>
        </w:tabs>
      </w:pPr>
      <w:r>
        <w:fldChar w:fldCharType="begin"/>
      </w:r>
      <w:r>
        <w:instrText xml:space="preserve"> HYPERLINK \l _Toc30918 </w:instrText>
      </w:r>
      <w:r>
        <w:fldChar w:fldCharType="separate"/>
      </w:r>
      <w:r>
        <w:rPr>
          <w:rFonts w:hint="eastAsia" w:hAnsi="宋体"/>
          <w:bCs/>
          <w:szCs w:val="28"/>
        </w:rPr>
        <w:t>1.2 项目</w:t>
      </w:r>
      <w:r>
        <w:rPr>
          <w:rFonts w:hint="eastAsia" w:hAnsi="宋体"/>
          <w:bCs/>
          <w:szCs w:val="28"/>
          <w:lang w:eastAsia="zh-CN"/>
        </w:rPr>
        <w:t>建设</w:t>
      </w:r>
      <w:r>
        <w:rPr>
          <w:rFonts w:hint="eastAsia" w:hAnsi="宋体"/>
          <w:bCs/>
          <w:szCs w:val="28"/>
        </w:rPr>
        <w:t>过程</w:t>
      </w:r>
      <w:r>
        <w:tab/>
      </w:r>
      <w:r>
        <w:fldChar w:fldCharType="begin"/>
      </w:r>
      <w:r>
        <w:instrText xml:space="preserve"> PAGEREF _Toc30918 \h </w:instrText>
      </w:r>
      <w:r>
        <w:fldChar w:fldCharType="separate"/>
      </w:r>
      <w:r>
        <w:t>1</w:t>
      </w:r>
      <w:r>
        <w:fldChar w:fldCharType="end"/>
      </w:r>
      <w:r>
        <w:fldChar w:fldCharType="end"/>
      </w:r>
    </w:p>
    <w:p>
      <w:pPr>
        <w:pStyle w:val="24"/>
        <w:tabs>
          <w:tab w:val="right" w:leader="dot" w:pos="8306"/>
          <w:tab w:val="clear" w:pos="8296"/>
        </w:tabs>
      </w:pPr>
      <w:r>
        <w:fldChar w:fldCharType="begin"/>
      </w:r>
      <w:r>
        <w:instrText xml:space="preserve"> HYPERLINK \l _Toc5223 </w:instrText>
      </w:r>
      <w:r>
        <w:fldChar w:fldCharType="separate"/>
      </w:r>
      <w:r>
        <w:rPr>
          <w:rFonts w:hint="eastAsia" w:hAnsi="宋体"/>
          <w:bCs/>
          <w:szCs w:val="28"/>
        </w:rPr>
        <w:t>1.3验收工作由来</w:t>
      </w:r>
      <w:r>
        <w:tab/>
      </w:r>
      <w:r>
        <w:fldChar w:fldCharType="begin"/>
      </w:r>
      <w:r>
        <w:instrText xml:space="preserve"> PAGEREF _Toc5223 \h </w:instrText>
      </w:r>
      <w:r>
        <w:fldChar w:fldCharType="separate"/>
      </w:r>
      <w:r>
        <w:t>1</w:t>
      </w:r>
      <w:r>
        <w:fldChar w:fldCharType="end"/>
      </w:r>
      <w:r>
        <w:fldChar w:fldCharType="end"/>
      </w:r>
    </w:p>
    <w:p>
      <w:pPr>
        <w:pStyle w:val="24"/>
        <w:tabs>
          <w:tab w:val="right" w:leader="dot" w:pos="8306"/>
          <w:tab w:val="clear" w:pos="8296"/>
        </w:tabs>
      </w:pPr>
      <w:r>
        <w:fldChar w:fldCharType="begin"/>
      </w:r>
      <w:r>
        <w:instrText xml:space="preserve"> HYPERLINK \l _Toc11762 </w:instrText>
      </w:r>
      <w:r>
        <w:fldChar w:fldCharType="separate"/>
      </w:r>
      <w:r>
        <w:rPr>
          <w:bCs/>
          <w:szCs w:val="28"/>
        </w:rPr>
        <w:t>1.4验收条件满足性分析</w:t>
      </w:r>
      <w:r>
        <w:tab/>
      </w:r>
      <w:r>
        <w:fldChar w:fldCharType="begin"/>
      </w:r>
      <w:r>
        <w:instrText xml:space="preserve"> PAGEREF _Toc11762 \h </w:instrText>
      </w:r>
      <w:r>
        <w:fldChar w:fldCharType="separate"/>
      </w:r>
      <w:r>
        <w:t>2</w:t>
      </w:r>
      <w:r>
        <w:fldChar w:fldCharType="end"/>
      </w:r>
      <w:r>
        <w:fldChar w:fldCharType="end"/>
      </w:r>
    </w:p>
    <w:p>
      <w:pPr>
        <w:pStyle w:val="20"/>
        <w:tabs>
          <w:tab w:val="right" w:leader="dot" w:pos="8306"/>
          <w:tab w:val="clear" w:pos="8296"/>
        </w:tabs>
      </w:pPr>
      <w:r>
        <w:fldChar w:fldCharType="begin"/>
      </w:r>
      <w:r>
        <w:instrText xml:space="preserve"> HYPERLINK \l _Toc9465 </w:instrText>
      </w:r>
      <w:r>
        <w:fldChar w:fldCharType="separate"/>
      </w:r>
      <w:r>
        <w:rPr>
          <w:rFonts w:hint="eastAsia"/>
          <w:szCs w:val="32"/>
        </w:rPr>
        <w:t xml:space="preserve">第二章  </w:t>
      </w:r>
      <w:r>
        <w:rPr>
          <w:szCs w:val="32"/>
        </w:rPr>
        <w:t>验收依据</w:t>
      </w:r>
      <w:r>
        <w:tab/>
      </w:r>
      <w:r>
        <w:fldChar w:fldCharType="begin"/>
      </w:r>
      <w:r>
        <w:instrText xml:space="preserve"> PAGEREF _Toc9465 \h </w:instrText>
      </w:r>
      <w:r>
        <w:fldChar w:fldCharType="separate"/>
      </w:r>
      <w:r>
        <w:t>4</w:t>
      </w:r>
      <w:r>
        <w:fldChar w:fldCharType="end"/>
      </w:r>
      <w:r>
        <w:fldChar w:fldCharType="end"/>
      </w:r>
    </w:p>
    <w:p>
      <w:pPr>
        <w:pStyle w:val="24"/>
        <w:tabs>
          <w:tab w:val="right" w:leader="dot" w:pos="8306"/>
          <w:tab w:val="clear" w:pos="8296"/>
        </w:tabs>
      </w:pPr>
      <w:r>
        <w:fldChar w:fldCharType="begin"/>
      </w:r>
      <w:r>
        <w:instrText xml:space="preserve"> HYPERLINK \l _Toc6685 </w:instrText>
      </w:r>
      <w:r>
        <w:fldChar w:fldCharType="separate"/>
      </w:r>
      <w:r>
        <w:rPr>
          <w:bCs/>
          <w:szCs w:val="28"/>
        </w:rPr>
        <w:t>2.1环境保护国家相关法律法规</w:t>
      </w:r>
      <w:r>
        <w:tab/>
      </w:r>
      <w:r>
        <w:fldChar w:fldCharType="begin"/>
      </w:r>
      <w:r>
        <w:instrText xml:space="preserve"> PAGEREF _Toc6685 \h </w:instrText>
      </w:r>
      <w:r>
        <w:fldChar w:fldCharType="separate"/>
      </w:r>
      <w:r>
        <w:t>4</w:t>
      </w:r>
      <w:r>
        <w:fldChar w:fldCharType="end"/>
      </w:r>
      <w:r>
        <w:fldChar w:fldCharType="end"/>
      </w:r>
    </w:p>
    <w:p>
      <w:pPr>
        <w:pStyle w:val="24"/>
        <w:tabs>
          <w:tab w:val="right" w:leader="dot" w:pos="8306"/>
          <w:tab w:val="clear" w:pos="8296"/>
        </w:tabs>
      </w:pPr>
      <w:r>
        <w:fldChar w:fldCharType="begin"/>
      </w:r>
      <w:r>
        <w:instrText xml:space="preserve"> HYPERLINK \l _Toc31861 </w:instrText>
      </w:r>
      <w:r>
        <w:fldChar w:fldCharType="separate"/>
      </w:r>
      <w:r>
        <w:rPr>
          <w:bCs/>
          <w:szCs w:val="28"/>
        </w:rPr>
        <w:t>2.2验收相关文件、条例、通知等</w:t>
      </w:r>
      <w:r>
        <w:tab/>
      </w:r>
      <w:r>
        <w:fldChar w:fldCharType="begin"/>
      </w:r>
      <w:r>
        <w:instrText xml:space="preserve"> PAGEREF _Toc31861 \h </w:instrText>
      </w:r>
      <w:r>
        <w:fldChar w:fldCharType="separate"/>
      </w:r>
      <w:r>
        <w:t>4</w:t>
      </w:r>
      <w:r>
        <w:fldChar w:fldCharType="end"/>
      </w:r>
      <w:r>
        <w:fldChar w:fldCharType="end"/>
      </w:r>
    </w:p>
    <w:p>
      <w:pPr>
        <w:pStyle w:val="24"/>
        <w:tabs>
          <w:tab w:val="right" w:leader="dot" w:pos="8306"/>
          <w:tab w:val="clear" w:pos="8296"/>
        </w:tabs>
      </w:pPr>
      <w:r>
        <w:fldChar w:fldCharType="begin"/>
      </w:r>
      <w:r>
        <w:instrText xml:space="preserve"> HYPERLINK \l _Toc24273 </w:instrText>
      </w:r>
      <w:r>
        <w:fldChar w:fldCharType="separate"/>
      </w:r>
      <w:r>
        <w:rPr>
          <w:szCs w:val="28"/>
        </w:rPr>
        <w:t>2.3开展验收工作相关文件</w:t>
      </w:r>
      <w:r>
        <w:tab/>
      </w:r>
      <w:r>
        <w:fldChar w:fldCharType="begin"/>
      </w:r>
      <w:r>
        <w:instrText xml:space="preserve"> PAGEREF _Toc24273 \h </w:instrText>
      </w:r>
      <w:r>
        <w:fldChar w:fldCharType="separate"/>
      </w:r>
      <w:r>
        <w:t>4</w:t>
      </w:r>
      <w:r>
        <w:fldChar w:fldCharType="end"/>
      </w:r>
      <w:r>
        <w:fldChar w:fldCharType="end"/>
      </w:r>
    </w:p>
    <w:p>
      <w:pPr>
        <w:pStyle w:val="20"/>
        <w:tabs>
          <w:tab w:val="right" w:leader="dot" w:pos="8306"/>
          <w:tab w:val="clear" w:pos="8296"/>
        </w:tabs>
      </w:pPr>
      <w:r>
        <w:fldChar w:fldCharType="begin"/>
      </w:r>
      <w:r>
        <w:instrText xml:space="preserve"> HYPERLINK \l _Toc28545 </w:instrText>
      </w:r>
      <w:r>
        <w:fldChar w:fldCharType="separate"/>
      </w:r>
      <w:r>
        <w:rPr>
          <w:rFonts w:hint="eastAsia"/>
          <w:szCs w:val="32"/>
        </w:rPr>
        <w:t xml:space="preserve">第三章 </w:t>
      </w:r>
      <w:r>
        <w:rPr>
          <w:rFonts w:hint="eastAsia"/>
          <w:szCs w:val="32"/>
          <w:lang w:eastAsia="zh-CN"/>
        </w:rPr>
        <w:t>项目</w:t>
      </w:r>
      <w:r>
        <w:rPr>
          <w:szCs w:val="32"/>
        </w:rPr>
        <w:t>建设情况</w:t>
      </w:r>
      <w:r>
        <w:tab/>
      </w:r>
      <w:r>
        <w:fldChar w:fldCharType="begin"/>
      </w:r>
      <w:r>
        <w:instrText xml:space="preserve"> PAGEREF _Toc28545 \h </w:instrText>
      </w:r>
      <w:r>
        <w:fldChar w:fldCharType="separate"/>
      </w:r>
      <w:r>
        <w:t>5</w:t>
      </w:r>
      <w:r>
        <w:fldChar w:fldCharType="end"/>
      </w:r>
      <w:r>
        <w:fldChar w:fldCharType="end"/>
      </w:r>
    </w:p>
    <w:p>
      <w:pPr>
        <w:pStyle w:val="24"/>
        <w:tabs>
          <w:tab w:val="right" w:leader="dot" w:pos="8306"/>
          <w:tab w:val="clear" w:pos="8296"/>
        </w:tabs>
      </w:pPr>
      <w:r>
        <w:fldChar w:fldCharType="begin"/>
      </w:r>
      <w:r>
        <w:instrText xml:space="preserve"> HYPERLINK \l _Toc23126 </w:instrText>
      </w:r>
      <w:r>
        <w:fldChar w:fldCharType="separate"/>
      </w:r>
      <w:r>
        <w:rPr>
          <w:bCs/>
          <w:szCs w:val="28"/>
        </w:rPr>
        <w:t>3.1</w:t>
      </w:r>
      <w:r>
        <w:rPr>
          <w:szCs w:val="28"/>
        </w:rPr>
        <w:t>项目基本情况</w:t>
      </w:r>
      <w:r>
        <w:tab/>
      </w:r>
      <w:r>
        <w:fldChar w:fldCharType="begin"/>
      </w:r>
      <w:r>
        <w:instrText xml:space="preserve"> PAGEREF _Toc23126 \h </w:instrText>
      </w:r>
      <w:r>
        <w:fldChar w:fldCharType="separate"/>
      </w:r>
      <w:r>
        <w:t>5</w:t>
      </w:r>
      <w:r>
        <w:fldChar w:fldCharType="end"/>
      </w:r>
      <w:r>
        <w:fldChar w:fldCharType="end"/>
      </w:r>
    </w:p>
    <w:p>
      <w:pPr>
        <w:pStyle w:val="24"/>
        <w:tabs>
          <w:tab w:val="right" w:leader="dot" w:pos="8306"/>
          <w:tab w:val="clear" w:pos="8296"/>
        </w:tabs>
      </w:pPr>
      <w:r>
        <w:fldChar w:fldCharType="begin"/>
      </w:r>
      <w:r>
        <w:instrText xml:space="preserve"> HYPERLINK \l _Toc13973 </w:instrText>
      </w:r>
      <w:r>
        <w:fldChar w:fldCharType="separate"/>
      </w:r>
      <w:r>
        <w:rPr>
          <w:szCs w:val="28"/>
        </w:rPr>
        <w:t>3.2 建设内容</w:t>
      </w:r>
      <w:r>
        <w:tab/>
      </w:r>
      <w:r>
        <w:fldChar w:fldCharType="begin"/>
      </w:r>
      <w:r>
        <w:instrText xml:space="preserve"> PAGEREF _Toc13973 \h </w:instrText>
      </w:r>
      <w:r>
        <w:fldChar w:fldCharType="separate"/>
      </w:r>
      <w:r>
        <w:t>5</w:t>
      </w:r>
      <w:r>
        <w:fldChar w:fldCharType="end"/>
      </w:r>
      <w:r>
        <w:fldChar w:fldCharType="end"/>
      </w:r>
    </w:p>
    <w:p>
      <w:pPr>
        <w:pStyle w:val="24"/>
        <w:tabs>
          <w:tab w:val="right" w:leader="dot" w:pos="8306"/>
          <w:tab w:val="clear" w:pos="8296"/>
        </w:tabs>
      </w:pPr>
      <w:r>
        <w:fldChar w:fldCharType="begin"/>
      </w:r>
      <w:r>
        <w:instrText xml:space="preserve"> HYPERLINK \l _Toc12623 </w:instrText>
      </w:r>
      <w:r>
        <w:fldChar w:fldCharType="separate"/>
      </w:r>
      <w:r>
        <w:rPr>
          <w:rFonts w:hint="eastAsia"/>
          <w:szCs w:val="28"/>
        </w:rPr>
        <w:t>3.3</w:t>
      </w:r>
      <w:r>
        <w:rPr>
          <w:szCs w:val="28"/>
        </w:rPr>
        <w:t>主要原辅材料</w:t>
      </w:r>
      <w:r>
        <w:tab/>
      </w:r>
      <w:r>
        <w:fldChar w:fldCharType="begin"/>
      </w:r>
      <w:r>
        <w:instrText xml:space="preserve"> PAGEREF _Toc12623 \h </w:instrText>
      </w:r>
      <w:r>
        <w:fldChar w:fldCharType="separate"/>
      </w:r>
      <w:r>
        <w:t>7</w:t>
      </w:r>
      <w:r>
        <w:fldChar w:fldCharType="end"/>
      </w:r>
      <w:r>
        <w:fldChar w:fldCharType="end"/>
      </w:r>
    </w:p>
    <w:p>
      <w:pPr>
        <w:pStyle w:val="24"/>
        <w:tabs>
          <w:tab w:val="right" w:leader="dot" w:pos="8306"/>
          <w:tab w:val="clear" w:pos="8296"/>
        </w:tabs>
      </w:pPr>
      <w:r>
        <w:fldChar w:fldCharType="begin"/>
      </w:r>
      <w:r>
        <w:instrText xml:space="preserve"> HYPERLINK \l _Toc8621 </w:instrText>
      </w:r>
      <w:r>
        <w:fldChar w:fldCharType="separate"/>
      </w:r>
      <w:r>
        <w:rPr>
          <w:szCs w:val="28"/>
        </w:rPr>
        <w:t>3.4水源及水平衡</w:t>
      </w:r>
      <w:r>
        <w:tab/>
      </w:r>
      <w:r>
        <w:fldChar w:fldCharType="begin"/>
      </w:r>
      <w:r>
        <w:instrText xml:space="preserve"> PAGEREF _Toc8621 \h </w:instrText>
      </w:r>
      <w:r>
        <w:fldChar w:fldCharType="separate"/>
      </w:r>
      <w:r>
        <w:t>10</w:t>
      </w:r>
      <w:r>
        <w:fldChar w:fldCharType="end"/>
      </w:r>
      <w:r>
        <w:fldChar w:fldCharType="end"/>
      </w:r>
    </w:p>
    <w:p>
      <w:pPr>
        <w:pStyle w:val="24"/>
        <w:tabs>
          <w:tab w:val="right" w:leader="dot" w:pos="8306"/>
          <w:tab w:val="clear" w:pos="8296"/>
        </w:tabs>
      </w:pPr>
      <w:r>
        <w:fldChar w:fldCharType="begin"/>
      </w:r>
      <w:r>
        <w:instrText xml:space="preserve"> HYPERLINK \l _Toc16930 </w:instrText>
      </w:r>
      <w:r>
        <w:fldChar w:fldCharType="separate"/>
      </w:r>
      <w:r>
        <w:rPr>
          <w:bCs/>
          <w:szCs w:val="28"/>
        </w:rPr>
        <w:t>3.5生产工艺</w:t>
      </w:r>
      <w:r>
        <w:tab/>
      </w:r>
      <w:r>
        <w:fldChar w:fldCharType="begin"/>
      </w:r>
      <w:r>
        <w:instrText xml:space="preserve"> PAGEREF _Toc16930 \h </w:instrText>
      </w:r>
      <w:r>
        <w:fldChar w:fldCharType="separate"/>
      </w:r>
      <w:r>
        <w:t>14</w:t>
      </w:r>
      <w:r>
        <w:fldChar w:fldCharType="end"/>
      </w:r>
      <w:r>
        <w:fldChar w:fldCharType="end"/>
      </w:r>
    </w:p>
    <w:p>
      <w:pPr>
        <w:pStyle w:val="20"/>
        <w:tabs>
          <w:tab w:val="right" w:leader="dot" w:pos="8306"/>
          <w:tab w:val="clear" w:pos="8296"/>
        </w:tabs>
      </w:pPr>
      <w:r>
        <w:fldChar w:fldCharType="begin"/>
      </w:r>
      <w:r>
        <w:instrText xml:space="preserve"> HYPERLINK \l _Toc14526 </w:instrText>
      </w:r>
      <w:r>
        <w:fldChar w:fldCharType="separate"/>
      </w:r>
      <w:r>
        <w:rPr>
          <w:rFonts w:hint="eastAsia"/>
        </w:rPr>
        <w:t xml:space="preserve">第四章  </w:t>
      </w:r>
      <w:r>
        <w:t>环境保护设施</w:t>
      </w:r>
      <w:r>
        <w:tab/>
      </w:r>
      <w:r>
        <w:fldChar w:fldCharType="begin"/>
      </w:r>
      <w:r>
        <w:instrText xml:space="preserve"> PAGEREF _Toc14526 \h </w:instrText>
      </w:r>
      <w:r>
        <w:fldChar w:fldCharType="separate"/>
      </w:r>
      <w:r>
        <w:t>21</w:t>
      </w:r>
      <w:r>
        <w:fldChar w:fldCharType="end"/>
      </w:r>
      <w:r>
        <w:fldChar w:fldCharType="end"/>
      </w:r>
    </w:p>
    <w:p>
      <w:pPr>
        <w:pStyle w:val="24"/>
        <w:tabs>
          <w:tab w:val="right" w:leader="dot" w:pos="8306"/>
          <w:tab w:val="clear" w:pos="8296"/>
        </w:tabs>
      </w:pPr>
      <w:r>
        <w:fldChar w:fldCharType="begin"/>
      </w:r>
      <w:r>
        <w:instrText xml:space="preserve"> HYPERLINK \l _Toc14807 </w:instrText>
      </w:r>
      <w:r>
        <w:fldChar w:fldCharType="separate"/>
      </w:r>
      <w:r>
        <w:rPr>
          <w:bCs/>
          <w:szCs w:val="28"/>
        </w:rPr>
        <w:t>4.1污染物治理/处置设施</w:t>
      </w:r>
      <w:r>
        <w:tab/>
      </w:r>
      <w:r>
        <w:fldChar w:fldCharType="begin"/>
      </w:r>
      <w:r>
        <w:instrText xml:space="preserve"> PAGEREF _Toc14807 \h </w:instrText>
      </w:r>
      <w:r>
        <w:fldChar w:fldCharType="separate"/>
      </w:r>
      <w:r>
        <w:t>21</w:t>
      </w:r>
      <w:r>
        <w:fldChar w:fldCharType="end"/>
      </w:r>
      <w:r>
        <w:fldChar w:fldCharType="end"/>
      </w:r>
    </w:p>
    <w:p>
      <w:pPr>
        <w:pStyle w:val="24"/>
        <w:tabs>
          <w:tab w:val="right" w:leader="dot" w:pos="8306"/>
          <w:tab w:val="clear" w:pos="8296"/>
        </w:tabs>
      </w:pPr>
      <w:r>
        <w:fldChar w:fldCharType="begin"/>
      </w:r>
      <w:r>
        <w:instrText xml:space="preserve"> HYPERLINK \l _Toc28033 </w:instrText>
      </w:r>
      <w:r>
        <w:fldChar w:fldCharType="separate"/>
      </w:r>
      <w:r>
        <w:rPr>
          <w:rFonts w:hint="eastAsia"/>
          <w:bCs w:val="0"/>
          <w:lang w:val="en-US" w:eastAsia="zh-CN"/>
        </w:rPr>
        <w:t>4.2.1 环境风险防范措施</w:t>
      </w:r>
      <w:r>
        <w:tab/>
      </w:r>
      <w:r>
        <w:fldChar w:fldCharType="begin"/>
      </w:r>
      <w:r>
        <w:instrText xml:space="preserve"> PAGEREF _Toc28033 \h </w:instrText>
      </w:r>
      <w:r>
        <w:fldChar w:fldCharType="separate"/>
      </w:r>
      <w:r>
        <w:t>23</w:t>
      </w:r>
      <w:r>
        <w:fldChar w:fldCharType="end"/>
      </w:r>
      <w:r>
        <w:fldChar w:fldCharType="end"/>
      </w:r>
    </w:p>
    <w:p>
      <w:pPr>
        <w:pStyle w:val="24"/>
        <w:tabs>
          <w:tab w:val="right" w:leader="dot" w:pos="8306"/>
          <w:tab w:val="clear" w:pos="8296"/>
        </w:tabs>
      </w:pPr>
      <w:r>
        <w:fldChar w:fldCharType="begin"/>
      </w:r>
      <w:r>
        <w:instrText xml:space="preserve"> HYPERLINK \l _Toc20546 </w:instrText>
      </w:r>
      <w:r>
        <w:fldChar w:fldCharType="separate"/>
      </w:r>
      <w:r>
        <w:rPr>
          <w:rFonts w:hint="eastAsia"/>
          <w:bCs w:val="0"/>
          <w:lang w:val="en-US" w:eastAsia="zh-CN"/>
        </w:rPr>
        <w:t>4.2.2 规范化排污口、监测设施及在线监测装置</w:t>
      </w:r>
      <w:r>
        <w:tab/>
      </w:r>
      <w:r>
        <w:fldChar w:fldCharType="begin"/>
      </w:r>
      <w:r>
        <w:instrText xml:space="preserve"> PAGEREF _Toc20546 \h </w:instrText>
      </w:r>
      <w:r>
        <w:fldChar w:fldCharType="separate"/>
      </w:r>
      <w:r>
        <w:t>24</w:t>
      </w:r>
      <w:r>
        <w:fldChar w:fldCharType="end"/>
      </w:r>
      <w:r>
        <w:fldChar w:fldCharType="end"/>
      </w:r>
    </w:p>
    <w:p>
      <w:pPr>
        <w:pStyle w:val="24"/>
        <w:tabs>
          <w:tab w:val="right" w:leader="dot" w:pos="8306"/>
          <w:tab w:val="clear" w:pos="8296"/>
        </w:tabs>
      </w:pPr>
      <w:r>
        <w:fldChar w:fldCharType="begin"/>
      </w:r>
      <w:r>
        <w:instrText xml:space="preserve"> HYPERLINK \l _Toc30690 </w:instrText>
      </w:r>
      <w:r>
        <w:fldChar w:fldCharType="separate"/>
      </w:r>
      <w:r>
        <w:rPr>
          <w:rFonts w:ascii="Times New Roman" w:hAnsi="Times New Roman" w:eastAsia="宋体" w:cs="Times New Roman"/>
          <w:bCs/>
          <w:kern w:val="2"/>
          <w:szCs w:val="28"/>
          <w:lang w:val="en-US" w:eastAsia="zh-CN" w:bidi="ar-SA"/>
        </w:rPr>
        <w:t>4.</w:t>
      </w:r>
      <w:r>
        <w:rPr>
          <w:rFonts w:hint="eastAsia" w:hAnsi="Times New Roman" w:cs="Times New Roman"/>
          <w:bCs/>
          <w:kern w:val="2"/>
          <w:szCs w:val="28"/>
          <w:lang w:val="en-US" w:eastAsia="zh-CN" w:bidi="ar-SA"/>
        </w:rPr>
        <w:t>3</w:t>
      </w:r>
      <w:r>
        <w:rPr>
          <w:rFonts w:ascii="Times New Roman" w:hAnsi="Times New Roman" w:eastAsia="宋体" w:cs="Times New Roman"/>
          <w:bCs/>
          <w:kern w:val="2"/>
          <w:szCs w:val="28"/>
          <w:lang w:val="en-US" w:eastAsia="zh-CN" w:bidi="ar-SA"/>
        </w:rPr>
        <w:t>环保设施投资及“三同时”落实情况</w:t>
      </w:r>
      <w:r>
        <w:tab/>
      </w:r>
      <w:r>
        <w:fldChar w:fldCharType="begin"/>
      </w:r>
      <w:r>
        <w:instrText xml:space="preserve"> PAGEREF _Toc30690 \h </w:instrText>
      </w:r>
      <w:r>
        <w:fldChar w:fldCharType="separate"/>
      </w:r>
      <w:r>
        <w:t>24</w:t>
      </w:r>
      <w:r>
        <w:fldChar w:fldCharType="end"/>
      </w:r>
      <w:r>
        <w:fldChar w:fldCharType="end"/>
      </w:r>
    </w:p>
    <w:p>
      <w:pPr>
        <w:pStyle w:val="20"/>
        <w:tabs>
          <w:tab w:val="right" w:leader="dot" w:pos="8306"/>
          <w:tab w:val="clear" w:pos="8296"/>
        </w:tabs>
      </w:pPr>
      <w:r>
        <w:fldChar w:fldCharType="begin"/>
      </w:r>
      <w:r>
        <w:instrText xml:space="preserve"> HYPERLINK \l _Toc26839 </w:instrText>
      </w:r>
      <w:r>
        <w:fldChar w:fldCharType="separate"/>
      </w:r>
      <w:r>
        <w:rPr>
          <w:rFonts w:hint="eastAsia"/>
        </w:rPr>
        <w:t xml:space="preserve">第五章 </w:t>
      </w:r>
      <w:r>
        <w:t>环评报告</w:t>
      </w:r>
      <w:r>
        <w:rPr>
          <w:rFonts w:hint="eastAsia"/>
        </w:rPr>
        <w:t>书</w:t>
      </w:r>
      <w:r>
        <w:t>的主要结论与建议及审批部门审批决定</w:t>
      </w:r>
      <w:r>
        <w:tab/>
      </w:r>
      <w:r>
        <w:fldChar w:fldCharType="begin"/>
      </w:r>
      <w:r>
        <w:instrText xml:space="preserve"> PAGEREF _Toc26839 \h </w:instrText>
      </w:r>
      <w:r>
        <w:fldChar w:fldCharType="separate"/>
      </w:r>
      <w:r>
        <w:t>26</w:t>
      </w:r>
      <w:r>
        <w:fldChar w:fldCharType="end"/>
      </w:r>
      <w:r>
        <w:fldChar w:fldCharType="end"/>
      </w:r>
    </w:p>
    <w:p>
      <w:pPr>
        <w:pStyle w:val="24"/>
        <w:tabs>
          <w:tab w:val="right" w:leader="dot" w:pos="8306"/>
          <w:tab w:val="clear" w:pos="8296"/>
        </w:tabs>
      </w:pPr>
      <w:r>
        <w:fldChar w:fldCharType="begin"/>
      </w:r>
      <w:r>
        <w:instrText xml:space="preserve"> HYPERLINK \l _Toc23275 </w:instrText>
      </w:r>
      <w:r>
        <w:fldChar w:fldCharType="separate"/>
      </w:r>
      <w:r>
        <w:rPr>
          <w:rFonts w:hint="default" w:ascii="Times New Roman" w:hAnsi="Times New Roman"/>
          <w:szCs w:val="28"/>
        </w:rPr>
        <w:t>5.1环评报告书的主要结论与建议</w:t>
      </w:r>
      <w:r>
        <w:tab/>
      </w:r>
      <w:r>
        <w:fldChar w:fldCharType="begin"/>
      </w:r>
      <w:r>
        <w:instrText xml:space="preserve"> PAGEREF _Toc23275 \h </w:instrText>
      </w:r>
      <w:r>
        <w:fldChar w:fldCharType="separate"/>
      </w:r>
      <w:r>
        <w:t>26</w:t>
      </w:r>
      <w:r>
        <w:fldChar w:fldCharType="end"/>
      </w:r>
      <w:r>
        <w:fldChar w:fldCharType="end"/>
      </w:r>
    </w:p>
    <w:p>
      <w:pPr>
        <w:pStyle w:val="24"/>
        <w:tabs>
          <w:tab w:val="right" w:leader="dot" w:pos="8306"/>
          <w:tab w:val="clear" w:pos="8296"/>
        </w:tabs>
      </w:pPr>
      <w:r>
        <w:fldChar w:fldCharType="begin"/>
      </w:r>
      <w:r>
        <w:instrText xml:space="preserve"> HYPERLINK \l _Toc134 </w:instrText>
      </w:r>
      <w:r>
        <w:fldChar w:fldCharType="separate"/>
      </w:r>
      <w:r>
        <w:rPr>
          <w:rFonts w:ascii="Times New Roman" w:hAnsi="Times New Roman"/>
          <w:szCs w:val="28"/>
        </w:rPr>
        <w:t>5.2关于项目环境影响报告书的批复</w:t>
      </w:r>
      <w:r>
        <w:tab/>
      </w:r>
      <w:r>
        <w:fldChar w:fldCharType="begin"/>
      </w:r>
      <w:r>
        <w:instrText xml:space="preserve"> PAGEREF _Toc134 \h </w:instrText>
      </w:r>
      <w:r>
        <w:fldChar w:fldCharType="separate"/>
      </w:r>
      <w:r>
        <w:t>28</w:t>
      </w:r>
      <w:r>
        <w:fldChar w:fldCharType="end"/>
      </w:r>
      <w:r>
        <w:fldChar w:fldCharType="end"/>
      </w:r>
    </w:p>
    <w:p>
      <w:pPr>
        <w:pStyle w:val="24"/>
        <w:tabs>
          <w:tab w:val="right" w:leader="dot" w:pos="8306"/>
          <w:tab w:val="clear" w:pos="8296"/>
        </w:tabs>
      </w:pPr>
      <w:r>
        <w:fldChar w:fldCharType="begin"/>
      </w:r>
      <w:r>
        <w:instrText xml:space="preserve"> HYPERLINK \l _Toc31776 </w:instrText>
      </w:r>
      <w:r>
        <w:fldChar w:fldCharType="separate"/>
      </w:r>
      <w:r>
        <w:rPr>
          <w:szCs w:val="28"/>
        </w:rPr>
        <w:t>5.3环评及批复要求中相关设施、措施核查</w:t>
      </w:r>
      <w:r>
        <w:tab/>
      </w:r>
      <w:r>
        <w:fldChar w:fldCharType="begin"/>
      </w:r>
      <w:r>
        <w:instrText xml:space="preserve"> PAGEREF _Toc31776 \h </w:instrText>
      </w:r>
      <w:r>
        <w:fldChar w:fldCharType="separate"/>
      </w:r>
      <w:r>
        <w:t>29</w:t>
      </w:r>
      <w:r>
        <w:fldChar w:fldCharType="end"/>
      </w:r>
      <w:r>
        <w:fldChar w:fldCharType="end"/>
      </w:r>
    </w:p>
    <w:p>
      <w:pPr>
        <w:pStyle w:val="20"/>
        <w:tabs>
          <w:tab w:val="right" w:leader="dot" w:pos="8306"/>
          <w:tab w:val="clear" w:pos="8296"/>
        </w:tabs>
      </w:pPr>
      <w:r>
        <w:fldChar w:fldCharType="begin"/>
      </w:r>
      <w:r>
        <w:instrText xml:space="preserve"> HYPERLINK \l _Toc25666 </w:instrText>
      </w:r>
      <w:r>
        <w:fldChar w:fldCharType="separate"/>
      </w:r>
      <w:r>
        <w:rPr>
          <w:rFonts w:hint="eastAsia"/>
        </w:rPr>
        <w:t xml:space="preserve">第六章  </w:t>
      </w:r>
      <w:r>
        <w:t>验收执行标准</w:t>
      </w:r>
      <w:r>
        <w:tab/>
      </w:r>
      <w:r>
        <w:fldChar w:fldCharType="begin"/>
      </w:r>
      <w:r>
        <w:instrText xml:space="preserve"> PAGEREF _Toc25666 \h </w:instrText>
      </w:r>
      <w:r>
        <w:fldChar w:fldCharType="separate"/>
      </w:r>
      <w:r>
        <w:t>32</w:t>
      </w:r>
      <w:r>
        <w:fldChar w:fldCharType="end"/>
      </w:r>
      <w:r>
        <w:fldChar w:fldCharType="end"/>
      </w:r>
    </w:p>
    <w:p>
      <w:pPr>
        <w:pStyle w:val="24"/>
        <w:tabs>
          <w:tab w:val="right" w:leader="dot" w:pos="8306"/>
          <w:tab w:val="clear" w:pos="8296"/>
        </w:tabs>
      </w:pPr>
      <w:r>
        <w:fldChar w:fldCharType="begin"/>
      </w:r>
      <w:r>
        <w:instrText xml:space="preserve"> HYPERLINK \l _Toc31353 </w:instrText>
      </w:r>
      <w:r>
        <w:fldChar w:fldCharType="separate"/>
      </w:r>
      <w:r>
        <w:rPr>
          <w:szCs w:val="28"/>
        </w:rPr>
        <w:t>6.1 环境质量标准</w:t>
      </w:r>
      <w:r>
        <w:tab/>
      </w:r>
      <w:r>
        <w:fldChar w:fldCharType="begin"/>
      </w:r>
      <w:r>
        <w:instrText xml:space="preserve"> PAGEREF _Toc31353 \h </w:instrText>
      </w:r>
      <w:r>
        <w:fldChar w:fldCharType="separate"/>
      </w:r>
      <w:r>
        <w:t>32</w:t>
      </w:r>
      <w:r>
        <w:fldChar w:fldCharType="end"/>
      </w:r>
      <w:r>
        <w:fldChar w:fldCharType="end"/>
      </w:r>
    </w:p>
    <w:p>
      <w:pPr>
        <w:pStyle w:val="24"/>
        <w:tabs>
          <w:tab w:val="right" w:leader="dot" w:pos="8306"/>
          <w:tab w:val="clear" w:pos="8296"/>
        </w:tabs>
      </w:pPr>
      <w:r>
        <w:fldChar w:fldCharType="begin"/>
      </w:r>
      <w:r>
        <w:instrText xml:space="preserve"> HYPERLINK \l _Toc28077 </w:instrText>
      </w:r>
      <w:r>
        <w:fldChar w:fldCharType="separate"/>
      </w:r>
      <w:r>
        <w:rPr>
          <w:rFonts w:hint="eastAsia"/>
          <w:szCs w:val="24"/>
          <w:lang w:val="en-US" w:eastAsia="zh-CN"/>
        </w:rPr>
        <w:t>6.</w:t>
      </w:r>
      <w:r>
        <w:rPr>
          <w:szCs w:val="24"/>
          <w:lang w:val="zh-CN"/>
        </w:rPr>
        <w:t>1</w:t>
      </w:r>
      <w:r>
        <w:rPr>
          <w:rFonts w:hint="eastAsia"/>
          <w:szCs w:val="24"/>
          <w:lang w:val="en-US" w:eastAsia="zh-CN"/>
        </w:rPr>
        <w:t>.1</w:t>
      </w:r>
      <w:r>
        <w:rPr>
          <w:szCs w:val="24"/>
          <w:lang w:val="zh-CN"/>
        </w:rPr>
        <w:t>、环境空气质量标准</w:t>
      </w:r>
      <w:r>
        <w:tab/>
      </w:r>
      <w:r>
        <w:fldChar w:fldCharType="begin"/>
      </w:r>
      <w:r>
        <w:instrText xml:space="preserve"> PAGEREF _Toc28077 \h </w:instrText>
      </w:r>
      <w:r>
        <w:fldChar w:fldCharType="separate"/>
      </w:r>
      <w:r>
        <w:t>32</w:t>
      </w:r>
      <w:r>
        <w:fldChar w:fldCharType="end"/>
      </w:r>
      <w:r>
        <w:fldChar w:fldCharType="end"/>
      </w:r>
    </w:p>
    <w:p>
      <w:pPr>
        <w:pStyle w:val="24"/>
        <w:tabs>
          <w:tab w:val="right" w:leader="dot" w:pos="8306"/>
          <w:tab w:val="clear" w:pos="8296"/>
        </w:tabs>
      </w:pPr>
      <w:r>
        <w:fldChar w:fldCharType="begin"/>
      </w:r>
      <w:r>
        <w:instrText xml:space="preserve"> HYPERLINK \l _Toc19827 </w:instrText>
      </w:r>
      <w:r>
        <w:fldChar w:fldCharType="separate"/>
      </w:r>
      <w:r>
        <w:rPr>
          <w:rFonts w:hint="eastAsia"/>
          <w:szCs w:val="24"/>
          <w:lang w:val="en-US" w:eastAsia="zh-CN"/>
        </w:rPr>
        <w:t>6.1.2</w:t>
      </w:r>
      <w:r>
        <w:rPr>
          <w:szCs w:val="24"/>
          <w:lang w:val="zh-CN"/>
        </w:rPr>
        <w:t>、地表水环境质量标准</w:t>
      </w:r>
      <w:r>
        <w:tab/>
      </w:r>
      <w:r>
        <w:fldChar w:fldCharType="begin"/>
      </w:r>
      <w:r>
        <w:instrText xml:space="preserve"> PAGEREF _Toc19827 \h </w:instrText>
      </w:r>
      <w:r>
        <w:fldChar w:fldCharType="separate"/>
      </w:r>
      <w:r>
        <w:t>33</w:t>
      </w:r>
      <w:r>
        <w:fldChar w:fldCharType="end"/>
      </w:r>
      <w:r>
        <w:fldChar w:fldCharType="end"/>
      </w:r>
    </w:p>
    <w:p>
      <w:pPr>
        <w:pStyle w:val="24"/>
        <w:tabs>
          <w:tab w:val="right" w:leader="dot" w:pos="8306"/>
          <w:tab w:val="clear" w:pos="8296"/>
        </w:tabs>
      </w:pPr>
      <w:r>
        <w:fldChar w:fldCharType="begin"/>
      </w:r>
      <w:r>
        <w:instrText xml:space="preserve"> HYPERLINK \l _Toc12587 </w:instrText>
      </w:r>
      <w:r>
        <w:fldChar w:fldCharType="separate"/>
      </w:r>
      <w:r>
        <w:rPr>
          <w:rFonts w:hint="eastAsia"/>
          <w:szCs w:val="24"/>
          <w:lang w:val="en-US" w:eastAsia="zh-CN"/>
        </w:rPr>
        <w:t>6.1.</w:t>
      </w:r>
      <w:r>
        <w:rPr>
          <w:szCs w:val="24"/>
          <w:lang w:val="zh-CN"/>
        </w:rPr>
        <w:t>3、声环境质量标准</w:t>
      </w:r>
      <w:r>
        <w:tab/>
      </w:r>
      <w:r>
        <w:fldChar w:fldCharType="begin"/>
      </w:r>
      <w:r>
        <w:instrText xml:space="preserve"> PAGEREF _Toc12587 \h </w:instrText>
      </w:r>
      <w:r>
        <w:fldChar w:fldCharType="separate"/>
      </w:r>
      <w:r>
        <w:t>33</w:t>
      </w:r>
      <w:r>
        <w:fldChar w:fldCharType="end"/>
      </w:r>
      <w:r>
        <w:fldChar w:fldCharType="end"/>
      </w:r>
    </w:p>
    <w:p>
      <w:pPr>
        <w:pStyle w:val="24"/>
        <w:tabs>
          <w:tab w:val="right" w:leader="dot" w:pos="8306"/>
          <w:tab w:val="clear" w:pos="8296"/>
        </w:tabs>
      </w:pPr>
      <w:r>
        <w:fldChar w:fldCharType="begin"/>
      </w:r>
      <w:r>
        <w:instrText xml:space="preserve"> HYPERLINK \l _Toc12119 </w:instrText>
      </w:r>
      <w:r>
        <w:fldChar w:fldCharType="separate"/>
      </w:r>
      <w:r>
        <w:rPr>
          <w:rFonts w:hint="eastAsia"/>
          <w:szCs w:val="28"/>
        </w:rPr>
        <w:t>6.2</w:t>
      </w:r>
      <w:r>
        <w:rPr>
          <w:szCs w:val="28"/>
        </w:rPr>
        <w:t>污染物排放标准</w:t>
      </w:r>
      <w:r>
        <w:tab/>
      </w:r>
      <w:r>
        <w:fldChar w:fldCharType="begin"/>
      </w:r>
      <w:r>
        <w:instrText xml:space="preserve"> PAGEREF _Toc12119 \h </w:instrText>
      </w:r>
      <w:r>
        <w:fldChar w:fldCharType="separate"/>
      </w:r>
      <w:r>
        <w:t>33</w:t>
      </w:r>
      <w:r>
        <w:fldChar w:fldCharType="end"/>
      </w:r>
      <w:r>
        <w:fldChar w:fldCharType="end"/>
      </w:r>
    </w:p>
    <w:p>
      <w:pPr>
        <w:pStyle w:val="24"/>
        <w:tabs>
          <w:tab w:val="right" w:leader="dot" w:pos="8306"/>
          <w:tab w:val="clear" w:pos="8296"/>
        </w:tabs>
      </w:pPr>
      <w:r>
        <w:fldChar w:fldCharType="begin"/>
      </w:r>
      <w:r>
        <w:instrText xml:space="preserve"> HYPERLINK \l _Toc24972 </w:instrText>
      </w:r>
      <w:r>
        <w:fldChar w:fldCharType="separate"/>
      </w:r>
      <w:r>
        <w:rPr>
          <w:rFonts w:hint="eastAsia"/>
          <w:szCs w:val="24"/>
          <w:lang w:val="en-US" w:eastAsia="zh-CN"/>
        </w:rPr>
        <w:t>6.2.</w:t>
      </w:r>
      <w:r>
        <w:rPr>
          <w:rFonts w:hint="default"/>
          <w:szCs w:val="24"/>
          <w:lang w:val="zh-CN"/>
        </w:rPr>
        <w:t>1、废水</w:t>
      </w:r>
      <w:r>
        <w:tab/>
      </w:r>
      <w:r>
        <w:fldChar w:fldCharType="begin"/>
      </w:r>
      <w:r>
        <w:instrText xml:space="preserve"> PAGEREF _Toc24972 \h </w:instrText>
      </w:r>
      <w:r>
        <w:fldChar w:fldCharType="separate"/>
      </w:r>
      <w:r>
        <w:t>33</w:t>
      </w:r>
      <w:r>
        <w:fldChar w:fldCharType="end"/>
      </w:r>
      <w:r>
        <w:fldChar w:fldCharType="end"/>
      </w:r>
    </w:p>
    <w:p>
      <w:pPr>
        <w:pStyle w:val="24"/>
        <w:tabs>
          <w:tab w:val="right" w:leader="dot" w:pos="8306"/>
          <w:tab w:val="clear" w:pos="8296"/>
        </w:tabs>
      </w:pPr>
      <w:r>
        <w:fldChar w:fldCharType="begin"/>
      </w:r>
      <w:r>
        <w:instrText xml:space="preserve"> HYPERLINK \l _Toc2739 </w:instrText>
      </w:r>
      <w:r>
        <w:fldChar w:fldCharType="separate"/>
      </w:r>
      <w:r>
        <w:rPr>
          <w:rFonts w:hint="eastAsia"/>
          <w:szCs w:val="24"/>
          <w:lang w:val="en-US" w:eastAsia="zh-CN"/>
        </w:rPr>
        <w:t>6.2.2、废气</w:t>
      </w:r>
      <w:r>
        <w:tab/>
      </w:r>
      <w:r>
        <w:fldChar w:fldCharType="begin"/>
      </w:r>
      <w:r>
        <w:instrText xml:space="preserve"> PAGEREF _Toc2739 \h </w:instrText>
      </w:r>
      <w:r>
        <w:fldChar w:fldCharType="separate"/>
      </w:r>
      <w:r>
        <w:t>33</w:t>
      </w:r>
      <w:r>
        <w:fldChar w:fldCharType="end"/>
      </w:r>
      <w:r>
        <w:fldChar w:fldCharType="end"/>
      </w:r>
    </w:p>
    <w:p>
      <w:pPr>
        <w:pStyle w:val="24"/>
        <w:tabs>
          <w:tab w:val="right" w:leader="dot" w:pos="8306"/>
          <w:tab w:val="clear" w:pos="8296"/>
        </w:tabs>
      </w:pPr>
      <w:r>
        <w:fldChar w:fldCharType="begin"/>
      </w:r>
      <w:r>
        <w:instrText xml:space="preserve"> HYPERLINK \l _Toc15899 </w:instrText>
      </w:r>
      <w:r>
        <w:fldChar w:fldCharType="separate"/>
      </w:r>
      <w:r>
        <w:rPr>
          <w:rFonts w:hint="eastAsia"/>
          <w:szCs w:val="24"/>
          <w:lang w:val="en-US" w:eastAsia="zh-CN"/>
        </w:rPr>
        <w:t>6.2.3、噪声</w:t>
      </w:r>
      <w:r>
        <w:tab/>
      </w:r>
      <w:r>
        <w:fldChar w:fldCharType="begin"/>
      </w:r>
      <w:r>
        <w:instrText xml:space="preserve"> PAGEREF _Toc15899 \h </w:instrText>
      </w:r>
      <w:r>
        <w:fldChar w:fldCharType="separate"/>
      </w:r>
      <w:r>
        <w:t>34</w:t>
      </w:r>
      <w:r>
        <w:fldChar w:fldCharType="end"/>
      </w:r>
      <w:r>
        <w:fldChar w:fldCharType="end"/>
      </w:r>
    </w:p>
    <w:p>
      <w:pPr>
        <w:pStyle w:val="24"/>
        <w:tabs>
          <w:tab w:val="right" w:leader="dot" w:pos="8306"/>
          <w:tab w:val="clear" w:pos="8296"/>
        </w:tabs>
      </w:pPr>
      <w:r>
        <w:fldChar w:fldCharType="begin"/>
      </w:r>
      <w:r>
        <w:instrText xml:space="preserve"> HYPERLINK \l _Toc3256 </w:instrText>
      </w:r>
      <w:r>
        <w:fldChar w:fldCharType="separate"/>
      </w:r>
      <w:r>
        <w:rPr>
          <w:rFonts w:hint="eastAsia"/>
          <w:szCs w:val="24"/>
          <w:lang w:val="en-US" w:eastAsia="zh-CN"/>
        </w:rPr>
        <w:t>6.2.4、固体废物污染控制标准</w:t>
      </w:r>
      <w:r>
        <w:tab/>
      </w:r>
      <w:r>
        <w:fldChar w:fldCharType="begin"/>
      </w:r>
      <w:r>
        <w:instrText xml:space="preserve"> PAGEREF _Toc3256 \h </w:instrText>
      </w:r>
      <w:r>
        <w:fldChar w:fldCharType="separate"/>
      </w:r>
      <w:r>
        <w:t>34</w:t>
      </w:r>
      <w:r>
        <w:fldChar w:fldCharType="end"/>
      </w:r>
      <w:r>
        <w:fldChar w:fldCharType="end"/>
      </w:r>
    </w:p>
    <w:p>
      <w:pPr>
        <w:pStyle w:val="24"/>
        <w:tabs>
          <w:tab w:val="right" w:leader="dot" w:pos="8306"/>
          <w:tab w:val="clear" w:pos="8296"/>
        </w:tabs>
      </w:pPr>
      <w:r>
        <w:fldChar w:fldCharType="begin"/>
      </w:r>
      <w:r>
        <w:instrText xml:space="preserve"> HYPERLINK \l _Toc17942 </w:instrText>
      </w:r>
      <w:r>
        <w:fldChar w:fldCharType="separate"/>
      </w:r>
      <w:r>
        <w:rPr>
          <w:rFonts w:hint="eastAsia"/>
          <w:bCs/>
          <w:szCs w:val="28"/>
        </w:rPr>
        <w:t>6.3</w:t>
      </w:r>
      <w:r>
        <w:rPr>
          <w:bCs/>
          <w:szCs w:val="28"/>
        </w:rPr>
        <w:t>总量控制指标</w:t>
      </w:r>
      <w:r>
        <w:tab/>
      </w:r>
      <w:r>
        <w:fldChar w:fldCharType="begin"/>
      </w:r>
      <w:r>
        <w:instrText xml:space="preserve"> PAGEREF _Toc17942 \h </w:instrText>
      </w:r>
      <w:r>
        <w:fldChar w:fldCharType="separate"/>
      </w:r>
      <w:r>
        <w:t>34</w:t>
      </w:r>
      <w:r>
        <w:fldChar w:fldCharType="end"/>
      </w:r>
      <w:r>
        <w:fldChar w:fldCharType="end"/>
      </w:r>
    </w:p>
    <w:p>
      <w:pPr>
        <w:pStyle w:val="20"/>
        <w:tabs>
          <w:tab w:val="right" w:leader="dot" w:pos="8306"/>
          <w:tab w:val="clear" w:pos="8296"/>
        </w:tabs>
      </w:pPr>
      <w:r>
        <w:fldChar w:fldCharType="begin"/>
      </w:r>
      <w:r>
        <w:instrText xml:space="preserve"> HYPERLINK \l _Toc19280 </w:instrText>
      </w:r>
      <w:r>
        <w:fldChar w:fldCharType="separate"/>
      </w:r>
      <w:r>
        <w:rPr>
          <w:rFonts w:hint="eastAsia"/>
        </w:rPr>
        <w:t xml:space="preserve">第七章  </w:t>
      </w:r>
      <w:r>
        <w:t>验收监测内容</w:t>
      </w:r>
      <w:r>
        <w:rPr>
          <w:rFonts w:hint="eastAsia"/>
          <w:lang w:val="en-US" w:eastAsia="zh-CN"/>
        </w:rPr>
        <w:t xml:space="preserve"> </w:t>
      </w:r>
      <w:r>
        <w:tab/>
      </w:r>
      <w:r>
        <w:fldChar w:fldCharType="begin"/>
      </w:r>
      <w:r>
        <w:instrText xml:space="preserve"> PAGEREF _Toc19280 \h </w:instrText>
      </w:r>
      <w:r>
        <w:fldChar w:fldCharType="separate"/>
      </w:r>
      <w:r>
        <w:t>36</w:t>
      </w:r>
      <w:r>
        <w:fldChar w:fldCharType="end"/>
      </w:r>
      <w:r>
        <w:fldChar w:fldCharType="end"/>
      </w:r>
    </w:p>
    <w:p>
      <w:pPr>
        <w:pStyle w:val="24"/>
        <w:tabs>
          <w:tab w:val="right" w:leader="dot" w:pos="8306"/>
          <w:tab w:val="clear" w:pos="8296"/>
        </w:tabs>
      </w:pPr>
      <w:r>
        <w:fldChar w:fldCharType="begin"/>
      </w:r>
      <w:r>
        <w:instrText xml:space="preserve"> HYPERLINK \l _Toc1232 </w:instrText>
      </w:r>
      <w:r>
        <w:fldChar w:fldCharType="separate"/>
      </w:r>
      <w:r>
        <w:rPr>
          <w:szCs w:val="28"/>
        </w:rPr>
        <w:t>7.1废水</w:t>
      </w:r>
      <w:r>
        <w:tab/>
      </w:r>
      <w:r>
        <w:fldChar w:fldCharType="begin"/>
      </w:r>
      <w:r>
        <w:instrText xml:space="preserve"> PAGEREF _Toc1232 \h </w:instrText>
      </w:r>
      <w:r>
        <w:fldChar w:fldCharType="separate"/>
      </w:r>
      <w:r>
        <w:t>36</w:t>
      </w:r>
      <w:r>
        <w:fldChar w:fldCharType="end"/>
      </w:r>
      <w:r>
        <w:fldChar w:fldCharType="end"/>
      </w:r>
    </w:p>
    <w:p>
      <w:pPr>
        <w:pStyle w:val="24"/>
        <w:tabs>
          <w:tab w:val="right" w:leader="dot" w:pos="8306"/>
          <w:tab w:val="clear" w:pos="8296"/>
        </w:tabs>
      </w:pPr>
      <w:r>
        <w:fldChar w:fldCharType="begin"/>
      </w:r>
      <w:r>
        <w:instrText xml:space="preserve"> HYPERLINK \l _Toc9239 </w:instrText>
      </w:r>
      <w:r>
        <w:fldChar w:fldCharType="separate"/>
      </w:r>
      <w:r>
        <w:rPr>
          <w:rFonts w:hint="eastAsia"/>
          <w:szCs w:val="28"/>
          <w:lang w:val="en-US" w:eastAsia="zh-CN"/>
        </w:rPr>
        <w:t>7.2</w:t>
      </w:r>
      <w:r>
        <w:rPr>
          <w:szCs w:val="28"/>
        </w:rPr>
        <w:t>噪声</w:t>
      </w:r>
      <w:r>
        <w:tab/>
      </w:r>
      <w:r>
        <w:fldChar w:fldCharType="begin"/>
      </w:r>
      <w:r>
        <w:instrText xml:space="preserve"> PAGEREF _Toc9239 \h </w:instrText>
      </w:r>
      <w:r>
        <w:fldChar w:fldCharType="separate"/>
      </w:r>
      <w:r>
        <w:t>36</w:t>
      </w:r>
      <w:r>
        <w:fldChar w:fldCharType="end"/>
      </w:r>
      <w:r>
        <w:fldChar w:fldCharType="end"/>
      </w:r>
    </w:p>
    <w:p>
      <w:pPr>
        <w:pStyle w:val="20"/>
        <w:tabs>
          <w:tab w:val="right" w:leader="dot" w:pos="8306"/>
          <w:tab w:val="clear" w:pos="8296"/>
        </w:tabs>
      </w:pPr>
      <w:r>
        <w:fldChar w:fldCharType="begin"/>
      </w:r>
      <w:r>
        <w:instrText xml:space="preserve"> HYPERLINK \l _Toc29497 </w:instrText>
      </w:r>
      <w:r>
        <w:fldChar w:fldCharType="separate"/>
      </w:r>
      <w:r>
        <w:rPr>
          <w:rFonts w:hint="eastAsia"/>
        </w:rPr>
        <w:t xml:space="preserve">第八章  </w:t>
      </w:r>
      <w:r>
        <w:t>质量保证和质量控制</w:t>
      </w:r>
      <w:r>
        <w:tab/>
      </w:r>
      <w:r>
        <w:fldChar w:fldCharType="begin"/>
      </w:r>
      <w:r>
        <w:instrText xml:space="preserve"> PAGEREF _Toc29497 \h </w:instrText>
      </w:r>
      <w:r>
        <w:fldChar w:fldCharType="separate"/>
      </w:r>
      <w:r>
        <w:t>38</w:t>
      </w:r>
      <w:r>
        <w:fldChar w:fldCharType="end"/>
      </w:r>
      <w:r>
        <w:fldChar w:fldCharType="end"/>
      </w:r>
    </w:p>
    <w:p>
      <w:pPr>
        <w:pStyle w:val="24"/>
        <w:tabs>
          <w:tab w:val="right" w:leader="dot" w:pos="8306"/>
          <w:tab w:val="clear" w:pos="8296"/>
        </w:tabs>
      </w:pPr>
      <w:r>
        <w:fldChar w:fldCharType="begin"/>
      </w:r>
      <w:r>
        <w:instrText xml:space="preserve"> HYPERLINK \l _Toc7825 </w:instrText>
      </w:r>
      <w:r>
        <w:fldChar w:fldCharType="separate"/>
      </w:r>
      <w:r>
        <w:rPr>
          <w:rFonts w:hint="eastAsia"/>
        </w:rPr>
        <w:t>8.</w:t>
      </w:r>
      <w:r>
        <w:rPr>
          <w:rFonts w:hint="eastAsia"/>
          <w:lang w:val="en-US" w:eastAsia="zh-CN"/>
        </w:rPr>
        <w:t>1</w:t>
      </w:r>
      <w:r>
        <w:t>检测方法和依据</w:t>
      </w:r>
      <w:r>
        <w:tab/>
      </w:r>
      <w:r>
        <w:fldChar w:fldCharType="begin"/>
      </w:r>
      <w:r>
        <w:instrText xml:space="preserve"> PAGEREF _Toc7825 \h </w:instrText>
      </w:r>
      <w:r>
        <w:fldChar w:fldCharType="separate"/>
      </w:r>
      <w:r>
        <w:t>38</w:t>
      </w:r>
      <w:r>
        <w:fldChar w:fldCharType="end"/>
      </w:r>
      <w:r>
        <w:fldChar w:fldCharType="end"/>
      </w:r>
    </w:p>
    <w:p>
      <w:pPr>
        <w:pStyle w:val="24"/>
        <w:tabs>
          <w:tab w:val="right" w:leader="dot" w:pos="8306"/>
          <w:tab w:val="clear" w:pos="8296"/>
        </w:tabs>
      </w:pPr>
      <w:r>
        <w:fldChar w:fldCharType="begin"/>
      </w:r>
      <w:r>
        <w:instrText xml:space="preserve"> HYPERLINK \l _Toc7621 </w:instrText>
      </w:r>
      <w:r>
        <w:fldChar w:fldCharType="separate"/>
      </w:r>
      <w:r>
        <w:rPr>
          <w:rFonts w:hint="eastAsia"/>
        </w:rPr>
        <w:t>8.</w:t>
      </w:r>
      <w:r>
        <w:rPr>
          <w:rFonts w:hint="eastAsia"/>
          <w:lang w:val="en-US" w:eastAsia="zh-CN"/>
        </w:rPr>
        <w:t>2</w:t>
      </w:r>
      <w:r>
        <w:t>仪器型号编号</w:t>
      </w:r>
      <w:r>
        <w:tab/>
      </w:r>
      <w:r>
        <w:fldChar w:fldCharType="begin"/>
      </w:r>
      <w:r>
        <w:instrText xml:space="preserve"> PAGEREF _Toc7621 \h </w:instrText>
      </w:r>
      <w:r>
        <w:fldChar w:fldCharType="separate"/>
      </w:r>
      <w:r>
        <w:t>38</w:t>
      </w:r>
      <w:r>
        <w:fldChar w:fldCharType="end"/>
      </w:r>
      <w:r>
        <w:fldChar w:fldCharType="end"/>
      </w:r>
    </w:p>
    <w:p>
      <w:pPr>
        <w:pStyle w:val="24"/>
        <w:tabs>
          <w:tab w:val="right" w:leader="dot" w:pos="8306"/>
          <w:tab w:val="clear" w:pos="8296"/>
        </w:tabs>
      </w:pPr>
      <w:r>
        <w:fldChar w:fldCharType="begin"/>
      </w:r>
      <w:r>
        <w:instrText xml:space="preserve"> HYPERLINK \l _Toc31270 </w:instrText>
      </w:r>
      <w:r>
        <w:fldChar w:fldCharType="separate"/>
      </w:r>
      <w:r>
        <w:rPr>
          <w:rFonts w:hint="eastAsia"/>
        </w:rPr>
        <w:t>8.</w:t>
      </w:r>
      <w:r>
        <w:rPr>
          <w:rFonts w:hint="eastAsia"/>
          <w:lang w:val="en-US" w:eastAsia="zh-CN"/>
        </w:rPr>
        <w:t>3</w:t>
      </w:r>
      <w:r>
        <w:t>监测分析方法</w:t>
      </w:r>
      <w:r>
        <w:tab/>
      </w:r>
      <w:r>
        <w:fldChar w:fldCharType="begin"/>
      </w:r>
      <w:r>
        <w:instrText xml:space="preserve"> PAGEREF _Toc31270 \h </w:instrText>
      </w:r>
      <w:r>
        <w:fldChar w:fldCharType="separate"/>
      </w:r>
      <w:r>
        <w:t>38</w:t>
      </w:r>
      <w:r>
        <w:fldChar w:fldCharType="end"/>
      </w:r>
      <w:r>
        <w:fldChar w:fldCharType="end"/>
      </w:r>
    </w:p>
    <w:p>
      <w:pPr>
        <w:pStyle w:val="20"/>
        <w:tabs>
          <w:tab w:val="right" w:leader="dot" w:pos="8306"/>
          <w:tab w:val="clear" w:pos="8296"/>
        </w:tabs>
      </w:pPr>
      <w:r>
        <w:fldChar w:fldCharType="begin"/>
      </w:r>
      <w:r>
        <w:instrText xml:space="preserve"> HYPERLINK \l _Toc32252 </w:instrText>
      </w:r>
      <w:r>
        <w:fldChar w:fldCharType="separate"/>
      </w:r>
      <w:r>
        <w:rPr>
          <w:rFonts w:hint="eastAsia"/>
        </w:rPr>
        <w:t xml:space="preserve">第九章  </w:t>
      </w:r>
      <w:r>
        <w:t>验收监测结果</w:t>
      </w:r>
      <w:r>
        <w:tab/>
      </w:r>
      <w:r>
        <w:fldChar w:fldCharType="begin"/>
      </w:r>
      <w:r>
        <w:instrText xml:space="preserve"> PAGEREF _Toc32252 \h </w:instrText>
      </w:r>
      <w:r>
        <w:fldChar w:fldCharType="separate"/>
      </w:r>
      <w:r>
        <w:t>40</w:t>
      </w:r>
      <w:r>
        <w:fldChar w:fldCharType="end"/>
      </w:r>
      <w:r>
        <w:fldChar w:fldCharType="end"/>
      </w:r>
    </w:p>
    <w:p>
      <w:pPr>
        <w:pStyle w:val="24"/>
        <w:tabs>
          <w:tab w:val="right" w:leader="dot" w:pos="8306"/>
          <w:tab w:val="clear" w:pos="8296"/>
        </w:tabs>
      </w:pPr>
      <w:r>
        <w:fldChar w:fldCharType="begin"/>
      </w:r>
      <w:r>
        <w:instrText xml:space="preserve"> HYPERLINK \l _Toc29374 </w:instrText>
      </w:r>
      <w:r>
        <w:fldChar w:fldCharType="separate"/>
      </w:r>
      <w:r>
        <w:rPr>
          <w:rFonts w:hint="eastAsia"/>
          <w:bCs/>
          <w:szCs w:val="28"/>
        </w:rPr>
        <w:t>9.1</w:t>
      </w:r>
      <w:r>
        <w:rPr>
          <w:bCs/>
          <w:szCs w:val="28"/>
        </w:rPr>
        <w:t>生产工况</w:t>
      </w:r>
      <w:r>
        <w:tab/>
      </w:r>
      <w:r>
        <w:fldChar w:fldCharType="begin"/>
      </w:r>
      <w:r>
        <w:instrText xml:space="preserve"> PAGEREF _Toc29374 \h </w:instrText>
      </w:r>
      <w:r>
        <w:fldChar w:fldCharType="separate"/>
      </w:r>
      <w:r>
        <w:t>40</w:t>
      </w:r>
      <w:r>
        <w:fldChar w:fldCharType="end"/>
      </w:r>
      <w:r>
        <w:fldChar w:fldCharType="end"/>
      </w:r>
    </w:p>
    <w:p>
      <w:pPr>
        <w:pStyle w:val="24"/>
        <w:tabs>
          <w:tab w:val="right" w:leader="dot" w:pos="8306"/>
          <w:tab w:val="clear" w:pos="8296"/>
        </w:tabs>
      </w:pPr>
      <w:r>
        <w:fldChar w:fldCharType="begin"/>
      </w:r>
      <w:r>
        <w:instrText xml:space="preserve"> HYPERLINK \l _Toc6319 </w:instrText>
      </w:r>
      <w:r>
        <w:fldChar w:fldCharType="separate"/>
      </w:r>
      <w:r>
        <w:rPr>
          <w:rFonts w:hint="eastAsia"/>
          <w:bCs/>
          <w:szCs w:val="28"/>
        </w:rPr>
        <w:t>9.2</w:t>
      </w:r>
      <w:r>
        <w:rPr>
          <w:bCs/>
          <w:szCs w:val="28"/>
        </w:rPr>
        <w:t>环境保护设施调试效果</w:t>
      </w:r>
      <w:r>
        <w:tab/>
      </w:r>
      <w:r>
        <w:fldChar w:fldCharType="begin"/>
      </w:r>
      <w:r>
        <w:instrText xml:space="preserve"> PAGEREF _Toc6319 \h </w:instrText>
      </w:r>
      <w:r>
        <w:fldChar w:fldCharType="separate"/>
      </w:r>
      <w:r>
        <w:t>40</w:t>
      </w:r>
      <w:r>
        <w:fldChar w:fldCharType="end"/>
      </w:r>
      <w:r>
        <w:fldChar w:fldCharType="end"/>
      </w:r>
    </w:p>
    <w:p>
      <w:pPr>
        <w:pStyle w:val="24"/>
        <w:tabs>
          <w:tab w:val="right" w:leader="dot" w:pos="8306"/>
          <w:tab w:val="clear" w:pos="8296"/>
        </w:tabs>
        <w:rPr>
          <w:rFonts w:hint="eastAsia" w:eastAsia="宋体"/>
          <w:lang w:val="en-US" w:eastAsia="zh-CN"/>
        </w:rPr>
      </w:pPr>
      <w:r>
        <w:fldChar w:fldCharType="begin"/>
      </w:r>
      <w:r>
        <w:instrText xml:space="preserve"> HYPERLINK \l _Toc6319 </w:instrText>
      </w:r>
      <w:r>
        <w:fldChar w:fldCharType="separate"/>
      </w:r>
      <w:r>
        <w:rPr>
          <w:rFonts w:hint="eastAsia"/>
          <w:bCs/>
          <w:szCs w:val="28"/>
        </w:rPr>
        <w:t>9.</w:t>
      </w:r>
      <w:r>
        <w:rPr>
          <w:rFonts w:hint="eastAsia"/>
          <w:bCs/>
          <w:szCs w:val="28"/>
          <w:lang w:val="en-US" w:eastAsia="zh-CN"/>
        </w:rPr>
        <w:t>3</w:t>
      </w:r>
      <w:r>
        <w:rPr>
          <w:rFonts w:hint="eastAsia"/>
          <w:bCs/>
          <w:szCs w:val="28"/>
          <w:lang w:eastAsia="zh-CN"/>
        </w:rPr>
        <w:t>总量控制指标</w:t>
      </w:r>
      <w:r>
        <w:tab/>
      </w:r>
      <w:r>
        <w:rPr>
          <w:rFonts w:hint="eastAsia"/>
          <w:lang w:val="en-US" w:eastAsia="zh-CN"/>
        </w:rPr>
        <w:t>4</w:t>
      </w:r>
      <w:r>
        <w:fldChar w:fldCharType="end"/>
      </w:r>
      <w:r>
        <w:rPr>
          <w:rFonts w:hint="eastAsia"/>
          <w:lang w:val="en-US" w:eastAsia="zh-CN"/>
        </w:rPr>
        <w:t>5</w:t>
      </w:r>
    </w:p>
    <w:p>
      <w:pPr>
        <w:pStyle w:val="24"/>
        <w:tabs>
          <w:tab w:val="right" w:leader="dot" w:pos="8306"/>
          <w:tab w:val="clear" w:pos="8296"/>
        </w:tabs>
      </w:pPr>
      <w:r>
        <w:fldChar w:fldCharType="begin"/>
      </w:r>
      <w:r>
        <w:instrText xml:space="preserve"> HYPERLINK \l _Toc15008 </w:instrText>
      </w:r>
      <w:r>
        <w:fldChar w:fldCharType="separate"/>
      </w:r>
      <w:r>
        <w:rPr>
          <w:rFonts w:hint="eastAsia"/>
          <w:lang w:val="en-US" w:eastAsia="zh-CN"/>
        </w:rPr>
        <w:t>9.4工程建设对环境的影响</w:t>
      </w:r>
      <w:r>
        <w:tab/>
      </w:r>
      <w:r>
        <w:fldChar w:fldCharType="begin"/>
      </w:r>
      <w:r>
        <w:instrText xml:space="preserve"> PAGEREF _Toc15008 \h </w:instrText>
      </w:r>
      <w:r>
        <w:fldChar w:fldCharType="separate"/>
      </w:r>
      <w:r>
        <w:t>45</w:t>
      </w:r>
      <w:r>
        <w:fldChar w:fldCharType="end"/>
      </w:r>
      <w:r>
        <w:fldChar w:fldCharType="end"/>
      </w:r>
    </w:p>
    <w:p>
      <w:pPr>
        <w:pStyle w:val="20"/>
        <w:tabs>
          <w:tab w:val="right" w:leader="dot" w:pos="8306"/>
          <w:tab w:val="clear" w:pos="8296"/>
        </w:tabs>
      </w:pPr>
      <w:r>
        <w:fldChar w:fldCharType="begin"/>
      </w:r>
      <w:r>
        <w:instrText xml:space="preserve"> HYPERLINK \l _Toc4989 </w:instrText>
      </w:r>
      <w:r>
        <w:fldChar w:fldCharType="separate"/>
      </w:r>
      <w:r>
        <w:rPr>
          <w:rFonts w:hint="eastAsia"/>
          <w:bCs/>
          <w:szCs w:val="28"/>
        </w:rPr>
        <w:t xml:space="preserve">第十章  </w:t>
      </w:r>
      <w:r>
        <w:rPr>
          <w:rFonts w:hint="eastAsia" w:hAnsi="宋体"/>
          <w:bCs/>
          <w:szCs w:val="28"/>
        </w:rPr>
        <w:t>验收监测结论</w:t>
      </w:r>
      <w:r>
        <w:tab/>
      </w:r>
      <w:r>
        <w:fldChar w:fldCharType="begin"/>
      </w:r>
      <w:r>
        <w:instrText xml:space="preserve"> PAGEREF _Toc4989 \h </w:instrText>
      </w:r>
      <w:r>
        <w:fldChar w:fldCharType="separate"/>
      </w:r>
      <w:r>
        <w:t>46</w:t>
      </w:r>
      <w:r>
        <w:fldChar w:fldCharType="end"/>
      </w:r>
      <w:r>
        <w:fldChar w:fldCharType="end"/>
      </w:r>
    </w:p>
    <w:p>
      <w:pPr>
        <w:pStyle w:val="24"/>
        <w:tabs>
          <w:tab w:val="right" w:leader="dot" w:pos="8306"/>
          <w:tab w:val="clear" w:pos="8296"/>
        </w:tabs>
      </w:pPr>
      <w:r>
        <w:fldChar w:fldCharType="begin"/>
      </w:r>
      <w:r>
        <w:instrText xml:space="preserve"> HYPERLINK \l _Toc28038 </w:instrText>
      </w:r>
      <w:r>
        <w:fldChar w:fldCharType="separate"/>
      </w:r>
      <w:r>
        <w:rPr>
          <w:bCs/>
          <w:szCs w:val="28"/>
        </w:rPr>
        <w:t>10.1环境保护设施调试结果</w:t>
      </w:r>
      <w:r>
        <w:tab/>
      </w:r>
      <w:r>
        <w:fldChar w:fldCharType="begin"/>
      </w:r>
      <w:r>
        <w:instrText xml:space="preserve"> PAGEREF _Toc28038 \h </w:instrText>
      </w:r>
      <w:r>
        <w:fldChar w:fldCharType="separate"/>
      </w:r>
      <w:r>
        <w:t>46</w:t>
      </w:r>
      <w:r>
        <w:fldChar w:fldCharType="end"/>
      </w:r>
      <w:r>
        <w:fldChar w:fldCharType="end"/>
      </w:r>
    </w:p>
    <w:p>
      <w:pPr>
        <w:pStyle w:val="24"/>
        <w:tabs>
          <w:tab w:val="right" w:leader="dot" w:pos="8306"/>
          <w:tab w:val="clear" w:pos="8296"/>
        </w:tabs>
      </w:pPr>
      <w:r>
        <w:fldChar w:fldCharType="begin"/>
      </w:r>
      <w:r>
        <w:instrText xml:space="preserve"> HYPERLINK \l _Toc3968 </w:instrText>
      </w:r>
      <w:r>
        <w:fldChar w:fldCharType="separate"/>
      </w:r>
      <w:r>
        <w:rPr>
          <w:bCs/>
          <w:szCs w:val="28"/>
        </w:rPr>
        <w:t>10.2工况及“三同时”执行情况</w:t>
      </w:r>
      <w:r>
        <w:tab/>
      </w:r>
      <w:r>
        <w:fldChar w:fldCharType="begin"/>
      </w:r>
      <w:r>
        <w:instrText xml:space="preserve"> PAGEREF _Toc3968 \h </w:instrText>
      </w:r>
      <w:r>
        <w:fldChar w:fldCharType="separate"/>
      </w:r>
      <w:r>
        <w:t>47</w:t>
      </w:r>
      <w:r>
        <w:fldChar w:fldCharType="end"/>
      </w:r>
      <w:r>
        <w:fldChar w:fldCharType="end"/>
      </w:r>
    </w:p>
    <w:p>
      <w:pPr>
        <w:pStyle w:val="24"/>
        <w:tabs>
          <w:tab w:val="right" w:leader="dot" w:pos="8306"/>
          <w:tab w:val="clear" w:pos="8296"/>
        </w:tabs>
      </w:pPr>
      <w:r>
        <w:fldChar w:fldCharType="begin"/>
      </w:r>
      <w:r>
        <w:instrText xml:space="preserve"> HYPERLINK \l _Toc32124 </w:instrText>
      </w:r>
      <w:r>
        <w:fldChar w:fldCharType="separate"/>
      </w:r>
      <w:r>
        <w:rPr>
          <w:bCs/>
          <w:kern w:val="0"/>
          <w:szCs w:val="28"/>
        </w:rPr>
        <w:t>10.3结论</w:t>
      </w:r>
      <w:r>
        <w:tab/>
      </w:r>
      <w:r>
        <w:fldChar w:fldCharType="begin"/>
      </w:r>
      <w:r>
        <w:instrText xml:space="preserve"> PAGEREF _Toc32124 \h </w:instrText>
      </w:r>
      <w:r>
        <w:fldChar w:fldCharType="separate"/>
      </w:r>
      <w:r>
        <w:t>47</w:t>
      </w:r>
      <w:r>
        <w:fldChar w:fldCharType="end"/>
      </w:r>
      <w:r>
        <w:fldChar w:fldCharType="end"/>
      </w:r>
    </w:p>
    <w:p>
      <w:pPr>
        <w:pStyle w:val="36"/>
      </w:pPr>
      <w:r>
        <w:fldChar w:fldCharType="end"/>
      </w:r>
    </w:p>
    <w:p>
      <w:pPr>
        <w:jc w:val="center"/>
        <w:outlineLvl w:val="0"/>
        <w:rPr>
          <w:rFonts w:hint="eastAsia"/>
          <w:b/>
          <w:bCs/>
          <w:sz w:val="32"/>
          <w:szCs w:val="32"/>
        </w:rPr>
        <w:sectPr>
          <w:footerReference r:id="rId3" w:type="first"/>
          <w:pgSz w:w="11906" w:h="16838"/>
          <w:pgMar w:top="1440" w:right="1800" w:bottom="1440" w:left="1800" w:header="851" w:footer="992" w:gutter="0"/>
          <w:pgBorders>
            <w:top w:val="none" w:sz="0" w:space="0"/>
            <w:left w:val="none" w:sz="0" w:space="0"/>
            <w:bottom w:val="none" w:sz="0" w:space="0"/>
            <w:right w:val="none" w:sz="0" w:space="0"/>
          </w:pgBorders>
          <w:cols w:space="425" w:num="1"/>
          <w:titlePg/>
          <w:docGrid w:type="lines" w:linePitch="312" w:charSpace="0"/>
        </w:sectPr>
      </w:pPr>
      <w:bookmarkStart w:id="5" w:name="_Toc515359513"/>
      <w:bookmarkStart w:id="6" w:name="_Toc3284"/>
      <w:bookmarkStart w:id="7" w:name="_Toc21620"/>
      <w:bookmarkStart w:id="8" w:name="_Toc17846"/>
      <w:bookmarkStart w:id="9" w:name="_Toc515360487"/>
      <w:bookmarkStart w:id="10" w:name="_Toc14468"/>
    </w:p>
    <w:p>
      <w:pPr>
        <w:jc w:val="center"/>
        <w:outlineLvl w:val="0"/>
        <w:rPr>
          <w:sz w:val="32"/>
          <w:szCs w:val="32"/>
        </w:rPr>
      </w:pPr>
      <w:bookmarkStart w:id="11" w:name="_Toc8639"/>
      <w:r>
        <w:rPr>
          <w:rFonts w:hint="eastAsia"/>
          <w:b/>
          <w:bCs/>
          <w:sz w:val="32"/>
          <w:szCs w:val="32"/>
        </w:rPr>
        <w:t xml:space="preserve">第一章  </w:t>
      </w:r>
      <w:r>
        <w:rPr>
          <w:b/>
          <w:bCs/>
          <w:sz w:val="32"/>
          <w:szCs w:val="32"/>
        </w:rPr>
        <w:t>项目概况</w:t>
      </w:r>
      <w:bookmarkEnd w:id="0"/>
      <w:bookmarkEnd w:id="1"/>
      <w:bookmarkEnd w:id="2"/>
      <w:bookmarkEnd w:id="3"/>
      <w:bookmarkEnd w:id="4"/>
      <w:bookmarkEnd w:id="5"/>
      <w:bookmarkEnd w:id="6"/>
      <w:bookmarkEnd w:id="7"/>
      <w:bookmarkEnd w:id="8"/>
      <w:bookmarkEnd w:id="9"/>
      <w:bookmarkEnd w:id="10"/>
      <w:bookmarkEnd w:id="11"/>
    </w:p>
    <w:p>
      <w:pPr>
        <w:spacing w:line="360" w:lineRule="auto"/>
        <w:outlineLvl w:val="1"/>
        <w:rPr>
          <w:rFonts w:hAnsi="宋体"/>
          <w:b/>
          <w:bCs/>
          <w:color w:val="000000"/>
          <w:sz w:val="28"/>
          <w:szCs w:val="28"/>
        </w:rPr>
      </w:pPr>
      <w:bookmarkStart w:id="12" w:name="_Toc4124"/>
      <w:bookmarkStart w:id="13" w:name="_Toc15089"/>
      <w:bookmarkStart w:id="14" w:name="_Toc30322"/>
      <w:bookmarkStart w:id="15" w:name="_Toc18847"/>
      <w:bookmarkStart w:id="16" w:name="_Toc515360488"/>
      <w:bookmarkStart w:id="17" w:name="_Toc21789"/>
      <w:bookmarkStart w:id="18" w:name="_Toc515359514"/>
      <w:bookmarkStart w:id="19" w:name="_Toc508806144"/>
      <w:bookmarkStart w:id="20" w:name="_Toc510513602"/>
      <w:bookmarkStart w:id="21" w:name="_Toc503769099"/>
      <w:bookmarkStart w:id="22" w:name="_Toc503769028"/>
      <w:r>
        <w:rPr>
          <w:rFonts w:hint="eastAsia" w:hAnsi="宋体"/>
          <w:b/>
          <w:bCs/>
          <w:color w:val="000000"/>
          <w:sz w:val="28"/>
          <w:szCs w:val="28"/>
        </w:rPr>
        <w:t>1.1 项目简介</w:t>
      </w:r>
      <w:bookmarkEnd w:id="12"/>
      <w:bookmarkEnd w:id="13"/>
      <w:bookmarkEnd w:id="14"/>
      <w:bookmarkEnd w:id="15"/>
      <w:bookmarkEnd w:id="16"/>
      <w:bookmarkEnd w:id="17"/>
      <w:bookmarkEnd w:id="18"/>
    </w:p>
    <w:p>
      <w:pPr>
        <w:pStyle w:val="38"/>
        <w:keepNext/>
        <w:keepLines/>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bookmarkStart w:id="23" w:name="_Toc30918"/>
      <w:bookmarkStart w:id="24" w:name="_Toc10232"/>
      <w:bookmarkStart w:id="25" w:name="_Toc515360492"/>
      <w:bookmarkStart w:id="26" w:name="_Toc515359518"/>
      <w:bookmarkStart w:id="27" w:name="_Toc2021"/>
      <w:bookmarkStart w:id="28" w:name="_Toc15073"/>
      <w:bookmarkStart w:id="29" w:name="_Toc13492"/>
      <w:r>
        <w:rPr>
          <w:rFonts w:hint="default" w:ascii="Times New Roman" w:hAnsi="Times New Roman" w:eastAsia="宋体" w:cs="Times New Roman"/>
          <w:color w:val="000000" w:themeColor="text1"/>
          <w:kern w:val="2"/>
          <w:sz w:val="24"/>
          <w:szCs w:val="24"/>
          <w:lang w:eastAsia="zh-CN"/>
          <w14:textFill>
            <w14:solidFill>
              <w14:schemeClr w14:val="tx1"/>
            </w14:solidFill>
          </w14:textFill>
        </w:rPr>
        <w:t>晨曜</w:t>
      </w:r>
      <w:r>
        <w:rPr>
          <w:rFonts w:hint="default" w:ascii="Times New Roman" w:hAnsi="Times New Roman" w:eastAsia="宋体" w:cs="Times New Roman"/>
          <w:color w:val="000000" w:themeColor="text1"/>
          <w:kern w:val="2"/>
          <w:sz w:val="24"/>
          <w:szCs w:val="24"/>
          <w14:textFill>
            <w14:solidFill>
              <w14:schemeClr w14:val="tx1"/>
            </w14:solidFill>
          </w14:textFill>
        </w:rPr>
        <w:t>年产10万吨高端金属结构件项目</w:t>
      </w:r>
      <w:r>
        <w:rPr>
          <w:rFonts w:hint="eastAsia" w:cs="Times New Roman"/>
          <w:color w:val="000000" w:themeColor="text1"/>
          <w:kern w:val="2"/>
          <w:sz w:val="24"/>
          <w:szCs w:val="24"/>
          <w:lang w:eastAsia="zh-CN"/>
          <w14:textFill>
            <w14:solidFill>
              <w14:schemeClr w14:val="tx1"/>
            </w14:solidFill>
          </w14:textFill>
        </w:rPr>
        <w:t>位于</w:t>
      </w:r>
      <w:r>
        <w:rPr>
          <w:rFonts w:hint="default" w:ascii="Times New Roman" w:hAnsi="Times New Roman" w:eastAsia="宋体" w:cs="Times New Roman"/>
          <w:color w:val="000000" w:themeColor="text1"/>
          <w:kern w:val="2"/>
          <w:sz w:val="24"/>
          <w:szCs w:val="24"/>
          <w14:textFill>
            <w14:solidFill>
              <w14:schemeClr w14:val="tx1"/>
            </w14:solidFill>
          </w14:textFill>
        </w:rPr>
        <w:t>六安高新技术产业开发区平桥园区兰迪路与赛分路交口西南侧</w:t>
      </w:r>
      <w:r>
        <w:rPr>
          <w:rFonts w:hint="eastAsia" w:cs="Times New Roman"/>
          <w:color w:val="000000" w:themeColor="text1"/>
          <w:kern w:val="2"/>
          <w:sz w:val="24"/>
          <w:szCs w:val="24"/>
          <w:lang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14:textFill>
            <w14:solidFill>
              <w14:schemeClr w14:val="tx1"/>
            </w14:solidFill>
          </w14:textFill>
        </w:rPr>
        <w:t>占地面积</w:t>
      </w:r>
      <w:r>
        <w:rPr>
          <w:rFonts w:hint="default" w:ascii="Times New Roman" w:hAnsi="Times New Roman" w:eastAsia="宋体" w:cs="Times New Roman"/>
          <w:color w:val="000000" w:themeColor="text1"/>
          <w:kern w:val="2"/>
          <w:sz w:val="24"/>
          <w:szCs w:val="24"/>
          <w:lang w:eastAsia="zh-CN"/>
          <w14:textFill>
            <w14:solidFill>
              <w14:schemeClr w14:val="tx1"/>
            </w14:solidFill>
          </w14:textFill>
        </w:rPr>
        <w:t>30060</w:t>
      </w:r>
      <w:r>
        <w:rPr>
          <w:rFonts w:hint="default" w:ascii="Times New Roman" w:hAnsi="Times New Roman" w:eastAsia="宋体" w:cs="Times New Roman"/>
          <w:color w:val="000000" w:themeColor="text1"/>
          <w:kern w:val="2"/>
          <w:sz w:val="24"/>
          <w:szCs w:val="24"/>
          <w14:textFill>
            <w14:solidFill>
              <w14:schemeClr w14:val="tx1"/>
            </w14:solidFill>
          </w14:textFill>
        </w:rPr>
        <w:t>m</w:t>
      </w:r>
      <w:r>
        <w:rPr>
          <w:rFonts w:hint="default" w:ascii="Times New Roman" w:hAnsi="Times New Roman" w:eastAsia="宋体" w:cs="Times New Roman"/>
          <w:color w:val="000000" w:themeColor="text1"/>
          <w:kern w:val="2"/>
          <w:sz w:val="24"/>
          <w:szCs w:val="24"/>
          <w:vertAlign w:val="superscript"/>
          <w14:textFill>
            <w14:solidFill>
              <w14:schemeClr w14:val="tx1"/>
            </w14:solidFill>
          </w14:textFill>
        </w:rPr>
        <w:t>2</w:t>
      </w:r>
      <w:r>
        <w:rPr>
          <w:rFonts w:hint="default" w:ascii="Times New Roman" w:hAnsi="Times New Roman" w:eastAsia="宋体" w:cs="Times New Roman"/>
          <w:color w:val="000000" w:themeColor="text1"/>
          <w:kern w:val="2"/>
          <w:sz w:val="24"/>
          <w:szCs w:val="24"/>
          <w14:textFill>
            <w14:solidFill>
              <w14:schemeClr w14:val="tx1"/>
            </w14:solidFill>
          </w14:textFill>
        </w:rPr>
        <w:t>，规划建设生产厂房2栋，综合楼1栋，生产厂房建筑面积分别为：配套安装锌锅、天然气加热炉、助镀剂处理系统、冷却塔</w:t>
      </w:r>
      <w:r>
        <w:rPr>
          <w:rFonts w:hint="default" w:ascii="Times New Roman" w:hAnsi="Times New Roman" w:eastAsia="宋体" w:cs="Times New Roman"/>
          <w:color w:val="000000" w:themeColor="text1"/>
          <w:kern w:val="2"/>
          <w:sz w:val="24"/>
          <w:szCs w:val="24"/>
          <w:lang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14:textFill>
            <w14:solidFill>
              <w14:schemeClr w14:val="tx1"/>
            </w14:solidFill>
          </w14:textFill>
        </w:rPr>
        <w:t>镀锌线（包括转换池、碱洗池、漂洗池、返镀池、酸洗池、助镀池、锌锅池、冷却池、钝化池），</w:t>
      </w:r>
      <w:r>
        <w:rPr>
          <w:rFonts w:hint="eastAsia" w:ascii="Times New Roman" w:hAnsi="Times New Roman" w:eastAsia="宋体" w:cs="Times New Roman"/>
          <w:color w:val="000000" w:themeColor="text1"/>
          <w:kern w:val="2"/>
          <w:sz w:val="24"/>
          <w:szCs w:val="24"/>
          <w:lang w:eastAsia="zh-CN"/>
          <w14:textFill>
            <w14:solidFill>
              <w14:schemeClr w14:val="tx1"/>
            </w14:solidFill>
          </w14:textFill>
        </w:rPr>
        <w:t>可形成</w:t>
      </w:r>
      <w:r>
        <w:rPr>
          <w:rFonts w:hint="default" w:ascii="Times New Roman" w:hAnsi="Times New Roman" w:eastAsia="宋体" w:cs="Times New Roman"/>
          <w:color w:val="000000" w:themeColor="text1"/>
          <w:kern w:val="2"/>
          <w:sz w:val="24"/>
          <w:szCs w:val="24"/>
          <w14:textFill>
            <w14:solidFill>
              <w14:schemeClr w14:val="tx1"/>
            </w14:solidFill>
          </w14:textFill>
        </w:rPr>
        <w:t>年产10万吨高端金属结构件</w:t>
      </w:r>
      <w:r>
        <w:rPr>
          <w:rFonts w:hint="eastAsia" w:ascii="Times New Roman" w:hAnsi="Times New Roman" w:eastAsia="宋体" w:cs="Times New Roman"/>
          <w:color w:val="000000" w:themeColor="text1"/>
          <w:kern w:val="2"/>
          <w:sz w:val="24"/>
          <w:szCs w:val="24"/>
          <w:lang w:eastAsia="zh-CN"/>
          <w14:textFill>
            <w14:solidFill>
              <w14:schemeClr w14:val="tx1"/>
            </w14:solidFill>
          </w14:textFill>
        </w:rPr>
        <w:t>的生产能力</w:t>
      </w:r>
      <w:r>
        <w:rPr>
          <w:rFonts w:hint="default" w:ascii="Times New Roman" w:hAnsi="Times New Roman" w:eastAsia="宋体" w:cs="Times New Roman"/>
          <w:color w:val="000000" w:themeColor="text1"/>
          <w:kern w:val="2"/>
          <w:sz w:val="24"/>
          <w:szCs w:val="24"/>
          <w14:textFill>
            <w14:solidFill>
              <w14:schemeClr w14:val="tx1"/>
            </w14:solidFill>
          </w14:textFill>
        </w:rPr>
        <w:t>。</w:t>
      </w:r>
    </w:p>
    <w:p>
      <w:pPr>
        <w:spacing w:line="360" w:lineRule="auto"/>
        <w:outlineLvl w:val="1"/>
        <w:rPr>
          <w:rFonts w:hAnsi="宋体"/>
          <w:b/>
          <w:bCs/>
          <w:color w:val="000000"/>
          <w:sz w:val="28"/>
          <w:szCs w:val="28"/>
        </w:rPr>
      </w:pPr>
      <w:r>
        <w:rPr>
          <w:rFonts w:hint="eastAsia" w:hAnsi="宋体"/>
          <w:b/>
          <w:bCs/>
          <w:color w:val="000000"/>
          <w:sz w:val="28"/>
          <w:szCs w:val="28"/>
        </w:rPr>
        <w:t>1.2 项目</w:t>
      </w:r>
      <w:r>
        <w:rPr>
          <w:rFonts w:hint="eastAsia" w:hAnsi="宋体"/>
          <w:b/>
          <w:bCs/>
          <w:color w:val="000000"/>
          <w:sz w:val="28"/>
          <w:szCs w:val="28"/>
          <w:lang w:eastAsia="zh-CN"/>
        </w:rPr>
        <w:t>建设</w:t>
      </w:r>
      <w:r>
        <w:rPr>
          <w:rFonts w:hint="eastAsia" w:hAnsi="宋体"/>
          <w:b/>
          <w:bCs/>
          <w:color w:val="000000"/>
          <w:sz w:val="28"/>
          <w:szCs w:val="28"/>
        </w:rPr>
        <w:t>过程</w:t>
      </w:r>
      <w:bookmarkEnd w:id="23"/>
      <w:bookmarkEnd w:id="24"/>
      <w:bookmarkEnd w:id="25"/>
      <w:bookmarkEnd w:id="26"/>
      <w:bookmarkEnd w:id="27"/>
      <w:bookmarkEnd w:id="28"/>
      <w:bookmarkEnd w:id="2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000000" w:themeColor="text1"/>
          <w:sz w:val="24"/>
          <w:lang w:eastAsia="zh-CN"/>
          <w14:textFill>
            <w14:solidFill>
              <w14:schemeClr w14:val="tx1"/>
            </w14:solidFill>
          </w14:textFill>
        </w:rPr>
      </w:pPr>
      <w:r>
        <w:rPr>
          <w:rFonts w:hint="eastAsia" w:ascii="Times New Roman" w:hAnsi="Times New Roman"/>
          <w:color w:val="000000"/>
          <w:sz w:val="24"/>
          <w:lang w:eastAsia="zh-CN"/>
        </w:rPr>
        <w:t>（</w:t>
      </w:r>
      <w:r>
        <w:rPr>
          <w:rFonts w:hint="eastAsia" w:ascii="Times New Roman" w:hAnsi="Times New Roman"/>
          <w:color w:val="000000"/>
          <w:sz w:val="24"/>
          <w:lang w:val="en-US" w:eastAsia="zh-CN"/>
        </w:rPr>
        <w:t>1</w:t>
      </w:r>
      <w:r>
        <w:rPr>
          <w:rFonts w:hint="eastAsia" w:ascii="Times New Roman" w:hAnsi="Times New Roman"/>
          <w:color w:val="000000"/>
          <w:sz w:val="24"/>
          <w:lang w:eastAsia="zh-CN"/>
        </w:rPr>
        <w:t>）</w:t>
      </w:r>
      <w:r>
        <w:rPr>
          <w:rFonts w:hint="default" w:ascii="Times New Roman" w:hAnsi="Times New Roman" w:eastAsia="宋体" w:cs="Times New Roman"/>
          <w:color w:val="000000" w:themeColor="text1"/>
          <w:sz w:val="24"/>
          <w14:textFill>
            <w14:solidFill>
              <w14:schemeClr w14:val="tx1"/>
            </w14:solidFill>
          </w14:textFill>
        </w:rPr>
        <w:t>2022年6月</w:t>
      </w:r>
      <w:r>
        <w:rPr>
          <w:rFonts w:hint="default" w:ascii="Times New Roman" w:hAnsi="Times New Roman" w:eastAsia="宋体" w:cs="Times New Roman"/>
          <w:color w:val="000000" w:themeColor="text1"/>
          <w:sz w:val="24"/>
          <w:lang w:val="en-US" w:eastAsia="zh-CN"/>
          <w14:textFill>
            <w14:solidFill>
              <w14:schemeClr w14:val="tx1"/>
            </w14:solidFill>
          </w14:textFill>
        </w:rPr>
        <w:t>30</w:t>
      </w:r>
      <w:r>
        <w:rPr>
          <w:rFonts w:hint="default" w:ascii="Times New Roman" w:hAnsi="Times New Roman" w:eastAsia="宋体" w:cs="Times New Roman"/>
          <w:color w:val="000000" w:themeColor="text1"/>
          <w:sz w:val="24"/>
          <w14:textFill>
            <w14:solidFill>
              <w14:schemeClr w14:val="tx1"/>
            </w14:solidFill>
          </w14:textFill>
        </w:rPr>
        <w:t>日，</w:t>
      </w:r>
      <w:r>
        <w:rPr>
          <w:rFonts w:hint="default" w:ascii="Times New Roman" w:hAnsi="Times New Roman" w:eastAsia="宋体" w:cs="Times New Roman"/>
          <w:color w:val="000000" w:themeColor="text1"/>
          <w:sz w:val="24"/>
          <w:lang w:val="en-US" w:eastAsia="zh-CN"/>
          <w14:textFill>
            <w14:solidFill>
              <w14:schemeClr w14:val="tx1"/>
            </w14:solidFill>
          </w14:textFill>
        </w:rPr>
        <w:t>委托</w:t>
      </w:r>
      <w:r>
        <w:rPr>
          <w:rFonts w:hint="default" w:ascii="Times New Roman" w:hAnsi="Times New Roman" w:eastAsia="宋体" w:cs="Times New Roman"/>
          <w:color w:val="000000" w:themeColor="text1"/>
          <w:sz w:val="24"/>
          <w:lang w:eastAsia="zh-CN"/>
          <w14:textFill>
            <w14:solidFill>
              <w14:schemeClr w14:val="tx1"/>
            </w14:solidFill>
          </w14:textFill>
        </w:rPr>
        <w:t>浙江辉志环保科技有限公司</w:t>
      </w:r>
      <w:r>
        <w:rPr>
          <w:rFonts w:hint="default" w:ascii="Times New Roman" w:hAnsi="Times New Roman" w:eastAsia="宋体" w:cs="Times New Roman"/>
          <w:color w:val="000000" w:themeColor="text1"/>
          <w:sz w:val="24"/>
          <w:lang w:val="en-US" w:eastAsia="zh-CN"/>
          <w14:textFill>
            <w14:solidFill>
              <w14:schemeClr w14:val="tx1"/>
            </w14:solidFill>
          </w14:textFill>
        </w:rPr>
        <w:t>编制</w:t>
      </w:r>
      <w:r>
        <w:rPr>
          <w:rFonts w:hint="default" w:ascii="Times New Roman" w:hAnsi="Times New Roman" w:eastAsia="宋体" w:cs="Times New Roman"/>
          <w:color w:val="000000" w:themeColor="text1"/>
          <w:sz w:val="24"/>
          <w14:textFill>
            <w14:solidFill>
              <w14:schemeClr w14:val="tx1"/>
            </w14:solidFill>
          </w14:textFill>
        </w:rPr>
        <w:t>《</w:t>
      </w:r>
      <w:r>
        <w:rPr>
          <w:rFonts w:hint="default" w:ascii="Times New Roman" w:hAnsi="Times New Roman" w:eastAsia="宋体" w:cs="Times New Roman"/>
          <w:color w:val="000000" w:themeColor="text1"/>
          <w:kern w:val="2"/>
          <w:sz w:val="24"/>
          <w:szCs w:val="24"/>
          <w14:textFill>
            <w14:solidFill>
              <w14:schemeClr w14:val="tx1"/>
            </w14:solidFill>
          </w14:textFill>
        </w:rPr>
        <w:t>安徽晨曜智能设备科技有限公司</w:t>
      </w:r>
      <w:r>
        <w:rPr>
          <w:rFonts w:hint="default" w:ascii="Times New Roman" w:hAnsi="Times New Roman" w:eastAsia="宋体" w:cs="Times New Roman"/>
          <w:color w:val="000000" w:themeColor="text1"/>
          <w:sz w:val="24"/>
          <w14:textFill>
            <w14:solidFill>
              <w14:schemeClr w14:val="tx1"/>
            </w14:solidFill>
          </w14:textFill>
        </w:rPr>
        <w:t>晨曜年产10万吨高端金属结构件项目环境影响报告书》</w:t>
      </w:r>
      <w:r>
        <w:rPr>
          <w:rFonts w:hint="eastAsia" w:ascii="Times New Roman" w:hAnsi="Times New Roman" w:eastAsia="宋体" w:cs="Times New Roman"/>
          <w:color w:val="000000" w:themeColor="text1"/>
          <w:sz w:val="24"/>
          <w:lang w:eastAsia="zh-CN"/>
          <w14:textFill>
            <w14:solidFill>
              <w14:schemeClr w14:val="tx1"/>
            </w14:solidFill>
          </w14:textFill>
        </w:rPr>
        <w:t>；</w:t>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b w:val="0"/>
          <w:snapToGrid/>
          <w:color w:val="000000"/>
          <w:kern w:val="2"/>
          <w:sz w:val="24"/>
          <w:szCs w:val="24"/>
          <w:lang w:val="en-US" w:eastAsia="zh-CN" w:bidi="ar-SA"/>
        </w:rPr>
      </w:pPr>
      <w:r>
        <w:rPr>
          <w:rFonts w:hint="eastAsia" w:ascii="Times New Roman" w:hAnsi="Times New Roman" w:eastAsia="宋体" w:cs="Times New Roman"/>
          <w:b w:val="0"/>
          <w:snapToGrid/>
          <w:color w:val="000000"/>
          <w:kern w:val="2"/>
          <w:sz w:val="24"/>
          <w:szCs w:val="24"/>
          <w:lang w:val="en-US" w:eastAsia="zh-CN" w:bidi="ar-SA"/>
        </w:rPr>
        <w:t>（</w:t>
      </w:r>
      <w:r>
        <w:rPr>
          <w:rFonts w:hint="eastAsia" w:cs="Times New Roman"/>
          <w:b w:val="0"/>
          <w:snapToGrid/>
          <w:color w:val="000000"/>
          <w:kern w:val="2"/>
          <w:sz w:val="24"/>
          <w:szCs w:val="24"/>
          <w:lang w:val="en-US" w:eastAsia="zh-CN" w:bidi="ar-SA"/>
        </w:rPr>
        <w:t>2</w:t>
      </w:r>
      <w:r>
        <w:rPr>
          <w:rFonts w:hint="eastAsia" w:ascii="Times New Roman" w:hAnsi="Times New Roman" w:eastAsia="宋体" w:cs="Times New Roman"/>
          <w:b w:val="0"/>
          <w:snapToGrid/>
          <w:color w:val="000000"/>
          <w:kern w:val="2"/>
          <w:sz w:val="24"/>
          <w:szCs w:val="24"/>
          <w:lang w:val="en-US" w:eastAsia="zh-CN" w:bidi="ar-SA"/>
        </w:rPr>
        <w:t>）202</w:t>
      </w:r>
      <w:r>
        <w:rPr>
          <w:rFonts w:hint="eastAsia" w:cs="Times New Roman"/>
          <w:b w:val="0"/>
          <w:snapToGrid/>
          <w:color w:val="000000"/>
          <w:kern w:val="2"/>
          <w:sz w:val="24"/>
          <w:szCs w:val="24"/>
          <w:lang w:val="en-US" w:eastAsia="zh-CN" w:bidi="ar-SA"/>
        </w:rPr>
        <w:t>3</w:t>
      </w:r>
      <w:r>
        <w:rPr>
          <w:rFonts w:hint="eastAsia" w:ascii="Times New Roman" w:hAnsi="Times New Roman" w:eastAsia="宋体" w:cs="Times New Roman"/>
          <w:b w:val="0"/>
          <w:snapToGrid/>
          <w:color w:val="000000"/>
          <w:kern w:val="2"/>
          <w:sz w:val="24"/>
          <w:szCs w:val="24"/>
          <w:lang w:val="en-US" w:eastAsia="zh-CN" w:bidi="ar-SA"/>
        </w:rPr>
        <w:t>年3月，编制完成《安徽晨曜智能设备科技有限公司晨曜年产10万吨高端金属结构件项目环境影响报告书》</w:t>
      </w:r>
      <w:r>
        <w:rPr>
          <w:rFonts w:hint="eastAsia" w:ascii="Times New Roman" w:hAnsi="Times New Roman" w:cs="Times New Roman"/>
          <w:b w:val="0"/>
          <w:snapToGrid/>
          <w:color w:val="000000"/>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snapToGrid/>
          <w:color w:val="000000"/>
          <w:kern w:val="2"/>
          <w:sz w:val="24"/>
          <w:szCs w:val="24"/>
          <w:lang w:val="en-US" w:eastAsia="zh-CN" w:bidi="ar-SA"/>
        </w:rPr>
      </w:pPr>
      <w:r>
        <w:rPr>
          <w:rFonts w:hint="eastAsia" w:ascii="Times New Roman" w:hAnsi="Times New Roman" w:eastAsia="宋体" w:cs="Times New Roman"/>
          <w:b w:val="0"/>
          <w:bCs/>
          <w:snapToGrid/>
          <w:color w:val="000000"/>
          <w:kern w:val="2"/>
          <w:sz w:val="24"/>
          <w:szCs w:val="24"/>
          <w:lang w:val="en-US" w:eastAsia="zh-CN" w:bidi="ar-SA"/>
        </w:rPr>
        <w:t>（</w:t>
      </w:r>
      <w:r>
        <w:rPr>
          <w:rFonts w:hint="eastAsia" w:cs="Times New Roman"/>
          <w:b w:val="0"/>
          <w:bCs/>
          <w:snapToGrid/>
          <w:color w:val="000000"/>
          <w:kern w:val="2"/>
          <w:sz w:val="24"/>
          <w:szCs w:val="24"/>
          <w:lang w:val="en-US" w:eastAsia="zh-CN" w:bidi="ar-SA"/>
        </w:rPr>
        <w:t>3</w:t>
      </w:r>
      <w:r>
        <w:rPr>
          <w:rFonts w:hint="eastAsia" w:ascii="Times New Roman" w:hAnsi="Times New Roman" w:eastAsia="宋体" w:cs="Times New Roman"/>
          <w:b w:val="0"/>
          <w:bCs/>
          <w:snapToGrid/>
          <w:color w:val="000000"/>
          <w:kern w:val="2"/>
          <w:sz w:val="24"/>
          <w:szCs w:val="24"/>
          <w:lang w:val="en-US" w:eastAsia="zh-CN" w:bidi="ar-SA"/>
        </w:rPr>
        <w:t>）</w:t>
      </w:r>
      <w:r>
        <w:rPr>
          <w:rFonts w:hint="eastAsia" w:cs="Times New Roman"/>
          <w:b w:val="0"/>
          <w:bCs/>
          <w:snapToGrid/>
          <w:color w:val="000000"/>
          <w:kern w:val="2"/>
          <w:sz w:val="24"/>
          <w:szCs w:val="24"/>
          <w:lang w:val="en-US" w:eastAsia="zh-CN" w:bidi="ar-SA"/>
        </w:rPr>
        <w:t>六安市生态环境局</w:t>
      </w:r>
      <w:r>
        <w:rPr>
          <w:rFonts w:hint="eastAsia" w:ascii="Times New Roman" w:hAnsi="Times New Roman" w:eastAsia="宋体" w:cs="Times New Roman"/>
          <w:b w:val="0"/>
          <w:bCs/>
          <w:snapToGrid/>
          <w:color w:val="000000"/>
          <w:kern w:val="2"/>
          <w:sz w:val="24"/>
          <w:szCs w:val="24"/>
          <w:lang w:val="en-US" w:eastAsia="zh-CN" w:bidi="ar-SA"/>
        </w:rPr>
        <w:t>《关于</w:t>
      </w:r>
      <w:r>
        <w:rPr>
          <w:rFonts w:hint="eastAsia" w:cs="Times New Roman"/>
          <w:b w:val="0"/>
          <w:bCs/>
          <w:snapToGrid/>
          <w:color w:val="000000"/>
          <w:kern w:val="2"/>
          <w:sz w:val="24"/>
          <w:szCs w:val="24"/>
          <w:lang w:val="en-US" w:eastAsia="zh-CN" w:bidi="ar-SA"/>
        </w:rPr>
        <w:t>安徽晨曜智能设备科技有限公司</w:t>
      </w:r>
      <w:r>
        <w:rPr>
          <w:rFonts w:hint="default" w:ascii="Times New Roman" w:hAnsi="Times New Roman" w:eastAsia="宋体" w:cs="Times New Roman"/>
          <w:color w:val="000000" w:themeColor="text1"/>
          <w:kern w:val="2"/>
          <w:sz w:val="24"/>
          <w:szCs w:val="24"/>
          <w:lang w:eastAsia="zh-CN"/>
          <w14:textFill>
            <w14:solidFill>
              <w14:schemeClr w14:val="tx1"/>
            </w14:solidFill>
          </w14:textFill>
        </w:rPr>
        <w:t>晨曜</w:t>
      </w:r>
      <w:r>
        <w:rPr>
          <w:rFonts w:hint="default" w:ascii="Times New Roman" w:hAnsi="Times New Roman" w:eastAsia="宋体" w:cs="Times New Roman"/>
          <w:color w:val="000000" w:themeColor="text1"/>
          <w:kern w:val="2"/>
          <w:sz w:val="24"/>
          <w:szCs w:val="24"/>
          <w14:textFill>
            <w14:solidFill>
              <w14:schemeClr w14:val="tx1"/>
            </w14:solidFill>
          </w14:textFill>
        </w:rPr>
        <w:t>年产10万吨高端金属结构件项目</w:t>
      </w:r>
      <w:r>
        <w:rPr>
          <w:rFonts w:hint="eastAsia" w:ascii="Times New Roman" w:hAnsi="Times New Roman" w:eastAsia="宋体" w:cs="Times New Roman"/>
          <w:b w:val="0"/>
          <w:bCs/>
          <w:snapToGrid/>
          <w:color w:val="000000"/>
          <w:kern w:val="2"/>
          <w:sz w:val="24"/>
          <w:szCs w:val="24"/>
          <w:lang w:val="en-US" w:eastAsia="zh-CN" w:bidi="ar-SA"/>
        </w:rPr>
        <w:t>环境影响报告书的批复》（六环评[202</w:t>
      </w:r>
      <w:r>
        <w:rPr>
          <w:rFonts w:hint="eastAsia" w:cs="Times New Roman"/>
          <w:b w:val="0"/>
          <w:bCs/>
          <w:snapToGrid/>
          <w:color w:val="000000"/>
          <w:kern w:val="2"/>
          <w:sz w:val="24"/>
          <w:szCs w:val="24"/>
          <w:lang w:val="en-US" w:eastAsia="zh-CN" w:bidi="ar-SA"/>
        </w:rPr>
        <w:t>3</w:t>
      </w:r>
      <w:r>
        <w:rPr>
          <w:rFonts w:hint="eastAsia" w:ascii="Times New Roman" w:hAnsi="Times New Roman" w:eastAsia="宋体" w:cs="Times New Roman"/>
          <w:b w:val="0"/>
          <w:bCs/>
          <w:snapToGrid/>
          <w:color w:val="000000"/>
          <w:kern w:val="2"/>
          <w:sz w:val="24"/>
          <w:szCs w:val="24"/>
          <w:lang w:val="en-US" w:eastAsia="zh-CN" w:bidi="ar-SA"/>
        </w:rPr>
        <w:t>]</w:t>
      </w:r>
      <w:r>
        <w:rPr>
          <w:rFonts w:hint="eastAsia" w:cs="Times New Roman"/>
          <w:b w:val="0"/>
          <w:bCs/>
          <w:snapToGrid/>
          <w:color w:val="000000"/>
          <w:kern w:val="2"/>
          <w:sz w:val="24"/>
          <w:szCs w:val="24"/>
          <w:lang w:val="en-US" w:eastAsia="zh-CN" w:bidi="ar-SA"/>
        </w:rPr>
        <w:t>9</w:t>
      </w:r>
      <w:r>
        <w:rPr>
          <w:rFonts w:hint="eastAsia" w:ascii="Times New Roman" w:hAnsi="Times New Roman" w:eastAsia="宋体" w:cs="Times New Roman"/>
          <w:b w:val="0"/>
          <w:bCs/>
          <w:snapToGrid/>
          <w:color w:val="000000"/>
          <w:kern w:val="2"/>
          <w:sz w:val="24"/>
          <w:szCs w:val="24"/>
          <w:lang w:val="en-US" w:eastAsia="zh-CN" w:bidi="ar-SA"/>
        </w:rPr>
        <w:t>号）202</w:t>
      </w:r>
      <w:r>
        <w:rPr>
          <w:rFonts w:hint="eastAsia" w:cs="Times New Roman"/>
          <w:b w:val="0"/>
          <w:bCs/>
          <w:snapToGrid/>
          <w:color w:val="000000"/>
          <w:kern w:val="2"/>
          <w:sz w:val="24"/>
          <w:szCs w:val="24"/>
          <w:lang w:val="en-US" w:eastAsia="zh-CN" w:bidi="ar-SA"/>
        </w:rPr>
        <w:t>3</w:t>
      </w:r>
      <w:r>
        <w:rPr>
          <w:rFonts w:hint="eastAsia" w:ascii="Times New Roman" w:hAnsi="Times New Roman" w:eastAsia="宋体" w:cs="Times New Roman"/>
          <w:b w:val="0"/>
          <w:bCs/>
          <w:snapToGrid/>
          <w:color w:val="000000"/>
          <w:kern w:val="2"/>
          <w:sz w:val="24"/>
          <w:szCs w:val="24"/>
          <w:lang w:val="en-US" w:eastAsia="zh-CN" w:bidi="ar-SA"/>
        </w:rPr>
        <w:t>年</w:t>
      </w:r>
      <w:r>
        <w:rPr>
          <w:rFonts w:hint="eastAsia" w:cs="Times New Roman"/>
          <w:b w:val="0"/>
          <w:bCs/>
          <w:snapToGrid/>
          <w:color w:val="000000"/>
          <w:kern w:val="2"/>
          <w:sz w:val="24"/>
          <w:szCs w:val="24"/>
          <w:lang w:val="en-US" w:eastAsia="zh-CN" w:bidi="ar-SA"/>
        </w:rPr>
        <w:t>4</w:t>
      </w:r>
      <w:r>
        <w:rPr>
          <w:rFonts w:hint="eastAsia" w:ascii="Times New Roman" w:hAnsi="Times New Roman" w:eastAsia="宋体" w:cs="Times New Roman"/>
          <w:b w:val="0"/>
          <w:bCs/>
          <w:snapToGrid/>
          <w:color w:val="000000"/>
          <w:kern w:val="2"/>
          <w:sz w:val="24"/>
          <w:szCs w:val="24"/>
          <w:lang w:val="en-US" w:eastAsia="zh-CN" w:bidi="ar-SA"/>
        </w:rPr>
        <w:t>月</w:t>
      </w:r>
      <w:r>
        <w:rPr>
          <w:rFonts w:hint="eastAsia" w:cs="Times New Roman"/>
          <w:b w:val="0"/>
          <w:bCs/>
          <w:snapToGrid/>
          <w:color w:val="000000"/>
          <w:kern w:val="2"/>
          <w:sz w:val="24"/>
          <w:szCs w:val="24"/>
          <w:lang w:val="en-US" w:eastAsia="zh-CN" w:bidi="ar-SA"/>
        </w:rPr>
        <w:t>11</w:t>
      </w:r>
      <w:r>
        <w:rPr>
          <w:rFonts w:hint="eastAsia" w:ascii="Times New Roman" w:hAnsi="Times New Roman" w:eastAsia="宋体" w:cs="Times New Roman"/>
          <w:b w:val="0"/>
          <w:bCs/>
          <w:snapToGrid/>
          <w:color w:val="000000"/>
          <w:kern w:val="2"/>
          <w:sz w:val="24"/>
          <w:szCs w:val="24"/>
          <w:lang w:val="en-US" w:eastAsia="zh-CN" w:bidi="ar-SA"/>
        </w:rPr>
        <w:t>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snapToGrid/>
          <w:color w:val="000000"/>
          <w:kern w:val="2"/>
          <w:sz w:val="24"/>
          <w:szCs w:val="24"/>
          <w:lang w:val="en-US" w:eastAsia="zh-CN" w:bidi="ar-SA"/>
        </w:rPr>
      </w:pPr>
      <w:r>
        <w:rPr>
          <w:rFonts w:hint="eastAsia" w:ascii="Times New Roman" w:hAnsi="Times New Roman" w:eastAsia="宋体" w:cs="Times New Roman"/>
          <w:b w:val="0"/>
          <w:bCs/>
          <w:snapToGrid/>
          <w:color w:val="000000"/>
          <w:kern w:val="2"/>
          <w:sz w:val="24"/>
          <w:szCs w:val="24"/>
          <w:lang w:val="en-US" w:eastAsia="zh-CN" w:bidi="ar-SA"/>
        </w:rPr>
        <w:t>（4）20</w:t>
      </w:r>
      <w:r>
        <w:rPr>
          <w:rFonts w:hint="eastAsia" w:cs="Times New Roman"/>
          <w:b w:val="0"/>
          <w:bCs/>
          <w:snapToGrid/>
          <w:color w:val="000000"/>
          <w:kern w:val="2"/>
          <w:sz w:val="24"/>
          <w:szCs w:val="24"/>
          <w:lang w:val="en-US" w:eastAsia="zh-CN" w:bidi="ar-SA"/>
        </w:rPr>
        <w:t>22</w:t>
      </w:r>
      <w:r>
        <w:rPr>
          <w:rFonts w:hint="eastAsia" w:ascii="Times New Roman" w:hAnsi="Times New Roman" w:eastAsia="宋体" w:cs="Times New Roman"/>
          <w:b w:val="0"/>
          <w:bCs/>
          <w:snapToGrid/>
          <w:color w:val="000000"/>
          <w:kern w:val="2"/>
          <w:sz w:val="24"/>
          <w:szCs w:val="24"/>
          <w:lang w:val="en-US" w:eastAsia="zh-CN" w:bidi="ar-SA"/>
        </w:rPr>
        <w:t>年</w:t>
      </w:r>
      <w:r>
        <w:rPr>
          <w:rFonts w:hint="eastAsia" w:cs="Times New Roman"/>
          <w:b w:val="0"/>
          <w:bCs/>
          <w:snapToGrid/>
          <w:color w:val="000000"/>
          <w:kern w:val="2"/>
          <w:sz w:val="24"/>
          <w:szCs w:val="24"/>
          <w:lang w:val="en-US" w:eastAsia="zh-CN" w:bidi="ar-SA"/>
        </w:rPr>
        <w:t>6</w:t>
      </w:r>
      <w:r>
        <w:rPr>
          <w:rFonts w:hint="eastAsia" w:ascii="Times New Roman" w:hAnsi="Times New Roman" w:eastAsia="宋体" w:cs="Times New Roman"/>
          <w:b w:val="0"/>
          <w:bCs/>
          <w:snapToGrid/>
          <w:color w:val="000000"/>
          <w:kern w:val="2"/>
          <w:sz w:val="24"/>
          <w:szCs w:val="24"/>
          <w:lang w:val="en-US" w:eastAsia="zh-CN" w:bidi="ar-SA"/>
        </w:rPr>
        <w:t>月开工建设，于2023年6月完工，并于2023年6月进行调试工作；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hAnsi="宋体" w:eastAsia="宋体"/>
          <w:bCs/>
          <w:color w:val="000000"/>
          <w:sz w:val="24"/>
          <w:lang w:val="en-US" w:eastAsia="zh-CN"/>
        </w:rPr>
      </w:pPr>
      <w:r>
        <w:rPr>
          <w:rFonts w:hint="eastAsia" w:hAnsi="宋体"/>
          <w:bCs/>
          <w:color w:val="000000"/>
          <w:sz w:val="24"/>
          <w:lang w:val="en-US" w:eastAsia="zh-CN"/>
        </w:rPr>
        <w:t>（5）2023年5月06日，取得排污许可证，编号：91341503MA8POMBUXMO01P。</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宋体" w:eastAsia="宋体" w:cs="Times New Roman"/>
          <w:b w:val="0"/>
          <w:bCs w:val="0"/>
          <w:color w:val="000000"/>
          <w:kern w:val="2"/>
          <w:sz w:val="24"/>
          <w:szCs w:val="24"/>
          <w:lang w:val="en-US" w:eastAsia="zh-CN" w:bidi="ar-SA"/>
        </w:rPr>
      </w:pPr>
      <w:r>
        <w:rPr>
          <w:rFonts w:hint="eastAsia" w:hAnsi="宋体"/>
          <w:bCs/>
          <w:color w:val="000000"/>
          <w:sz w:val="24"/>
          <w:lang w:val="en-US" w:eastAsia="zh-CN"/>
        </w:rPr>
        <w:t>（6）2023年7月，</w:t>
      </w:r>
      <w:r>
        <w:rPr>
          <w:rFonts w:hint="eastAsia" w:cs="Times New Roman"/>
          <w:b w:val="0"/>
          <w:bCs/>
          <w:snapToGrid/>
          <w:color w:val="000000"/>
          <w:kern w:val="2"/>
          <w:sz w:val="24"/>
          <w:szCs w:val="24"/>
          <w:lang w:val="en-US" w:eastAsia="zh-CN" w:bidi="ar-SA"/>
        </w:rPr>
        <w:t>安徽晨曜智能设备科技有限公司</w:t>
      </w:r>
      <w:r>
        <w:rPr>
          <w:rFonts w:hint="eastAsia" w:hAnsi="宋体"/>
          <w:bCs/>
          <w:color w:val="000000"/>
          <w:sz w:val="24"/>
          <w:lang w:val="en-US" w:eastAsia="zh-CN"/>
        </w:rPr>
        <w:t>组织开展</w:t>
      </w:r>
      <w:r>
        <w:rPr>
          <w:rFonts w:hint="default" w:ascii="Times New Roman" w:hAnsi="Times New Roman" w:eastAsia="宋体" w:cs="Times New Roman"/>
          <w:color w:val="000000" w:themeColor="text1"/>
          <w:kern w:val="2"/>
          <w:sz w:val="24"/>
          <w:szCs w:val="24"/>
          <w:lang w:eastAsia="zh-CN"/>
          <w14:textFill>
            <w14:solidFill>
              <w14:schemeClr w14:val="tx1"/>
            </w14:solidFill>
          </w14:textFill>
        </w:rPr>
        <w:t>晨曜</w:t>
      </w:r>
      <w:r>
        <w:rPr>
          <w:rFonts w:hint="default" w:ascii="Times New Roman" w:hAnsi="Times New Roman" w:eastAsia="宋体" w:cs="Times New Roman"/>
          <w:color w:val="000000" w:themeColor="text1"/>
          <w:kern w:val="2"/>
          <w:sz w:val="24"/>
          <w:szCs w:val="24"/>
          <w14:textFill>
            <w14:solidFill>
              <w14:schemeClr w14:val="tx1"/>
            </w14:solidFill>
          </w14:textFill>
        </w:rPr>
        <w:t>年产10万吨高端金属结构件项目</w:t>
      </w:r>
      <w:r>
        <w:rPr>
          <w:rFonts w:hint="eastAsia" w:ascii="Times New Roman" w:hAnsi="Times New Roman" w:eastAsia="宋体" w:cs="Times New Roman"/>
          <w:b w:val="0"/>
          <w:snapToGrid/>
          <w:color w:val="000000"/>
          <w:kern w:val="2"/>
          <w:sz w:val="24"/>
          <w:szCs w:val="24"/>
          <w:lang w:val="en-US" w:eastAsia="zh-CN" w:bidi="ar-SA"/>
        </w:rPr>
        <w:t>自主验收工作。</w:t>
      </w:r>
    </w:p>
    <w:p>
      <w:pPr>
        <w:spacing w:line="360" w:lineRule="auto"/>
        <w:outlineLvl w:val="1"/>
        <w:rPr>
          <w:rFonts w:hAnsi="宋体"/>
          <w:b/>
          <w:bCs/>
          <w:color w:val="000000"/>
          <w:sz w:val="28"/>
          <w:szCs w:val="28"/>
        </w:rPr>
      </w:pPr>
      <w:bookmarkStart w:id="30" w:name="_Toc515360499"/>
      <w:bookmarkStart w:id="31" w:name="_Toc26028"/>
      <w:bookmarkStart w:id="32" w:name="_Toc21931"/>
      <w:bookmarkStart w:id="33" w:name="_Toc683"/>
      <w:bookmarkStart w:id="34" w:name="_Toc515359525"/>
      <w:bookmarkStart w:id="35" w:name="_Toc2823"/>
      <w:bookmarkStart w:id="36" w:name="_Toc5223"/>
      <w:r>
        <w:rPr>
          <w:rFonts w:hint="eastAsia" w:hAnsi="宋体"/>
          <w:b/>
          <w:bCs/>
          <w:color w:val="000000"/>
          <w:sz w:val="28"/>
          <w:szCs w:val="28"/>
        </w:rPr>
        <w:t>1.3验收工作由来</w:t>
      </w:r>
      <w:bookmarkEnd w:id="30"/>
      <w:bookmarkEnd w:id="31"/>
      <w:bookmarkEnd w:id="32"/>
      <w:bookmarkEnd w:id="33"/>
      <w:bookmarkEnd w:id="34"/>
      <w:bookmarkEnd w:id="35"/>
      <w:bookmarkEnd w:id="3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Ansi="宋体"/>
          <w:bCs/>
          <w:color w:val="000000"/>
          <w:sz w:val="24"/>
        </w:rPr>
      </w:pPr>
      <w:bookmarkStart w:id="37" w:name="_Toc515358559"/>
      <w:bookmarkStart w:id="38" w:name="_Toc515359526"/>
      <w:bookmarkStart w:id="39" w:name="_Toc515366287"/>
      <w:bookmarkStart w:id="40" w:name="_Toc515360500"/>
      <w:r>
        <w:rPr>
          <w:rFonts w:hAnsi="宋体"/>
          <w:bCs/>
          <w:color w:val="000000"/>
          <w:sz w:val="24"/>
        </w:rPr>
        <w:t>根据《建设项目环境保护管理条例》中第十七条：“编制环境影响报告</w:t>
      </w:r>
      <w:r>
        <w:rPr>
          <w:rFonts w:hint="eastAsia" w:hAnsi="宋体"/>
          <w:bCs/>
          <w:color w:val="000000"/>
          <w:sz w:val="24"/>
          <w:lang w:eastAsia="zh-CN"/>
        </w:rPr>
        <w:t>书</w:t>
      </w:r>
      <w:r>
        <w:rPr>
          <w:rFonts w:hAnsi="宋体"/>
          <w:bCs/>
          <w:color w:val="000000"/>
          <w:sz w:val="24"/>
        </w:rPr>
        <w:t>、环境影响报告</w:t>
      </w:r>
      <w:r>
        <w:rPr>
          <w:rFonts w:hint="eastAsia" w:hAnsi="宋体"/>
          <w:bCs/>
          <w:color w:val="000000"/>
          <w:sz w:val="24"/>
          <w:lang w:eastAsia="zh-CN"/>
        </w:rPr>
        <w:t>书</w:t>
      </w:r>
      <w:r>
        <w:rPr>
          <w:rFonts w:hAnsi="宋体"/>
          <w:bCs/>
          <w:color w:val="000000"/>
          <w:sz w:val="24"/>
        </w:rPr>
        <w:t>的建设项目竣工后，建设单位应当按照国务院环境保护行政主管部门规定的标准和程序，对配套建设的环境保护设施进行验收，编制验收报告。</w:t>
      </w:r>
      <w:bookmarkEnd w:id="37"/>
      <w:bookmarkEnd w:id="38"/>
      <w:bookmarkEnd w:id="39"/>
      <w:bookmarkEnd w:id="4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Ansi="宋体"/>
          <w:bCs/>
          <w:sz w:val="24"/>
        </w:rPr>
      </w:pPr>
      <w:r>
        <w:rPr>
          <w:sz w:val="24"/>
          <w:szCs w:val="22"/>
        </w:rPr>
        <w:t>因此，为考核该建设项目环保</w:t>
      </w:r>
      <w:r>
        <w:rPr>
          <w:rFonts w:hint="eastAsia" w:ascii="宋体" w:hAnsi="宋体" w:cs="宋体"/>
          <w:sz w:val="24"/>
          <w:szCs w:val="22"/>
        </w:rPr>
        <w:t>“三同时”执</w:t>
      </w:r>
      <w:r>
        <w:rPr>
          <w:sz w:val="24"/>
          <w:szCs w:val="22"/>
        </w:rPr>
        <w:t>行情况及各项污染治理设施试运行性能和效果，依据国家环境保护部《建设项目竣工环境保护验收暂行办法》要求，20</w:t>
      </w:r>
      <w:r>
        <w:rPr>
          <w:rFonts w:hint="eastAsia"/>
          <w:sz w:val="24"/>
          <w:szCs w:val="22"/>
          <w:lang w:val="en-US" w:eastAsia="zh-CN"/>
        </w:rPr>
        <w:t>23</w:t>
      </w:r>
      <w:r>
        <w:rPr>
          <w:sz w:val="24"/>
          <w:szCs w:val="22"/>
        </w:rPr>
        <w:t>年</w:t>
      </w:r>
      <w:r>
        <w:rPr>
          <w:rFonts w:hint="eastAsia"/>
          <w:sz w:val="24"/>
          <w:szCs w:val="22"/>
          <w:lang w:val="en-US" w:eastAsia="zh-CN"/>
        </w:rPr>
        <w:t>7</w:t>
      </w:r>
      <w:r>
        <w:rPr>
          <w:sz w:val="24"/>
          <w:szCs w:val="22"/>
        </w:rPr>
        <w:t>月，</w:t>
      </w:r>
      <w:r>
        <w:rPr>
          <w:rFonts w:hint="eastAsia"/>
          <w:sz w:val="24"/>
          <w:szCs w:val="22"/>
          <w:lang w:val="en-US" w:eastAsia="zh-CN"/>
        </w:rPr>
        <w:t>委托安徽锦环开展竣工环保验收工作</w:t>
      </w:r>
      <w:r>
        <w:rPr>
          <w:rFonts w:hint="eastAsia" w:ascii="Times New Roman" w:hAnsi="Times New Roman" w:eastAsia="宋体" w:cs="Times New Roman"/>
          <w:b w:val="0"/>
          <w:snapToGrid/>
          <w:color w:val="000000"/>
          <w:kern w:val="2"/>
          <w:sz w:val="24"/>
          <w:szCs w:val="24"/>
          <w:lang w:val="en-US" w:eastAsia="zh-CN" w:bidi="ar-SA"/>
        </w:rPr>
        <w:t>，于202</w:t>
      </w:r>
      <w:r>
        <w:rPr>
          <w:rFonts w:hint="eastAsia" w:cs="Times New Roman"/>
          <w:b w:val="0"/>
          <w:snapToGrid/>
          <w:color w:val="000000"/>
          <w:kern w:val="2"/>
          <w:sz w:val="24"/>
          <w:szCs w:val="24"/>
          <w:lang w:val="en-US" w:eastAsia="zh-CN" w:bidi="ar-SA"/>
        </w:rPr>
        <w:t>3</w:t>
      </w:r>
      <w:r>
        <w:rPr>
          <w:rFonts w:hint="eastAsia" w:ascii="Times New Roman" w:hAnsi="Times New Roman" w:eastAsia="宋体" w:cs="Times New Roman"/>
          <w:b w:val="0"/>
          <w:snapToGrid/>
          <w:color w:val="000000"/>
          <w:kern w:val="2"/>
          <w:sz w:val="24"/>
          <w:szCs w:val="24"/>
          <w:lang w:val="en-US" w:eastAsia="zh-CN" w:bidi="ar-SA"/>
        </w:rPr>
        <w:t>年</w:t>
      </w:r>
      <w:r>
        <w:rPr>
          <w:rFonts w:hint="eastAsia" w:cs="Times New Roman"/>
          <w:b w:val="0"/>
          <w:snapToGrid/>
          <w:color w:val="000000"/>
          <w:kern w:val="2"/>
          <w:sz w:val="24"/>
          <w:szCs w:val="24"/>
          <w:lang w:val="en-US" w:eastAsia="zh-CN" w:bidi="ar-SA"/>
        </w:rPr>
        <w:t>7</w:t>
      </w:r>
      <w:r>
        <w:rPr>
          <w:rFonts w:hint="eastAsia" w:ascii="Times New Roman" w:hAnsi="Times New Roman" w:eastAsia="宋体" w:cs="Times New Roman"/>
          <w:b w:val="0"/>
          <w:snapToGrid/>
          <w:color w:val="000000"/>
          <w:kern w:val="2"/>
          <w:sz w:val="24"/>
          <w:szCs w:val="24"/>
          <w:lang w:val="en-US" w:eastAsia="zh-CN" w:bidi="ar-SA"/>
        </w:rPr>
        <w:t>月11日制定项目污染物监测方案</w:t>
      </w:r>
      <w:r>
        <w:rPr>
          <w:rFonts w:hint="eastAsia" w:ascii="Times New Roman" w:hAnsi="宋体" w:eastAsia="宋体" w:cs="Times New Roman"/>
          <w:b w:val="0"/>
          <w:bCs w:val="0"/>
          <w:color w:val="000000"/>
          <w:kern w:val="2"/>
          <w:sz w:val="24"/>
          <w:szCs w:val="24"/>
          <w:lang w:val="en-US" w:eastAsia="zh-CN" w:bidi="ar-SA"/>
        </w:rPr>
        <w:t>，委</w:t>
      </w:r>
      <w:r>
        <w:rPr>
          <w:rFonts w:hint="eastAsia"/>
          <w:sz w:val="24"/>
          <w:szCs w:val="22"/>
          <w:lang w:val="en-US" w:eastAsia="zh-CN"/>
        </w:rPr>
        <w:t>托</w:t>
      </w:r>
      <w:r>
        <w:rPr>
          <w:rFonts w:hint="eastAsia" w:ascii="宋体" w:hAnsi="宋体" w:cs="宋体"/>
          <w:sz w:val="24"/>
          <w:lang w:eastAsia="zh-CN"/>
        </w:rPr>
        <w:t>安徽国环检测技术有限公司</w:t>
      </w:r>
      <w:r>
        <w:rPr>
          <w:sz w:val="24"/>
          <w:szCs w:val="22"/>
        </w:rPr>
        <w:t>于</w:t>
      </w:r>
      <w:r>
        <w:rPr>
          <w:rFonts w:hint="eastAsia" w:ascii="Times New Roman" w:hAnsi="Times New Roman" w:eastAsia="宋体" w:cs="Times New Roman"/>
          <w:b w:val="0"/>
          <w:snapToGrid/>
          <w:color w:val="000000"/>
          <w:kern w:val="2"/>
          <w:sz w:val="24"/>
          <w:szCs w:val="24"/>
          <w:lang w:val="en-US" w:eastAsia="zh-CN" w:bidi="ar-SA"/>
        </w:rPr>
        <w:t>2023年7月20日-24日、2023年8月15日-21日进行现场采样监测</w:t>
      </w:r>
      <w:r>
        <w:rPr>
          <w:rFonts w:hint="eastAsia" w:cs="Times New Roman"/>
          <w:b w:val="0"/>
          <w:snapToGrid/>
          <w:color w:val="000000"/>
          <w:kern w:val="2"/>
          <w:sz w:val="24"/>
          <w:szCs w:val="24"/>
          <w:lang w:val="en-US" w:eastAsia="zh-CN" w:bidi="ar-SA"/>
        </w:rPr>
        <w:t>（7月20日现场监测排气筒DA001、排气筒DA003采样口未开，故8月15日进行补充监测）</w:t>
      </w:r>
      <w:r>
        <w:rPr>
          <w:rFonts w:hint="eastAsia" w:ascii="Times New Roman" w:hAnsi="Times New Roman" w:eastAsia="宋体" w:cs="Times New Roman"/>
          <w:b w:val="0"/>
          <w:snapToGrid/>
          <w:color w:val="000000"/>
          <w:kern w:val="2"/>
          <w:sz w:val="24"/>
          <w:szCs w:val="24"/>
          <w:lang w:val="en-US" w:eastAsia="zh-CN" w:bidi="ar-SA"/>
        </w:rPr>
        <w:t>，</w:t>
      </w:r>
      <w:r>
        <w:rPr>
          <w:rFonts w:hint="eastAsia" w:cs="Times New Roman"/>
          <w:b w:val="0"/>
          <w:snapToGrid/>
          <w:color w:val="000000"/>
          <w:kern w:val="2"/>
          <w:sz w:val="24"/>
          <w:szCs w:val="24"/>
          <w:lang w:val="en-US" w:eastAsia="zh-CN" w:bidi="ar-SA"/>
        </w:rPr>
        <w:t>于8月29日出具检测报告，</w:t>
      </w:r>
      <w:r>
        <w:rPr>
          <w:rFonts w:hint="eastAsia" w:ascii="Times New Roman" w:hAnsi="Times New Roman" w:eastAsia="宋体" w:cs="Times New Roman"/>
          <w:b w:val="0"/>
          <w:snapToGrid/>
          <w:color w:val="000000"/>
          <w:kern w:val="2"/>
          <w:sz w:val="24"/>
          <w:szCs w:val="24"/>
          <w:lang w:val="en-US" w:eastAsia="zh-CN" w:bidi="ar-SA"/>
        </w:rPr>
        <w:t>在此基础上于9月15号完成验收监测</w:t>
      </w:r>
      <w:r>
        <w:rPr>
          <w:sz w:val="24"/>
          <w:szCs w:val="22"/>
        </w:rPr>
        <w:t>报告。</w:t>
      </w:r>
    </w:p>
    <w:p>
      <w:pPr>
        <w:keepNext w:val="0"/>
        <w:keepLines w:val="0"/>
        <w:pageBreakBefore w:val="0"/>
        <w:widowControl w:val="0"/>
        <w:tabs>
          <w:tab w:val="center" w:pos="4153"/>
        </w:tabs>
        <w:kinsoku/>
        <w:wordWrap/>
        <w:overflowPunct/>
        <w:topLinePunct w:val="0"/>
        <w:autoSpaceDE/>
        <w:autoSpaceDN/>
        <w:bidi w:val="0"/>
        <w:adjustRightInd/>
        <w:snapToGrid/>
        <w:spacing w:line="360" w:lineRule="auto"/>
        <w:ind w:firstLine="480" w:firstLineChars="200"/>
        <w:textAlignment w:val="auto"/>
        <w:rPr>
          <w:rFonts w:hint="eastAsia"/>
          <w:sz w:val="24"/>
          <w:szCs w:val="22"/>
          <w:lang w:val="en-US" w:eastAsia="zh-CN"/>
        </w:rPr>
      </w:pPr>
      <w:r>
        <w:rPr>
          <w:rFonts w:hint="eastAsia"/>
          <w:sz w:val="24"/>
          <w:szCs w:val="22"/>
          <w:lang w:val="en-US" w:eastAsia="zh-CN"/>
        </w:rPr>
        <w:t>1、废气监测；</w:t>
      </w:r>
      <w:r>
        <w:rPr>
          <w:rFonts w:hint="eastAsia"/>
          <w:sz w:val="24"/>
          <w:szCs w:val="22"/>
          <w:lang w:val="en-US" w:eastAsia="zh-CN"/>
        </w:rPr>
        <w:tab/>
      </w:r>
      <w:bookmarkStart w:id="464" w:name="_GoBack"/>
      <w:bookmarkEnd w:id="46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2"/>
          <w:lang w:val="en-US" w:eastAsia="zh-CN"/>
        </w:rPr>
      </w:pPr>
      <w:r>
        <w:rPr>
          <w:rFonts w:hint="eastAsia"/>
          <w:sz w:val="24"/>
          <w:szCs w:val="22"/>
          <w:lang w:val="en-US" w:eastAsia="zh-CN"/>
        </w:rPr>
        <w:t>2、厂界噪声监测；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2"/>
          <w:lang w:val="en-US" w:eastAsia="zh-CN"/>
        </w:rPr>
      </w:pPr>
      <w:r>
        <w:rPr>
          <w:rFonts w:hint="eastAsia"/>
          <w:sz w:val="24"/>
          <w:szCs w:val="22"/>
          <w:lang w:val="en-US" w:eastAsia="zh-CN"/>
        </w:rPr>
        <w:t>3、工业固废污染控制措施落实情况；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Ansi="宋体"/>
          <w:bCs/>
          <w:color w:val="0000FF"/>
          <w:sz w:val="24"/>
        </w:rPr>
      </w:pPr>
      <w:r>
        <w:rPr>
          <w:rFonts w:hint="eastAsia"/>
          <w:sz w:val="24"/>
          <w:szCs w:val="22"/>
          <w:lang w:val="en-US" w:eastAsia="zh-CN"/>
        </w:rPr>
        <w:t>4、环评及其审批文件中其他相关环保措施及环境管理要求落实情</w:t>
      </w:r>
      <w:r>
        <w:rPr>
          <w:rFonts w:hint="eastAsia" w:ascii="Times New Roman" w:hAnsi="Times New Roman" w:eastAsia="宋体" w:cs="Times New Roman"/>
          <w:sz w:val="24"/>
          <w:szCs w:val="22"/>
          <w:lang w:val="en-US" w:eastAsia="zh-CN"/>
        </w:rPr>
        <w:t>况。</w:t>
      </w:r>
    </w:p>
    <w:bookmarkEnd w:id="19"/>
    <w:bookmarkEnd w:id="20"/>
    <w:bookmarkEnd w:id="21"/>
    <w:bookmarkEnd w:id="22"/>
    <w:p>
      <w:pPr>
        <w:widowControl/>
        <w:spacing w:line="360" w:lineRule="auto"/>
        <w:jc w:val="left"/>
        <w:outlineLvl w:val="1"/>
        <w:rPr>
          <w:b/>
          <w:bCs/>
          <w:sz w:val="28"/>
          <w:szCs w:val="28"/>
        </w:rPr>
      </w:pPr>
      <w:bookmarkStart w:id="41" w:name="_Toc11762"/>
      <w:bookmarkStart w:id="42" w:name="_Toc13285"/>
      <w:bookmarkStart w:id="43" w:name="_Toc14634"/>
      <w:bookmarkStart w:id="44" w:name="_Toc24875"/>
      <w:bookmarkStart w:id="45" w:name="_Toc17979"/>
      <w:r>
        <w:rPr>
          <w:b/>
          <w:bCs/>
          <w:sz w:val="28"/>
          <w:szCs w:val="28"/>
        </w:rPr>
        <w:t>1.4验收条件满足性分析</w:t>
      </w:r>
      <w:bookmarkEnd w:id="41"/>
      <w:bookmarkEnd w:id="42"/>
      <w:bookmarkEnd w:id="43"/>
      <w:bookmarkEnd w:id="44"/>
      <w:bookmarkEnd w:id="45"/>
    </w:p>
    <w:p>
      <w:pPr>
        <w:spacing w:line="360" w:lineRule="auto"/>
        <w:jc w:val="center"/>
        <w:rPr>
          <w:b/>
          <w:bCs/>
          <w:sz w:val="24"/>
        </w:rPr>
      </w:pPr>
      <w:r>
        <w:rPr>
          <w:b/>
          <w:bCs/>
          <w:sz w:val="24"/>
        </w:rPr>
        <w:t>表1.</w:t>
      </w:r>
      <w:r>
        <w:rPr>
          <w:rFonts w:hint="eastAsia"/>
          <w:b/>
          <w:bCs/>
          <w:sz w:val="24"/>
        </w:rPr>
        <w:t>1</w:t>
      </w:r>
      <w:r>
        <w:rPr>
          <w:b/>
          <w:bCs/>
          <w:sz w:val="24"/>
        </w:rPr>
        <w:t>项目满足验收条件情况一览表</w:t>
      </w: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50"/>
        <w:gridCol w:w="4025"/>
        <w:gridCol w:w="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258" w:type="pct"/>
            <w:noWrap/>
            <w:vAlign w:val="center"/>
          </w:tcPr>
          <w:p>
            <w:pPr>
              <w:pStyle w:val="107"/>
              <w:spacing w:line="240" w:lineRule="auto"/>
              <w:ind w:firstLine="0"/>
              <w:jc w:val="center"/>
              <w:rPr>
                <w:rFonts w:ascii="Times New Roman" w:hAnsi="Times New Roman"/>
                <w:b/>
                <w:bCs/>
                <w:sz w:val="21"/>
                <w:szCs w:val="21"/>
              </w:rPr>
            </w:pPr>
            <w:r>
              <w:rPr>
                <w:rFonts w:ascii="Times New Roman" w:hAnsi="Times New Roman"/>
                <w:b/>
                <w:bCs/>
                <w:sz w:val="21"/>
                <w:szCs w:val="21"/>
              </w:rPr>
              <w:t>关于发布《建设项目竣工环境保护验收暂行办法》的公告</w:t>
            </w:r>
            <w:r>
              <w:rPr>
                <w:rFonts w:hint="eastAsia" w:ascii="Times New Roman" w:hAnsi="Times New Roman"/>
                <w:b/>
                <w:bCs/>
                <w:sz w:val="21"/>
                <w:szCs w:val="21"/>
              </w:rPr>
              <w:t>（国环规环评〔2017〕4号）中不得提出验收合格意见的情形</w:t>
            </w:r>
          </w:p>
        </w:tc>
        <w:tc>
          <w:tcPr>
            <w:tcW w:w="2361" w:type="pct"/>
            <w:noWrap/>
            <w:vAlign w:val="center"/>
          </w:tcPr>
          <w:p>
            <w:pPr>
              <w:pStyle w:val="107"/>
              <w:spacing w:line="240" w:lineRule="auto"/>
              <w:ind w:firstLine="0"/>
              <w:jc w:val="center"/>
              <w:rPr>
                <w:rFonts w:ascii="Times New Roman" w:hAnsi="Times New Roman"/>
                <w:b/>
                <w:bCs/>
                <w:sz w:val="21"/>
                <w:szCs w:val="21"/>
              </w:rPr>
            </w:pPr>
            <w:r>
              <w:rPr>
                <w:rFonts w:hint="eastAsia" w:ascii="Times New Roman" w:hAnsi="Times New Roman"/>
                <w:b/>
                <w:bCs/>
                <w:sz w:val="21"/>
                <w:szCs w:val="21"/>
              </w:rPr>
              <w:t>本项目实际相关情形</w:t>
            </w:r>
          </w:p>
        </w:tc>
        <w:tc>
          <w:tcPr>
            <w:tcW w:w="379" w:type="pct"/>
            <w:noWrap/>
            <w:vAlign w:val="center"/>
          </w:tcPr>
          <w:p>
            <w:pPr>
              <w:pStyle w:val="107"/>
              <w:spacing w:line="240" w:lineRule="auto"/>
              <w:ind w:firstLine="0"/>
              <w:jc w:val="center"/>
              <w:rPr>
                <w:rFonts w:ascii="Times New Roman" w:hAnsi="Times New Roman"/>
                <w:b/>
                <w:bCs/>
                <w:sz w:val="21"/>
                <w:szCs w:val="21"/>
              </w:rPr>
            </w:pPr>
            <w:r>
              <w:rPr>
                <w:rFonts w:hint="eastAsia" w:ascii="Times New Roman" w:hAnsi="Times New Roman"/>
                <w:b/>
                <w:bCs/>
                <w:sz w:val="21"/>
                <w:szCs w:val="21"/>
              </w:rPr>
              <w:t>合格</w:t>
            </w:r>
          </w:p>
          <w:p>
            <w:pPr>
              <w:pStyle w:val="107"/>
              <w:spacing w:line="240" w:lineRule="auto"/>
              <w:ind w:firstLine="0"/>
              <w:jc w:val="center"/>
              <w:rPr>
                <w:rFonts w:ascii="Times New Roman" w:hAnsi="Times New Roman"/>
                <w:b/>
                <w:bCs/>
                <w:sz w:val="21"/>
                <w:szCs w:val="21"/>
              </w:rPr>
            </w:pPr>
            <w:r>
              <w:rPr>
                <w:rFonts w:hint="eastAsia" w:ascii="Times New Roman" w:hAnsi="Times New Roman"/>
                <w:b/>
                <w:bCs/>
                <w:sz w:val="21"/>
                <w:szCs w:val="21"/>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58" w:type="pct"/>
            <w:noWrap/>
            <w:vAlign w:val="center"/>
          </w:tcPr>
          <w:p>
            <w:pPr>
              <w:pStyle w:val="107"/>
              <w:spacing w:line="240" w:lineRule="auto"/>
              <w:ind w:firstLine="0"/>
              <w:rPr>
                <w:rFonts w:ascii="Times New Roman" w:hAnsi="Times New Roman"/>
                <w:sz w:val="21"/>
                <w:szCs w:val="21"/>
              </w:rPr>
            </w:pPr>
            <w:r>
              <w:rPr>
                <w:rFonts w:hint="eastAsia" w:ascii="Times New Roman" w:hAnsi="Times New Roman"/>
                <w:sz w:val="21"/>
                <w:szCs w:val="21"/>
              </w:rPr>
              <w:t>（1）</w:t>
            </w:r>
            <w:r>
              <w:rPr>
                <w:rFonts w:ascii="Times New Roman" w:hAnsi="Times New Roman"/>
                <w:sz w:val="21"/>
                <w:szCs w:val="21"/>
              </w:rPr>
              <w:t>未按环境影响报告书（表）及其审批部门审批决定要求建成环境保护设施，或者环境保护设施不能与主体工程同时投产或者使用的</w:t>
            </w:r>
          </w:p>
        </w:tc>
        <w:tc>
          <w:tcPr>
            <w:tcW w:w="2361" w:type="pct"/>
            <w:noWrap/>
            <w:vAlign w:val="center"/>
          </w:tcPr>
          <w:p>
            <w:pPr>
              <w:pStyle w:val="107"/>
              <w:keepNext w:val="0"/>
              <w:keepLines w:val="0"/>
              <w:pageBreakBefore w:val="0"/>
              <w:widowControl w:val="0"/>
              <w:kinsoku/>
              <w:wordWrap/>
              <w:overflowPunct w:val="0"/>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cs="Times New Roman"/>
                <w:color w:val="000000"/>
                <w:sz w:val="21"/>
                <w:szCs w:val="21"/>
                <w:vertAlign w:val="baseline"/>
                <w:lang w:val="en-US" w:eastAsia="zh-CN"/>
              </w:rPr>
              <w:t>已办理环评手续并取得</w:t>
            </w:r>
            <w:r>
              <w:rPr>
                <w:rFonts w:hint="eastAsia" w:cs="Times New Roman"/>
                <w:color w:val="000000"/>
                <w:sz w:val="21"/>
                <w:szCs w:val="21"/>
                <w:highlight w:val="none"/>
                <w:lang w:eastAsia="zh-CN"/>
              </w:rPr>
              <w:t>六安市生态环境局</w:t>
            </w:r>
            <w:r>
              <w:rPr>
                <w:rFonts w:hint="eastAsia" w:ascii="Times New Roman" w:hAnsi="Times New Roman" w:eastAsia="宋体" w:cs="Times New Roman"/>
                <w:color w:val="000000"/>
                <w:sz w:val="21"/>
                <w:szCs w:val="21"/>
                <w:vertAlign w:val="baseline"/>
                <w:lang w:val="en-US" w:eastAsia="zh-CN"/>
              </w:rPr>
              <w:t>《关于安徽晨曜智能设备科技有限公司</w:t>
            </w:r>
            <w:r>
              <w:rPr>
                <w:rFonts w:hint="default" w:ascii="Times New Roman" w:hAnsi="Times New Roman" w:eastAsia="宋体" w:cs="Times New Roman"/>
                <w:color w:val="000000"/>
                <w:sz w:val="21"/>
                <w:szCs w:val="21"/>
                <w:vertAlign w:val="baseline"/>
                <w:lang w:val="en-US" w:eastAsia="zh-CN"/>
              </w:rPr>
              <w:t>晨曜年产10万吨高端金属结构件项目</w:t>
            </w:r>
            <w:r>
              <w:rPr>
                <w:rFonts w:hint="eastAsia" w:ascii="Times New Roman" w:hAnsi="Times New Roman" w:eastAsia="宋体" w:cs="Times New Roman"/>
                <w:color w:val="000000"/>
                <w:sz w:val="21"/>
                <w:szCs w:val="21"/>
                <w:vertAlign w:val="baseline"/>
                <w:lang w:val="en-US" w:eastAsia="zh-CN"/>
              </w:rPr>
              <w:t>环境影响报告书的批复》（六环评[2023]9号），相关环保设施做到了与主体工程同时投产</w:t>
            </w:r>
            <w:r>
              <w:rPr>
                <w:rFonts w:hint="eastAsia" w:ascii="Times New Roman" w:hAnsi="Times New Roman" w:cs="Times New Roman"/>
                <w:color w:val="000000"/>
                <w:sz w:val="21"/>
                <w:szCs w:val="21"/>
                <w:vertAlign w:val="baseline"/>
                <w:lang w:val="en-US" w:eastAsia="zh-CN"/>
              </w:rPr>
              <w:t>或使用</w:t>
            </w:r>
          </w:p>
        </w:tc>
        <w:tc>
          <w:tcPr>
            <w:tcW w:w="379" w:type="pct"/>
            <w:noWrap/>
            <w:vAlign w:val="center"/>
          </w:tcPr>
          <w:p>
            <w:pPr>
              <w:pStyle w:val="107"/>
              <w:spacing w:line="240" w:lineRule="auto"/>
              <w:ind w:firstLine="0"/>
              <w:jc w:val="center"/>
              <w:rPr>
                <w:rFonts w:ascii="Times New Roman" w:hAnsi="Times New Roman"/>
                <w:sz w:val="21"/>
                <w:szCs w:val="21"/>
              </w:rPr>
            </w:pPr>
            <w:r>
              <w:rPr>
                <w:rFonts w:hint="eastAsia"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8" w:hRule="atLeast"/>
        </w:trPr>
        <w:tc>
          <w:tcPr>
            <w:tcW w:w="2258" w:type="pct"/>
            <w:noWrap/>
            <w:vAlign w:val="center"/>
          </w:tcPr>
          <w:p>
            <w:pPr>
              <w:pStyle w:val="107"/>
              <w:spacing w:line="240" w:lineRule="auto"/>
              <w:ind w:firstLine="0"/>
              <w:rPr>
                <w:rFonts w:ascii="Times New Roman" w:hAnsi="Times New Roman"/>
                <w:sz w:val="21"/>
                <w:szCs w:val="21"/>
              </w:rPr>
            </w:pPr>
            <w:r>
              <w:rPr>
                <w:rFonts w:hint="eastAsia" w:ascii="Times New Roman" w:hAnsi="Times New Roman"/>
                <w:sz w:val="21"/>
                <w:szCs w:val="21"/>
              </w:rPr>
              <w:t>（2）</w:t>
            </w:r>
            <w:r>
              <w:rPr>
                <w:rFonts w:ascii="Times New Roman" w:hAnsi="Times New Roman"/>
                <w:sz w:val="21"/>
                <w:szCs w:val="21"/>
              </w:rPr>
              <w:t>污染物排放不符合国家和地方相关标准、环境影响报告书（表）及其审批部门审批决定或者重点污染物排放总量控制指标要求的</w:t>
            </w:r>
          </w:p>
        </w:tc>
        <w:tc>
          <w:tcPr>
            <w:tcW w:w="2361" w:type="pct"/>
            <w:noWrap/>
            <w:vAlign w:val="center"/>
          </w:tcPr>
          <w:p>
            <w:pPr>
              <w:pStyle w:val="107"/>
              <w:keepNext w:val="0"/>
              <w:keepLines w:val="0"/>
              <w:pageBreakBefore w:val="0"/>
              <w:widowControl w:val="0"/>
              <w:kinsoku/>
              <w:wordWrap/>
              <w:overflowPunct w:val="0"/>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cs="Times New Roman"/>
                <w:color w:val="000000"/>
                <w:sz w:val="21"/>
                <w:szCs w:val="21"/>
                <w:vertAlign w:val="baseline"/>
                <w:lang w:val="en-US" w:eastAsia="zh-CN"/>
              </w:rPr>
              <w:t>污染排放满足相关标准和总量控制指标要求</w:t>
            </w:r>
          </w:p>
        </w:tc>
        <w:tc>
          <w:tcPr>
            <w:tcW w:w="379" w:type="pct"/>
            <w:noWrap/>
            <w:vAlign w:val="center"/>
          </w:tcPr>
          <w:p>
            <w:pPr>
              <w:pStyle w:val="107"/>
              <w:spacing w:line="240" w:lineRule="auto"/>
              <w:ind w:firstLine="0"/>
              <w:jc w:val="center"/>
              <w:rPr>
                <w:rFonts w:ascii="Times New Roman" w:hAnsi="Times New Roman"/>
                <w:sz w:val="21"/>
                <w:szCs w:val="21"/>
              </w:rPr>
            </w:pPr>
            <w:r>
              <w:rPr>
                <w:rFonts w:hint="eastAsia"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58" w:type="pct"/>
            <w:noWrap/>
            <w:vAlign w:val="center"/>
          </w:tcPr>
          <w:p>
            <w:pPr>
              <w:pStyle w:val="107"/>
              <w:spacing w:line="240" w:lineRule="auto"/>
              <w:ind w:firstLine="0"/>
              <w:rPr>
                <w:rFonts w:ascii="Times New Roman" w:hAnsi="Times New Roman"/>
                <w:sz w:val="21"/>
                <w:szCs w:val="21"/>
              </w:rPr>
            </w:pPr>
            <w:r>
              <w:rPr>
                <w:rFonts w:hint="eastAsia" w:ascii="Times New Roman" w:hAnsi="Times New Roman"/>
                <w:sz w:val="21"/>
                <w:szCs w:val="21"/>
              </w:rPr>
              <w:t>（3）</w:t>
            </w:r>
            <w:r>
              <w:rPr>
                <w:rFonts w:ascii="Times New Roman" w:hAnsi="Times New Roman"/>
                <w:sz w:val="21"/>
                <w:szCs w:val="21"/>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2361" w:type="pct"/>
            <w:noWrap/>
            <w:vAlign w:val="center"/>
          </w:tcPr>
          <w:p>
            <w:pPr>
              <w:pStyle w:val="107"/>
              <w:spacing w:line="240" w:lineRule="auto"/>
              <w:ind w:firstLine="0"/>
              <w:jc w:val="center"/>
              <w:rPr>
                <w:rFonts w:ascii="Times New Roman" w:hAnsi="Times New Roman"/>
                <w:sz w:val="21"/>
                <w:szCs w:val="21"/>
              </w:rPr>
            </w:pPr>
            <w:r>
              <w:rPr>
                <w:rFonts w:hint="eastAsia" w:ascii="Times New Roman" w:hAnsi="Times New Roman"/>
                <w:sz w:val="21"/>
                <w:szCs w:val="21"/>
              </w:rPr>
              <w:t>根据《关于印发&lt;污染影响类建设项目重大变动清单（试行）&gt;的通知》（环办环评函〔2020〕688号），项目不涉及重大变动</w:t>
            </w:r>
          </w:p>
        </w:tc>
        <w:tc>
          <w:tcPr>
            <w:tcW w:w="379" w:type="pct"/>
            <w:noWrap/>
            <w:vAlign w:val="center"/>
          </w:tcPr>
          <w:p>
            <w:pPr>
              <w:pStyle w:val="107"/>
              <w:spacing w:line="240" w:lineRule="auto"/>
              <w:ind w:firstLine="0"/>
              <w:jc w:val="center"/>
              <w:rPr>
                <w:rFonts w:ascii="Times New Roman" w:hAnsi="Times New Roman"/>
                <w:sz w:val="21"/>
                <w:szCs w:val="21"/>
              </w:rPr>
            </w:pPr>
            <w:r>
              <w:rPr>
                <w:rFonts w:hint="eastAsia"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2258" w:type="pct"/>
            <w:noWrap/>
            <w:vAlign w:val="center"/>
          </w:tcPr>
          <w:p>
            <w:pPr>
              <w:pStyle w:val="107"/>
              <w:spacing w:line="240" w:lineRule="auto"/>
              <w:ind w:firstLine="0"/>
              <w:rPr>
                <w:rFonts w:ascii="Times New Roman" w:hAnsi="Times New Roman"/>
                <w:sz w:val="21"/>
                <w:szCs w:val="21"/>
              </w:rPr>
            </w:pPr>
            <w:r>
              <w:rPr>
                <w:rFonts w:hint="eastAsia" w:ascii="Times New Roman" w:hAnsi="Times New Roman"/>
                <w:sz w:val="21"/>
                <w:szCs w:val="21"/>
              </w:rPr>
              <w:t>（4）建设过程中造成重大环境污染未治理完成，或者造成重大生态破坏未恢复的</w:t>
            </w:r>
          </w:p>
        </w:tc>
        <w:tc>
          <w:tcPr>
            <w:tcW w:w="2361" w:type="pct"/>
            <w:noWrap/>
            <w:vAlign w:val="center"/>
          </w:tcPr>
          <w:p>
            <w:pPr>
              <w:pStyle w:val="107"/>
              <w:spacing w:line="240" w:lineRule="auto"/>
              <w:ind w:firstLine="0"/>
              <w:jc w:val="center"/>
              <w:rPr>
                <w:rFonts w:ascii="Times New Roman" w:hAnsi="Times New Roman"/>
                <w:sz w:val="21"/>
                <w:szCs w:val="21"/>
              </w:rPr>
            </w:pPr>
            <w:r>
              <w:rPr>
                <w:rFonts w:hint="eastAsia" w:ascii="Times New Roman" w:hAnsi="Times New Roman"/>
                <w:sz w:val="21"/>
                <w:szCs w:val="21"/>
              </w:rPr>
              <w:t>不涉及</w:t>
            </w:r>
          </w:p>
        </w:tc>
        <w:tc>
          <w:tcPr>
            <w:tcW w:w="379" w:type="pct"/>
            <w:noWrap/>
            <w:vAlign w:val="center"/>
          </w:tcPr>
          <w:p>
            <w:pPr>
              <w:pStyle w:val="107"/>
              <w:spacing w:line="240" w:lineRule="auto"/>
              <w:ind w:firstLine="0"/>
              <w:jc w:val="center"/>
              <w:rPr>
                <w:rFonts w:ascii="Times New Roman" w:hAnsi="Times New Roman"/>
                <w:sz w:val="21"/>
                <w:szCs w:val="21"/>
              </w:rPr>
            </w:pPr>
            <w:r>
              <w:rPr>
                <w:rFonts w:hint="eastAsia"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58" w:type="pct"/>
            <w:noWrap/>
            <w:vAlign w:val="center"/>
          </w:tcPr>
          <w:p>
            <w:pPr>
              <w:pStyle w:val="107"/>
              <w:spacing w:line="240" w:lineRule="auto"/>
              <w:ind w:firstLine="0"/>
              <w:rPr>
                <w:rFonts w:ascii="Times New Roman" w:hAnsi="Times New Roman"/>
                <w:sz w:val="21"/>
                <w:szCs w:val="21"/>
              </w:rPr>
            </w:pPr>
            <w:r>
              <w:rPr>
                <w:rFonts w:hint="eastAsia" w:ascii="Times New Roman" w:hAnsi="Times New Roman"/>
                <w:sz w:val="21"/>
                <w:szCs w:val="21"/>
              </w:rPr>
              <w:t>（5）纳入排污许可管理的建设项目，无证排污或者不按证排污的</w:t>
            </w:r>
          </w:p>
        </w:tc>
        <w:tc>
          <w:tcPr>
            <w:tcW w:w="2361" w:type="pct"/>
            <w:noWrap/>
            <w:vAlign w:val="center"/>
          </w:tcPr>
          <w:p>
            <w:pPr>
              <w:pStyle w:val="107"/>
              <w:spacing w:line="240" w:lineRule="auto"/>
              <w:ind w:firstLine="0"/>
              <w:jc w:val="center"/>
              <w:rPr>
                <w:rFonts w:hint="eastAsia" w:ascii="Times New Roman" w:hAnsi="Times New Roman" w:eastAsia="宋体"/>
                <w:sz w:val="21"/>
                <w:szCs w:val="21"/>
                <w:lang w:eastAsia="zh-CN"/>
              </w:rPr>
            </w:pPr>
            <w:r>
              <w:rPr>
                <w:rFonts w:hint="default" w:ascii="Times New Roman" w:hAnsi="Times New Roman" w:eastAsia="宋体" w:cs="Times New Roman"/>
                <w:color w:val="000000"/>
                <w:sz w:val="21"/>
                <w:szCs w:val="21"/>
                <w:vertAlign w:val="baseline"/>
                <w:lang w:val="en-US" w:eastAsia="zh-CN"/>
              </w:rPr>
              <w:t>根据《固定污染源排污许可分类名录》（2019年版），项目属于</w:t>
            </w:r>
            <w:r>
              <w:rPr>
                <w:rFonts w:hint="eastAsia" w:ascii="Times New Roman" w:hAnsi="Times New Roman" w:cs="Times New Roman"/>
                <w:color w:val="000000"/>
                <w:sz w:val="21"/>
                <w:szCs w:val="21"/>
                <w:vertAlign w:val="baseline"/>
                <w:lang w:val="en-US" w:eastAsia="zh-CN"/>
              </w:rPr>
              <w:t>重点</w:t>
            </w:r>
            <w:r>
              <w:rPr>
                <w:rFonts w:hint="default" w:ascii="Times New Roman" w:hAnsi="Times New Roman" w:eastAsia="宋体" w:cs="Times New Roman"/>
                <w:color w:val="000000"/>
                <w:sz w:val="21"/>
                <w:szCs w:val="21"/>
                <w:vertAlign w:val="baseline"/>
                <w:lang w:val="en-US" w:eastAsia="zh-CN"/>
              </w:rPr>
              <w:t>管理类，</w:t>
            </w:r>
            <w:r>
              <w:rPr>
                <w:rFonts w:hint="default" w:ascii="Times New Roman" w:hAnsi="Times New Roman" w:eastAsia="宋体" w:cs="Times New Roman"/>
                <w:color w:val="000000"/>
                <w:sz w:val="21"/>
                <w:szCs w:val="21"/>
              </w:rPr>
              <w:t>已</w:t>
            </w:r>
            <w:r>
              <w:rPr>
                <w:rFonts w:hint="eastAsia" w:ascii="Times New Roman" w:hAnsi="Times New Roman" w:cs="Times New Roman"/>
                <w:color w:val="000000"/>
                <w:sz w:val="21"/>
                <w:szCs w:val="21"/>
                <w:lang w:eastAsia="zh-CN"/>
              </w:rPr>
              <w:t>进行</w:t>
            </w:r>
            <w:r>
              <w:rPr>
                <w:rFonts w:hint="default" w:ascii="Times New Roman" w:hAnsi="Times New Roman" w:eastAsia="宋体" w:cs="Times New Roman"/>
                <w:color w:val="000000"/>
                <w:sz w:val="21"/>
                <w:szCs w:val="21"/>
              </w:rPr>
              <w:t>排污许可证</w:t>
            </w:r>
            <w:r>
              <w:rPr>
                <w:rFonts w:hint="eastAsia" w:ascii="Times New Roman" w:hAnsi="Times New Roman" w:cs="Times New Roman"/>
                <w:color w:val="000000"/>
                <w:sz w:val="21"/>
                <w:szCs w:val="21"/>
                <w:lang w:eastAsia="zh-CN"/>
              </w:rPr>
              <w:t>信息填报工作并取得排污许可证：91341503MA8POMBUXMO01P</w:t>
            </w:r>
          </w:p>
        </w:tc>
        <w:tc>
          <w:tcPr>
            <w:tcW w:w="379" w:type="pct"/>
            <w:noWrap/>
            <w:vAlign w:val="center"/>
          </w:tcPr>
          <w:p>
            <w:pPr>
              <w:pStyle w:val="107"/>
              <w:spacing w:line="240" w:lineRule="auto"/>
              <w:ind w:firstLine="0"/>
              <w:jc w:val="center"/>
              <w:rPr>
                <w:rFonts w:ascii="Times New Roman" w:hAnsi="Times New Roman"/>
                <w:sz w:val="21"/>
                <w:szCs w:val="21"/>
              </w:rPr>
            </w:pPr>
            <w:r>
              <w:rPr>
                <w:rFonts w:hint="eastAsia"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58" w:type="pct"/>
            <w:noWrap/>
            <w:vAlign w:val="center"/>
          </w:tcPr>
          <w:p>
            <w:pPr>
              <w:pStyle w:val="107"/>
              <w:spacing w:line="240" w:lineRule="auto"/>
              <w:ind w:firstLine="0"/>
              <w:rPr>
                <w:rFonts w:ascii="Times New Roman" w:hAnsi="Times New Roman"/>
                <w:sz w:val="21"/>
                <w:szCs w:val="21"/>
              </w:rPr>
            </w:pPr>
            <w:r>
              <w:rPr>
                <w:rFonts w:hint="eastAsia" w:ascii="Times New Roman" w:hAnsi="Times New Roman"/>
                <w:sz w:val="21"/>
                <w:szCs w:val="21"/>
              </w:rPr>
              <w:t>（6）分期建设、分期投入生产或者使用依法应当分期验收的建设项目，其分期建设、分期投入生产或者使用的环境保护设施防治环境污染和生态破坏的能力不能满足其相应主体工程需要的</w:t>
            </w:r>
          </w:p>
        </w:tc>
        <w:tc>
          <w:tcPr>
            <w:tcW w:w="2361" w:type="pct"/>
            <w:noWrap/>
            <w:vAlign w:val="center"/>
          </w:tcPr>
          <w:p>
            <w:pPr>
              <w:pStyle w:val="107"/>
              <w:spacing w:line="240" w:lineRule="auto"/>
              <w:ind w:firstLine="0"/>
              <w:jc w:val="center"/>
              <w:rPr>
                <w:rFonts w:hint="eastAsia" w:ascii="Times New Roman" w:hAnsi="Times New Roman" w:eastAsia="宋体"/>
                <w:sz w:val="21"/>
                <w:szCs w:val="21"/>
                <w:lang w:eastAsia="zh-CN"/>
              </w:rPr>
            </w:pPr>
            <w:r>
              <w:rPr>
                <w:rFonts w:hint="eastAsia" w:ascii="Times New Roman" w:hAnsi="Times New Roman"/>
                <w:sz w:val="21"/>
                <w:szCs w:val="21"/>
                <w:lang w:eastAsia="zh-CN"/>
              </w:rPr>
              <w:t>整体验收</w:t>
            </w:r>
          </w:p>
        </w:tc>
        <w:tc>
          <w:tcPr>
            <w:tcW w:w="379" w:type="pct"/>
            <w:noWrap/>
            <w:vAlign w:val="center"/>
          </w:tcPr>
          <w:p>
            <w:pPr>
              <w:pStyle w:val="107"/>
              <w:spacing w:line="240" w:lineRule="auto"/>
              <w:ind w:firstLine="0"/>
              <w:jc w:val="center"/>
              <w:rPr>
                <w:rFonts w:ascii="Times New Roman" w:hAnsi="Times New Roman"/>
                <w:sz w:val="21"/>
                <w:szCs w:val="21"/>
              </w:rPr>
            </w:pPr>
            <w:r>
              <w:rPr>
                <w:rFonts w:hint="eastAsia"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2258" w:type="pct"/>
            <w:noWrap/>
            <w:vAlign w:val="center"/>
          </w:tcPr>
          <w:p>
            <w:pPr>
              <w:pStyle w:val="107"/>
              <w:spacing w:line="240" w:lineRule="auto"/>
              <w:ind w:firstLine="0"/>
              <w:rPr>
                <w:rFonts w:ascii="Times New Roman" w:hAnsi="Times New Roman"/>
                <w:sz w:val="21"/>
                <w:szCs w:val="21"/>
              </w:rPr>
            </w:pPr>
            <w:r>
              <w:rPr>
                <w:rFonts w:hint="eastAsia" w:ascii="Times New Roman" w:hAnsi="Times New Roman"/>
                <w:sz w:val="21"/>
                <w:szCs w:val="21"/>
              </w:rPr>
              <w:t>（7））建设单位因该建设项目违反国家和地方环境保护法律法规受到处罚，被责令改正，尚未改正完成的</w:t>
            </w:r>
          </w:p>
        </w:tc>
        <w:tc>
          <w:tcPr>
            <w:tcW w:w="2361" w:type="pct"/>
            <w:noWrap/>
            <w:vAlign w:val="center"/>
          </w:tcPr>
          <w:p>
            <w:pPr>
              <w:pStyle w:val="107"/>
              <w:spacing w:line="240" w:lineRule="auto"/>
              <w:ind w:firstLine="0"/>
              <w:jc w:val="center"/>
              <w:rPr>
                <w:rFonts w:ascii="Times New Roman" w:hAnsi="Times New Roman"/>
                <w:sz w:val="21"/>
                <w:szCs w:val="21"/>
              </w:rPr>
            </w:pPr>
            <w:r>
              <w:rPr>
                <w:rFonts w:hint="eastAsia" w:ascii="Times New Roman" w:hAnsi="Times New Roman"/>
                <w:sz w:val="21"/>
                <w:szCs w:val="21"/>
              </w:rPr>
              <w:t>不涉及</w:t>
            </w:r>
          </w:p>
        </w:tc>
        <w:tc>
          <w:tcPr>
            <w:tcW w:w="379" w:type="pct"/>
            <w:noWrap/>
            <w:vAlign w:val="center"/>
          </w:tcPr>
          <w:p>
            <w:pPr>
              <w:pStyle w:val="107"/>
              <w:spacing w:line="240" w:lineRule="auto"/>
              <w:ind w:firstLine="0"/>
              <w:jc w:val="center"/>
              <w:rPr>
                <w:rFonts w:ascii="Times New Roman" w:hAnsi="Times New Roman"/>
                <w:sz w:val="21"/>
                <w:szCs w:val="21"/>
              </w:rPr>
            </w:pPr>
            <w:r>
              <w:rPr>
                <w:rFonts w:hint="eastAsia"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2258" w:type="pct"/>
            <w:noWrap/>
            <w:vAlign w:val="center"/>
          </w:tcPr>
          <w:p>
            <w:pPr>
              <w:pStyle w:val="107"/>
              <w:spacing w:line="240" w:lineRule="auto"/>
              <w:ind w:firstLine="0"/>
              <w:rPr>
                <w:rFonts w:ascii="Times New Roman" w:hAnsi="Times New Roman"/>
                <w:sz w:val="21"/>
                <w:szCs w:val="21"/>
              </w:rPr>
            </w:pPr>
            <w:r>
              <w:rPr>
                <w:rFonts w:hint="eastAsia" w:ascii="Times New Roman" w:hAnsi="Times New Roman"/>
                <w:sz w:val="21"/>
                <w:szCs w:val="21"/>
              </w:rPr>
              <w:t>（8）验收报告的基础资料数据明显不实，内容存在重大缺项、遗漏，或者验收结论不明确、不合理的</w:t>
            </w:r>
          </w:p>
        </w:tc>
        <w:tc>
          <w:tcPr>
            <w:tcW w:w="2361" w:type="pct"/>
            <w:noWrap/>
            <w:vAlign w:val="center"/>
          </w:tcPr>
          <w:p>
            <w:pPr>
              <w:pStyle w:val="107"/>
              <w:spacing w:line="240" w:lineRule="auto"/>
              <w:ind w:firstLine="0"/>
              <w:jc w:val="center"/>
              <w:rPr>
                <w:rFonts w:ascii="Times New Roman" w:hAnsi="Times New Roman"/>
                <w:sz w:val="21"/>
                <w:szCs w:val="21"/>
              </w:rPr>
            </w:pPr>
            <w:r>
              <w:rPr>
                <w:rFonts w:hint="eastAsia" w:ascii="Times New Roman" w:hAnsi="Times New Roman"/>
                <w:sz w:val="21"/>
                <w:szCs w:val="21"/>
              </w:rPr>
              <w:t>验收报告基础资料、监测数据真实，无重大缺项、遗漏，结论明确</w:t>
            </w:r>
          </w:p>
        </w:tc>
        <w:tc>
          <w:tcPr>
            <w:tcW w:w="379" w:type="pct"/>
            <w:noWrap/>
            <w:vAlign w:val="center"/>
          </w:tcPr>
          <w:p>
            <w:pPr>
              <w:pStyle w:val="107"/>
              <w:spacing w:line="240" w:lineRule="auto"/>
              <w:ind w:firstLine="0"/>
              <w:jc w:val="center"/>
              <w:rPr>
                <w:rFonts w:ascii="Times New Roman" w:hAnsi="Times New Roman"/>
                <w:sz w:val="21"/>
                <w:szCs w:val="21"/>
              </w:rPr>
            </w:pPr>
            <w:r>
              <w:rPr>
                <w:rFonts w:hint="eastAsia"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2258" w:type="pct"/>
            <w:noWrap/>
            <w:vAlign w:val="center"/>
          </w:tcPr>
          <w:p>
            <w:pPr>
              <w:pStyle w:val="107"/>
              <w:spacing w:line="240" w:lineRule="auto"/>
              <w:ind w:firstLine="0"/>
              <w:rPr>
                <w:rFonts w:ascii="Times New Roman" w:hAnsi="Times New Roman"/>
                <w:sz w:val="21"/>
                <w:szCs w:val="21"/>
              </w:rPr>
            </w:pPr>
            <w:r>
              <w:rPr>
                <w:rFonts w:hint="eastAsia" w:ascii="Times New Roman" w:hAnsi="Times New Roman"/>
                <w:sz w:val="21"/>
                <w:szCs w:val="21"/>
              </w:rPr>
              <w:t>（9）其他环境保护法律法规规章等规定不得通过环境保护验收的</w:t>
            </w:r>
          </w:p>
        </w:tc>
        <w:tc>
          <w:tcPr>
            <w:tcW w:w="2361" w:type="pct"/>
            <w:noWrap/>
            <w:vAlign w:val="center"/>
          </w:tcPr>
          <w:p>
            <w:pPr>
              <w:pStyle w:val="107"/>
              <w:spacing w:line="240" w:lineRule="auto"/>
              <w:ind w:firstLine="0"/>
              <w:jc w:val="center"/>
              <w:rPr>
                <w:rFonts w:ascii="Times New Roman" w:hAnsi="Times New Roman"/>
                <w:sz w:val="21"/>
                <w:szCs w:val="21"/>
              </w:rPr>
            </w:pPr>
            <w:r>
              <w:rPr>
                <w:rFonts w:hint="eastAsia" w:ascii="Times New Roman" w:hAnsi="Times New Roman"/>
                <w:sz w:val="21"/>
                <w:szCs w:val="21"/>
              </w:rPr>
              <w:t>不涉及</w:t>
            </w:r>
          </w:p>
        </w:tc>
        <w:tc>
          <w:tcPr>
            <w:tcW w:w="379" w:type="pct"/>
            <w:noWrap/>
            <w:vAlign w:val="center"/>
          </w:tcPr>
          <w:p>
            <w:pPr>
              <w:pStyle w:val="107"/>
              <w:spacing w:line="240" w:lineRule="auto"/>
              <w:ind w:firstLine="0"/>
              <w:jc w:val="center"/>
              <w:rPr>
                <w:rFonts w:ascii="Times New Roman" w:hAnsi="Times New Roman"/>
                <w:sz w:val="21"/>
                <w:szCs w:val="21"/>
              </w:rPr>
            </w:pPr>
            <w:r>
              <w:rPr>
                <w:rFonts w:hint="eastAsia" w:ascii="Times New Roman" w:hAnsi="Times New Roman"/>
                <w:sz w:val="21"/>
                <w:szCs w:val="21"/>
              </w:rPr>
              <w:t>合格</w:t>
            </w:r>
          </w:p>
        </w:tc>
      </w:tr>
    </w:tbl>
    <w:p>
      <w:pPr>
        <w:pStyle w:val="30"/>
        <w:ind w:left="0" w:leftChars="0" w:firstLine="0"/>
        <w:sectPr>
          <w:footerReference r:id="rId5" w:type="firs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titlePg/>
          <w:docGrid w:type="lines" w:linePitch="312" w:charSpace="0"/>
        </w:sectPr>
      </w:pPr>
    </w:p>
    <w:p>
      <w:pPr>
        <w:pStyle w:val="93"/>
        <w:spacing w:line="360" w:lineRule="auto"/>
      </w:pPr>
      <w:bookmarkStart w:id="46" w:name="_Toc15875"/>
      <w:bookmarkStart w:id="47" w:name="_Toc21615"/>
      <w:bookmarkStart w:id="48" w:name="_Toc501715338"/>
      <w:bookmarkStart w:id="49" w:name="_Toc3105"/>
      <w:bookmarkStart w:id="50" w:name="_Toc515359528"/>
      <w:bookmarkStart w:id="51" w:name="_Toc26138"/>
      <w:bookmarkStart w:id="52" w:name="_Toc9111"/>
      <w:bookmarkStart w:id="53" w:name="_Toc9465"/>
      <w:bookmarkStart w:id="54" w:name="_Toc500749592"/>
      <w:bookmarkStart w:id="55" w:name="_Toc515360502"/>
      <w:bookmarkStart w:id="56" w:name="_Toc500753877"/>
      <w:bookmarkStart w:id="57" w:name="_Toc500944436"/>
      <w:r>
        <w:rPr>
          <w:rFonts w:hint="eastAsia"/>
          <w:sz w:val="32"/>
          <w:szCs w:val="32"/>
        </w:rPr>
        <w:t xml:space="preserve">第二章  </w:t>
      </w:r>
      <w:r>
        <w:rPr>
          <w:sz w:val="32"/>
          <w:szCs w:val="32"/>
        </w:rPr>
        <w:t>验收依据</w:t>
      </w:r>
      <w:bookmarkEnd w:id="46"/>
      <w:bookmarkEnd w:id="47"/>
      <w:bookmarkEnd w:id="48"/>
      <w:bookmarkEnd w:id="49"/>
      <w:bookmarkEnd w:id="50"/>
      <w:bookmarkEnd w:id="51"/>
      <w:bookmarkEnd w:id="52"/>
      <w:bookmarkEnd w:id="53"/>
      <w:bookmarkEnd w:id="54"/>
      <w:bookmarkEnd w:id="55"/>
      <w:bookmarkEnd w:id="56"/>
      <w:bookmarkEnd w:id="57"/>
    </w:p>
    <w:p>
      <w:pPr>
        <w:pStyle w:val="40"/>
        <w:ind w:firstLine="0" w:firstLineChars="0"/>
        <w:outlineLvl w:val="1"/>
        <w:rPr>
          <w:b/>
          <w:bCs/>
          <w:sz w:val="28"/>
          <w:szCs w:val="28"/>
        </w:rPr>
      </w:pPr>
      <w:bookmarkStart w:id="58" w:name="_Toc10726669"/>
      <w:bookmarkStart w:id="59" w:name="_Toc515359529"/>
      <w:bookmarkStart w:id="60" w:name="_Toc11074302"/>
      <w:bookmarkStart w:id="61" w:name="_Toc515360503"/>
      <w:bookmarkStart w:id="62" w:name="_Toc25526"/>
      <w:bookmarkStart w:id="63" w:name="_Toc11782"/>
      <w:bookmarkStart w:id="64" w:name="_Toc19345"/>
      <w:bookmarkStart w:id="65" w:name="_Toc6685"/>
      <w:bookmarkStart w:id="66" w:name="_Toc21887"/>
      <w:bookmarkStart w:id="67" w:name="_Toc12455"/>
      <w:bookmarkStart w:id="68" w:name="_Toc500753878"/>
      <w:r>
        <w:rPr>
          <w:b/>
          <w:bCs/>
          <w:sz w:val="28"/>
          <w:szCs w:val="28"/>
        </w:rPr>
        <w:t>2.1</w:t>
      </w:r>
      <w:bookmarkEnd w:id="58"/>
      <w:bookmarkEnd w:id="59"/>
      <w:bookmarkEnd w:id="60"/>
      <w:bookmarkEnd w:id="61"/>
      <w:r>
        <w:rPr>
          <w:b/>
          <w:bCs/>
          <w:sz w:val="28"/>
          <w:szCs w:val="28"/>
        </w:rPr>
        <w:t>环境保护国家相关法律法规</w:t>
      </w:r>
      <w:bookmarkEnd w:id="62"/>
      <w:bookmarkEnd w:id="63"/>
      <w:bookmarkEnd w:id="64"/>
      <w:bookmarkEnd w:id="65"/>
      <w:bookmarkEnd w:id="66"/>
      <w:bookmarkEnd w:id="67"/>
    </w:p>
    <w:p>
      <w:pPr>
        <w:pStyle w:val="40"/>
        <w:rPr>
          <w:rFonts w:hAnsi="宋体"/>
          <w:bCs/>
        </w:rPr>
      </w:pPr>
      <w:r>
        <w:rPr>
          <w:rFonts w:hint="eastAsia" w:hAnsi="宋体"/>
          <w:bCs/>
        </w:rPr>
        <w:t>1、</w:t>
      </w:r>
      <w:r>
        <w:rPr>
          <w:rFonts w:hAnsi="宋体"/>
          <w:bCs/>
        </w:rPr>
        <w:t>《中华人民共和国</w:t>
      </w:r>
      <w:r>
        <w:rPr>
          <w:rFonts w:hint="eastAsia" w:hAnsi="宋体"/>
          <w:bCs/>
        </w:rPr>
        <w:t>水</w:t>
      </w:r>
      <w:r>
        <w:rPr>
          <w:rFonts w:hAnsi="宋体"/>
          <w:bCs/>
        </w:rPr>
        <w:t>污染防治法》</w:t>
      </w:r>
      <w:r>
        <w:rPr>
          <w:rFonts w:hint="eastAsia" w:hAnsi="宋体"/>
          <w:bCs/>
        </w:rPr>
        <w:t>；</w:t>
      </w:r>
    </w:p>
    <w:p>
      <w:pPr>
        <w:pStyle w:val="40"/>
        <w:rPr>
          <w:rFonts w:hAnsi="宋体"/>
          <w:bCs/>
        </w:rPr>
      </w:pPr>
      <w:r>
        <w:rPr>
          <w:rFonts w:hint="eastAsia" w:hAnsi="宋体"/>
          <w:bCs/>
        </w:rPr>
        <w:t>2、</w:t>
      </w:r>
      <w:r>
        <w:rPr>
          <w:rFonts w:hAnsi="宋体"/>
          <w:bCs/>
        </w:rPr>
        <w:t>《中华人民共和国</w:t>
      </w:r>
      <w:r>
        <w:rPr>
          <w:rFonts w:hint="eastAsia" w:hAnsi="宋体"/>
          <w:bCs/>
        </w:rPr>
        <w:t>大气</w:t>
      </w:r>
      <w:r>
        <w:rPr>
          <w:rFonts w:hAnsi="宋体"/>
          <w:bCs/>
        </w:rPr>
        <w:t>污染防治法》</w:t>
      </w:r>
      <w:r>
        <w:rPr>
          <w:rFonts w:hint="eastAsia" w:hAnsi="宋体"/>
          <w:bCs/>
        </w:rPr>
        <w:t>；</w:t>
      </w:r>
    </w:p>
    <w:p>
      <w:pPr>
        <w:pStyle w:val="40"/>
        <w:rPr>
          <w:rFonts w:hAnsi="宋体"/>
          <w:bCs/>
        </w:rPr>
      </w:pPr>
      <w:r>
        <w:rPr>
          <w:rFonts w:hint="eastAsia" w:hAnsi="宋体"/>
          <w:bCs/>
        </w:rPr>
        <w:t>3、</w:t>
      </w:r>
      <w:r>
        <w:rPr>
          <w:rFonts w:hAnsi="宋体"/>
          <w:bCs/>
        </w:rPr>
        <w:t>《中华人民共和国环境噪声污染防治法》</w:t>
      </w:r>
      <w:r>
        <w:rPr>
          <w:rFonts w:hint="eastAsia" w:hAnsi="宋体"/>
          <w:bCs/>
        </w:rPr>
        <w:t>；</w:t>
      </w:r>
    </w:p>
    <w:p>
      <w:pPr>
        <w:pStyle w:val="40"/>
        <w:rPr>
          <w:rFonts w:hAnsi="宋体"/>
          <w:bCs/>
        </w:rPr>
      </w:pPr>
      <w:r>
        <w:rPr>
          <w:rFonts w:hint="eastAsia" w:hAnsi="宋体"/>
          <w:bCs/>
        </w:rPr>
        <w:t>4、</w:t>
      </w:r>
      <w:r>
        <w:rPr>
          <w:rFonts w:hAnsi="宋体"/>
          <w:bCs/>
        </w:rPr>
        <w:t>《中华人民共和国固体废物污染防治法》</w:t>
      </w:r>
      <w:r>
        <w:rPr>
          <w:rFonts w:hint="eastAsia" w:hAnsi="宋体"/>
          <w:bCs/>
        </w:rPr>
        <w:t>。</w:t>
      </w:r>
    </w:p>
    <w:p>
      <w:pPr>
        <w:pStyle w:val="40"/>
        <w:ind w:firstLine="0" w:firstLineChars="0"/>
        <w:outlineLvl w:val="1"/>
        <w:rPr>
          <w:b/>
          <w:bCs/>
          <w:sz w:val="28"/>
          <w:szCs w:val="28"/>
        </w:rPr>
      </w:pPr>
      <w:bookmarkStart w:id="69" w:name="_Toc515360504"/>
      <w:bookmarkStart w:id="70" w:name="_Toc11074303"/>
      <w:bookmarkStart w:id="71" w:name="_Toc10726670"/>
      <w:bookmarkStart w:id="72" w:name="_Toc515359530"/>
      <w:bookmarkStart w:id="73" w:name="_Toc7511"/>
      <w:bookmarkStart w:id="74" w:name="_Toc17839"/>
      <w:bookmarkStart w:id="75" w:name="_Toc7278"/>
      <w:bookmarkStart w:id="76" w:name="_Toc31861"/>
      <w:bookmarkStart w:id="77" w:name="_Toc23321"/>
      <w:bookmarkStart w:id="78" w:name="_Toc9895"/>
      <w:r>
        <w:rPr>
          <w:b/>
          <w:bCs/>
          <w:sz w:val="28"/>
          <w:szCs w:val="28"/>
        </w:rPr>
        <w:t>2.2验收相关文件</w:t>
      </w:r>
      <w:bookmarkEnd w:id="69"/>
      <w:bookmarkEnd w:id="70"/>
      <w:bookmarkEnd w:id="71"/>
      <w:bookmarkEnd w:id="72"/>
      <w:r>
        <w:rPr>
          <w:b/>
          <w:bCs/>
          <w:sz w:val="28"/>
          <w:szCs w:val="28"/>
        </w:rPr>
        <w:t>、条例、通知等</w:t>
      </w:r>
      <w:bookmarkEnd w:id="73"/>
      <w:bookmarkEnd w:id="74"/>
      <w:bookmarkEnd w:id="75"/>
      <w:bookmarkEnd w:id="76"/>
      <w:bookmarkEnd w:id="77"/>
      <w:bookmarkEnd w:id="78"/>
    </w:p>
    <w:p>
      <w:pPr>
        <w:pStyle w:val="40"/>
        <w:rPr>
          <w:rFonts w:hAnsi="宋体"/>
          <w:bCs/>
        </w:rPr>
      </w:pPr>
      <w:r>
        <w:rPr>
          <w:rFonts w:hint="eastAsia" w:hAnsi="宋体"/>
          <w:bCs/>
        </w:rPr>
        <w:t>1、</w:t>
      </w:r>
      <w:r>
        <w:rPr>
          <w:rFonts w:hAnsi="宋体"/>
          <w:bCs/>
        </w:rPr>
        <w:t>国务院第</w:t>
      </w:r>
      <w:r>
        <w:rPr>
          <w:rFonts w:hint="eastAsia"/>
          <w:bCs/>
        </w:rPr>
        <w:t>682</w:t>
      </w:r>
      <w:r>
        <w:rPr>
          <w:rFonts w:hAnsi="宋体"/>
          <w:bCs/>
        </w:rPr>
        <w:t>号令《建设项目环境保护管理条例》；</w:t>
      </w:r>
      <w:bookmarkEnd w:id="68"/>
    </w:p>
    <w:p>
      <w:pPr>
        <w:pStyle w:val="40"/>
        <w:rPr>
          <w:bCs/>
        </w:rPr>
      </w:pPr>
      <w:bookmarkStart w:id="79" w:name="_Toc500753880"/>
      <w:r>
        <w:rPr>
          <w:rFonts w:hint="eastAsia" w:hAnsi="宋体"/>
          <w:bCs/>
          <w:lang w:val="en-US" w:eastAsia="zh-CN"/>
        </w:rPr>
        <w:t>2</w:t>
      </w:r>
      <w:r>
        <w:rPr>
          <w:rFonts w:hint="eastAsia" w:hAnsi="宋体"/>
          <w:bCs/>
        </w:rPr>
        <w:t>、</w:t>
      </w:r>
      <w:r>
        <w:rPr>
          <w:rFonts w:hAnsi="宋体"/>
          <w:bCs/>
        </w:rPr>
        <w:t>环境保护部文件《关于发布建设项目竣工环境保护验收暂行办法》国环规环评</w:t>
      </w:r>
      <w:r>
        <w:rPr>
          <w:bCs/>
        </w:rPr>
        <w:t>[2017]4</w:t>
      </w:r>
      <w:r>
        <w:rPr>
          <w:rFonts w:hAnsi="宋体"/>
          <w:bCs/>
        </w:rPr>
        <w:t>号；</w:t>
      </w:r>
      <w:bookmarkEnd w:id="79"/>
    </w:p>
    <w:p>
      <w:pPr>
        <w:pStyle w:val="40"/>
        <w:rPr>
          <w:rFonts w:hAnsi="宋体"/>
          <w:bCs/>
        </w:rPr>
      </w:pPr>
      <w:bookmarkStart w:id="80" w:name="_Toc500753884"/>
      <w:r>
        <w:rPr>
          <w:rFonts w:hint="eastAsia" w:hAnsi="宋体"/>
          <w:bCs/>
          <w:lang w:val="en-US" w:eastAsia="zh-CN"/>
        </w:rPr>
        <w:t>3</w:t>
      </w:r>
      <w:r>
        <w:rPr>
          <w:rFonts w:hint="eastAsia" w:hAnsi="宋体"/>
          <w:bCs/>
        </w:rPr>
        <w:t>、</w:t>
      </w:r>
      <w:r>
        <w:rPr>
          <w:rFonts w:hAnsi="宋体"/>
          <w:bCs/>
        </w:rPr>
        <w:t>《建设项目竣工环境保护验收技术部指南污染影响类》</w:t>
      </w:r>
      <w:r>
        <w:rPr>
          <w:rFonts w:hint="eastAsia" w:hAnsi="宋体"/>
          <w:bCs/>
        </w:rPr>
        <w:t>（生态环境部，2018年5月15日）</w:t>
      </w:r>
      <w:r>
        <w:rPr>
          <w:rFonts w:hAnsi="宋体"/>
          <w:bCs/>
        </w:rPr>
        <w:t>；</w:t>
      </w:r>
      <w:bookmarkEnd w:id="80"/>
    </w:p>
    <w:p>
      <w:pPr>
        <w:pStyle w:val="40"/>
        <w:rPr>
          <w:rFonts w:hint="eastAsia" w:hAnsi="宋体" w:eastAsia="宋体"/>
          <w:bCs/>
          <w:lang w:val="en-US" w:eastAsia="zh-CN"/>
        </w:rPr>
      </w:pPr>
      <w:r>
        <w:rPr>
          <w:rFonts w:hint="eastAsia" w:cs="Times New Roman"/>
          <w:color w:val="000000" w:themeColor="text1"/>
          <w:sz w:val="24"/>
          <w:lang w:val="en-US" w:eastAsia="zh-CN"/>
          <w14:textFill>
            <w14:solidFill>
              <w14:schemeClr w14:val="tx1"/>
            </w14:solidFill>
          </w14:textFill>
        </w:rPr>
        <w:t>4、</w:t>
      </w:r>
      <w:r>
        <w:rPr>
          <w:rFonts w:hint="eastAsia" w:cs="Times New Roman"/>
          <w:color w:val="000000" w:themeColor="text1"/>
          <w:sz w:val="24"/>
          <w14:textFill>
            <w14:solidFill>
              <w14:schemeClr w14:val="tx1"/>
            </w14:solidFill>
          </w14:textFill>
        </w:rPr>
        <w:t>《关于印发环评管理中部分行业建设项目重大变动清单的通知》（环办〔2015〕52号）</w:t>
      </w:r>
      <w:r>
        <w:rPr>
          <w:rFonts w:hint="eastAsia" w:cs="Times New Roman"/>
          <w:color w:val="000000" w:themeColor="text1"/>
          <w:sz w:val="24"/>
          <w:lang w:eastAsia="zh-CN"/>
          <w14:textFill>
            <w14:solidFill>
              <w14:schemeClr w14:val="tx1"/>
            </w14:solidFill>
          </w14:textFill>
        </w:rPr>
        <w:t>。</w:t>
      </w:r>
    </w:p>
    <w:p>
      <w:pPr>
        <w:pStyle w:val="108"/>
        <w:spacing w:line="360" w:lineRule="auto"/>
        <w:rPr>
          <w:bCs/>
          <w:sz w:val="28"/>
          <w:szCs w:val="28"/>
        </w:rPr>
      </w:pPr>
      <w:bookmarkStart w:id="81" w:name="_Toc24207"/>
      <w:bookmarkStart w:id="82" w:name="_Toc32307"/>
      <w:bookmarkStart w:id="83" w:name="_Toc4872"/>
      <w:bookmarkStart w:id="84" w:name="_Toc24273"/>
      <w:bookmarkStart w:id="85" w:name="_Toc26509"/>
      <w:bookmarkStart w:id="86" w:name="_Toc521501391"/>
      <w:bookmarkStart w:id="87" w:name="_Toc24865"/>
      <w:bookmarkStart w:id="88" w:name="_Toc500753885"/>
      <w:r>
        <w:rPr>
          <w:color w:val="auto"/>
          <w:sz w:val="28"/>
          <w:szCs w:val="28"/>
        </w:rPr>
        <w:t>2.3开展验收工作相关文件</w:t>
      </w:r>
      <w:bookmarkEnd w:id="81"/>
      <w:bookmarkEnd w:id="82"/>
      <w:bookmarkEnd w:id="83"/>
      <w:bookmarkEnd w:id="84"/>
      <w:bookmarkEnd w:id="85"/>
      <w:bookmarkEnd w:id="86"/>
      <w:bookmarkEnd w:id="87"/>
    </w:p>
    <w:bookmarkEnd w:id="88"/>
    <w:p>
      <w:pPr>
        <w:spacing w:line="360" w:lineRule="auto"/>
        <w:ind w:firstLine="480" w:firstLineChars="200"/>
        <w:jc w:val="both"/>
        <w:rPr>
          <w:rFonts w:ascii="Times New Roman" w:hAnsi="Times New Roman"/>
          <w:color w:val="000000"/>
          <w:sz w:val="24"/>
        </w:rPr>
      </w:pPr>
      <w:r>
        <w:rPr>
          <w:rFonts w:hint="eastAsia" w:ascii="Times New Roman" w:hAnsi="Times New Roman"/>
          <w:color w:val="000000"/>
          <w:sz w:val="24"/>
          <w:lang w:eastAsia="zh-CN"/>
        </w:rPr>
        <w:t>（</w:t>
      </w:r>
      <w:r>
        <w:rPr>
          <w:rFonts w:hint="eastAsia" w:ascii="Times New Roman" w:hAnsi="Times New Roman"/>
          <w:color w:val="000000"/>
          <w:sz w:val="24"/>
          <w:lang w:val="en-US" w:eastAsia="zh-CN"/>
        </w:rPr>
        <w:t>1</w:t>
      </w:r>
      <w:r>
        <w:rPr>
          <w:rFonts w:hint="eastAsia" w:ascii="Times New Roman" w:hAnsi="Times New Roman"/>
          <w:color w:val="000000"/>
          <w:sz w:val="24"/>
          <w:lang w:eastAsia="zh-CN"/>
        </w:rPr>
        <w:t>）</w:t>
      </w:r>
      <w:r>
        <w:rPr>
          <w:rFonts w:hint="eastAsia" w:ascii="Times New Roman" w:hAnsi="Times New Roman" w:eastAsia="宋体" w:cs="Times New Roman"/>
          <w:b w:val="0"/>
          <w:snapToGrid/>
          <w:color w:val="000000"/>
          <w:kern w:val="2"/>
          <w:sz w:val="24"/>
          <w:szCs w:val="24"/>
          <w:lang w:val="en-US" w:eastAsia="zh-CN" w:bidi="ar-SA"/>
        </w:rPr>
        <w:t>《安徽晨曜智能设备科技有限公司晨曜年产10万吨高端金属结构件项目环境影响报告书》</w:t>
      </w:r>
      <w:r>
        <w:rPr>
          <w:rFonts w:ascii="Times New Roman" w:hAnsi="Times New Roman"/>
          <w:color w:val="000000"/>
          <w:sz w:val="24"/>
        </w:rPr>
        <w:t xml:space="preserve"> 20</w:t>
      </w:r>
      <w:r>
        <w:rPr>
          <w:rFonts w:hint="eastAsia"/>
          <w:color w:val="000000"/>
          <w:sz w:val="24"/>
          <w:lang w:val="en-US" w:eastAsia="zh-CN"/>
        </w:rPr>
        <w:t>23</w:t>
      </w:r>
      <w:r>
        <w:rPr>
          <w:rFonts w:ascii="Times New Roman" w:hAnsi="Times New Roman"/>
          <w:color w:val="000000"/>
          <w:sz w:val="24"/>
        </w:rPr>
        <w:t>年</w:t>
      </w:r>
      <w:r>
        <w:rPr>
          <w:rFonts w:hint="eastAsia"/>
          <w:color w:val="000000"/>
          <w:sz w:val="24"/>
          <w:lang w:val="en-US" w:eastAsia="zh-CN"/>
        </w:rPr>
        <w:t>3</w:t>
      </w:r>
      <w:r>
        <w:rPr>
          <w:rFonts w:ascii="Times New Roman" w:hAnsi="Times New Roman"/>
          <w:color w:val="000000"/>
          <w:sz w:val="24"/>
        </w:rPr>
        <w:t>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napToGrid/>
          <w:color w:val="000000"/>
          <w:kern w:val="2"/>
          <w:sz w:val="24"/>
          <w:szCs w:val="24"/>
          <w:lang w:val="en-US" w:eastAsia="zh-CN" w:bidi="ar-SA"/>
        </w:rPr>
      </w:pPr>
      <w:r>
        <w:rPr>
          <w:rFonts w:hint="eastAsia" w:ascii="Times New Roman" w:hAnsi="Times New Roman"/>
          <w:color w:val="000000"/>
          <w:sz w:val="24"/>
          <w:lang w:eastAsia="zh-CN"/>
        </w:rPr>
        <w:t>（</w:t>
      </w:r>
      <w:r>
        <w:rPr>
          <w:rFonts w:hint="eastAsia" w:ascii="Times New Roman" w:hAnsi="Times New Roman"/>
          <w:color w:val="000000"/>
          <w:sz w:val="24"/>
          <w:lang w:val="en-US" w:eastAsia="zh-CN"/>
        </w:rPr>
        <w:t>2</w:t>
      </w:r>
      <w:r>
        <w:rPr>
          <w:rFonts w:hint="eastAsia" w:ascii="Times New Roman" w:hAnsi="Times New Roman"/>
          <w:color w:val="000000"/>
          <w:sz w:val="24"/>
          <w:lang w:eastAsia="zh-CN"/>
        </w:rPr>
        <w:t>）</w:t>
      </w:r>
      <w:r>
        <w:rPr>
          <w:rFonts w:hint="eastAsia" w:cs="Times New Roman"/>
          <w:b w:val="0"/>
          <w:bCs/>
          <w:snapToGrid/>
          <w:color w:val="000000"/>
          <w:kern w:val="2"/>
          <w:sz w:val="24"/>
          <w:szCs w:val="24"/>
          <w:lang w:val="en-US" w:eastAsia="zh-CN" w:bidi="ar-SA"/>
        </w:rPr>
        <w:t>六安市生态环境局</w:t>
      </w:r>
      <w:r>
        <w:rPr>
          <w:rFonts w:hint="eastAsia" w:ascii="Times New Roman" w:hAnsi="Times New Roman" w:eastAsia="宋体" w:cs="Times New Roman"/>
          <w:b w:val="0"/>
          <w:bCs/>
          <w:snapToGrid/>
          <w:color w:val="000000"/>
          <w:kern w:val="2"/>
          <w:sz w:val="24"/>
          <w:szCs w:val="24"/>
          <w:lang w:val="en-US" w:eastAsia="zh-CN" w:bidi="ar-SA"/>
        </w:rPr>
        <w:t>《关于</w:t>
      </w:r>
      <w:r>
        <w:rPr>
          <w:rFonts w:hint="eastAsia" w:cs="Times New Roman"/>
          <w:b w:val="0"/>
          <w:bCs/>
          <w:snapToGrid/>
          <w:color w:val="000000"/>
          <w:kern w:val="2"/>
          <w:sz w:val="24"/>
          <w:szCs w:val="24"/>
          <w:lang w:val="en-US" w:eastAsia="zh-CN" w:bidi="ar-SA"/>
        </w:rPr>
        <w:t>安徽晨曜智能设备科技有限公司</w:t>
      </w:r>
      <w:r>
        <w:rPr>
          <w:rFonts w:hint="default" w:ascii="Times New Roman" w:hAnsi="Times New Roman" w:eastAsia="宋体" w:cs="Times New Roman"/>
          <w:color w:val="000000" w:themeColor="text1"/>
          <w:kern w:val="2"/>
          <w:sz w:val="24"/>
          <w:szCs w:val="24"/>
          <w:lang w:eastAsia="zh-CN"/>
          <w14:textFill>
            <w14:solidFill>
              <w14:schemeClr w14:val="tx1"/>
            </w14:solidFill>
          </w14:textFill>
        </w:rPr>
        <w:t>晨曜</w:t>
      </w:r>
      <w:r>
        <w:rPr>
          <w:rFonts w:hint="default" w:ascii="Times New Roman" w:hAnsi="Times New Roman" w:eastAsia="宋体" w:cs="Times New Roman"/>
          <w:color w:val="000000" w:themeColor="text1"/>
          <w:kern w:val="2"/>
          <w:sz w:val="24"/>
          <w:szCs w:val="24"/>
          <w14:textFill>
            <w14:solidFill>
              <w14:schemeClr w14:val="tx1"/>
            </w14:solidFill>
          </w14:textFill>
        </w:rPr>
        <w:t>年产10万吨高端金属结构件项目</w:t>
      </w:r>
      <w:r>
        <w:rPr>
          <w:rFonts w:hint="eastAsia" w:ascii="Times New Roman" w:hAnsi="Times New Roman" w:eastAsia="宋体" w:cs="Times New Roman"/>
          <w:b w:val="0"/>
          <w:bCs/>
          <w:snapToGrid/>
          <w:color w:val="000000"/>
          <w:kern w:val="2"/>
          <w:sz w:val="24"/>
          <w:szCs w:val="24"/>
          <w:lang w:val="en-US" w:eastAsia="zh-CN" w:bidi="ar-SA"/>
        </w:rPr>
        <w:t>环境影响报告书的批复》（六环评[202</w:t>
      </w:r>
      <w:r>
        <w:rPr>
          <w:rFonts w:hint="eastAsia" w:cs="Times New Roman"/>
          <w:b w:val="0"/>
          <w:bCs/>
          <w:snapToGrid/>
          <w:color w:val="000000"/>
          <w:kern w:val="2"/>
          <w:sz w:val="24"/>
          <w:szCs w:val="24"/>
          <w:lang w:val="en-US" w:eastAsia="zh-CN" w:bidi="ar-SA"/>
        </w:rPr>
        <w:t>3</w:t>
      </w:r>
      <w:r>
        <w:rPr>
          <w:rFonts w:hint="eastAsia" w:ascii="Times New Roman" w:hAnsi="Times New Roman" w:eastAsia="宋体" w:cs="Times New Roman"/>
          <w:b w:val="0"/>
          <w:bCs/>
          <w:snapToGrid/>
          <w:color w:val="000000"/>
          <w:kern w:val="2"/>
          <w:sz w:val="24"/>
          <w:szCs w:val="24"/>
          <w:lang w:val="en-US" w:eastAsia="zh-CN" w:bidi="ar-SA"/>
        </w:rPr>
        <w:t>]</w:t>
      </w:r>
      <w:r>
        <w:rPr>
          <w:rFonts w:hint="eastAsia" w:cs="Times New Roman"/>
          <w:b w:val="0"/>
          <w:bCs/>
          <w:snapToGrid/>
          <w:color w:val="000000"/>
          <w:kern w:val="2"/>
          <w:sz w:val="24"/>
          <w:szCs w:val="24"/>
          <w:lang w:val="en-US" w:eastAsia="zh-CN" w:bidi="ar-SA"/>
        </w:rPr>
        <w:t>9</w:t>
      </w:r>
      <w:r>
        <w:rPr>
          <w:rFonts w:hint="eastAsia" w:ascii="Times New Roman" w:hAnsi="Times New Roman" w:eastAsia="宋体" w:cs="Times New Roman"/>
          <w:b w:val="0"/>
          <w:bCs/>
          <w:snapToGrid/>
          <w:color w:val="000000"/>
          <w:kern w:val="2"/>
          <w:sz w:val="24"/>
          <w:szCs w:val="24"/>
          <w:lang w:val="en-US" w:eastAsia="zh-CN" w:bidi="ar-SA"/>
        </w:rPr>
        <w:t>号）202</w:t>
      </w:r>
      <w:r>
        <w:rPr>
          <w:rFonts w:hint="eastAsia" w:cs="Times New Roman"/>
          <w:b w:val="0"/>
          <w:bCs/>
          <w:snapToGrid/>
          <w:color w:val="000000"/>
          <w:kern w:val="2"/>
          <w:sz w:val="24"/>
          <w:szCs w:val="24"/>
          <w:lang w:val="en-US" w:eastAsia="zh-CN" w:bidi="ar-SA"/>
        </w:rPr>
        <w:t>3</w:t>
      </w:r>
      <w:r>
        <w:rPr>
          <w:rFonts w:hint="eastAsia" w:ascii="Times New Roman" w:hAnsi="Times New Roman" w:eastAsia="宋体" w:cs="Times New Roman"/>
          <w:b w:val="0"/>
          <w:bCs/>
          <w:snapToGrid/>
          <w:color w:val="000000"/>
          <w:kern w:val="2"/>
          <w:sz w:val="24"/>
          <w:szCs w:val="24"/>
          <w:lang w:val="en-US" w:eastAsia="zh-CN" w:bidi="ar-SA"/>
        </w:rPr>
        <w:t>年</w:t>
      </w:r>
      <w:r>
        <w:rPr>
          <w:rFonts w:hint="eastAsia" w:cs="Times New Roman"/>
          <w:b w:val="0"/>
          <w:bCs/>
          <w:snapToGrid/>
          <w:color w:val="000000"/>
          <w:kern w:val="2"/>
          <w:sz w:val="24"/>
          <w:szCs w:val="24"/>
          <w:lang w:val="en-US" w:eastAsia="zh-CN" w:bidi="ar-SA"/>
        </w:rPr>
        <w:t>4</w:t>
      </w:r>
      <w:r>
        <w:rPr>
          <w:rFonts w:hint="eastAsia" w:ascii="Times New Roman" w:hAnsi="Times New Roman" w:eastAsia="宋体" w:cs="Times New Roman"/>
          <w:b w:val="0"/>
          <w:bCs/>
          <w:snapToGrid/>
          <w:color w:val="000000"/>
          <w:kern w:val="2"/>
          <w:sz w:val="24"/>
          <w:szCs w:val="24"/>
          <w:lang w:val="en-US" w:eastAsia="zh-CN" w:bidi="ar-SA"/>
        </w:rPr>
        <w:t>月</w:t>
      </w:r>
      <w:r>
        <w:rPr>
          <w:rFonts w:hint="eastAsia" w:cs="Times New Roman"/>
          <w:b w:val="0"/>
          <w:bCs/>
          <w:snapToGrid/>
          <w:color w:val="000000"/>
          <w:kern w:val="2"/>
          <w:sz w:val="24"/>
          <w:szCs w:val="24"/>
          <w:lang w:val="en-US" w:eastAsia="zh-CN" w:bidi="ar-SA"/>
        </w:rPr>
        <w:t>11</w:t>
      </w:r>
      <w:r>
        <w:rPr>
          <w:rFonts w:hint="eastAsia" w:ascii="Times New Roman" w:hAnsi="Times New Roman" w:eastAsia="宋体" w:cs="Times New Roman"/>
          <w:b w:val="0"/>
          <w:bCs/>
          <w:snapToGrid/>
          <w:color w:val="000000"/>
          <w:kern w:val="2"/>
          <w:sz w:val="24"/>
          <w:szCs w:val="24"/>
          <w:lang w:val="en-US" w:eastAsia="zh-CN" w:bidi="ar-SA"/>
        </w:rPr>
        <w:t>日；</w:t>
      </w:r>
    </w:p>
    <w:p>
      <w:pPr>
        <w:pStyle w:val="40"/>
        <w:jc w:val="both"/>
        <w:rPr>
          <w:rFonts w:hint="eastAsia" w:hAnsi="宋体"/>
          <w:lang w:eastAsia="zh-CN"/>
        </w:rPr>
      </w:pPr>
      <w:r>
        <w:rPr>
          <w:rFonts w:hint="eastAsia" w:hAnsi="宋体"/>
          <w:lang w:eastAsia="zh-CN"/>
        </w:rPr>
        <w:t>（</w:t>
      </w:r>
      <w:r>
        <w:rPr>
          <w:rFonts w:hint="eastAsia" w:hAnsi="宋体"/>
          <w:lang w:val="en-US" w:eastAsia="zh-CN"/>
        </w:rPr>
        <w:t>3</w:t>
      </w:r>
      <w:r>
        <w:rPr>
          <w:rFonts w:hint="eastAsia" w:hAnsi="宋体"/>
          <w:lang w:eastAsia="zh-CN"/>
        </w:rPr>
        <w:t>）</w:t>
      </w:r>
      <w:r>
        <w:rPr>
          <w:rFonts w:hint="eastAsia" w:hAnsi="宋体"/>
          <w:lang w:val="en-US" w:eastAsia="zh-CN"/>
        </w:rPr>
        <w:t>根据《固定污染源排污许可分类名录》（2019年版），项目属于重点管理类，</w:t>
      </w:r>
      <w:r>
        <w:rPr>
          <w:rFonts w:hint="eastAsia" w:hAnsi="宋体"/>
          <w:lang w:eastAsia="zh-CN"/>
        </w:rPr>
        <w:t>已进行排污许可证信息填报工作并取得排污许可证：91341503MA8POMBUXMO01P。</w:t>
      </w:r>
    </w:p>
    <w:p>
      <w:pPr>
        <w:pStyle w:val="40"/>
        <w:jc w:val="both"/>
        <w:rPr>
          <w:rFonts w:hint="default" w:hAnsi="宋体"/>
          <w:lang w:val="en-US" w:eastAsia="zh-CN"/>
        </w:rPr>
      </w:pPr>
      <w:r>
        <w:rPr>
          <w:rFonts w:hint="eastAsia" w:hAnsi="宋体"/>
          <w:lang w:eastAsia="zh-CN"/>
        </w:rPr>
        <w:t>（</w:t>
      </w:r>
      <w:r>
        <w:rPr>
          <w:rFonts w:hint="eastAsia" w:hAnsi="宋体"/>
          <w:lang w:val="en-US" w:eastAsia="zh-CN"/>
        </w:rPr>
        <w:t>4</w:t>
      </w:r>
      <w:r>
        <w:rPr>
          <w:rFonts w:hint="eastAsia" w:hAnsi="宋体"/>
          <w:lang w:eastAsia="zh-CN"/>
        </w:rPr>
        <w:t>）</w:t>
      </w:r>
      <w:r>
        <w:rPr>
          <w:rFonts w:hint="eastAsia" w:hAnsi="宋体"/>
          <w:lang w:val="en-US" w:eastAsia="zh-CN"/>
        </w:rPr>
        <w:t>2023年6月12日，取得突发环境事件应急预案备案，备案号：341503-2023-051-M。</w:t>
      </w:r>
    </w:p>
    <w:p>
      <w:pPr>
        <w:pStyle w:val="40"/>
        <w:jc w:val="both"/>
        <w:rPr>
          <w:bCs/>
        </w:rPr>
      </w:pPr>
      <w:r>
        <w:rPr>
          <w:rFonts w:hint="eastAsia" w:hAnsi="宋体"/>
          <w:lang w:eastAsia="zh-CN"/>
        </w:rPr>
        <w:t>（</w:t>
      </w:r>
      <w:r>
        <w:rPr>
          <w:rFonts w:hint="eastAsia" w:hAnsi="宋体"/>
          <w:lang w:val="en-US" w:eastAsia="zh-CN"/>
        </w:rPr>
        <w:t>5</w:t>
      </w:r>
      <w:r>
        <w:rPr>
          <w:rFonts w:hint="eastAsia" w:hAnsi="宋体"/>
          <w:lang w:eastAsia="zh-CN"/>
        </w:rPr>
        <w:t>）</w:t>
      </w:r>
      <w:r>
        <w:rPr>
          <w:rFonts w:hAnsi="宋体"/>
        </w:rPr>
        <w:t>验收监测方案；</w:t>
      </w:r>
    </w:p>
    <w:p>
      <w:pPr>
        <w:spacing w:line="360" w:lineRule="auto"/>
        <w:ind w:firstLine="480" w:firstLineChars="200"/>
        <w:jc w:val="both"/>
        <w:rPr>
          <w:rFonts w:hAnsi="宋体"/>
          <w:sz w:val="24"/>
        </w:rPr>
      </w:pPr>
      <w:r>
        <w:rPr>
          <w:rFonts w:hint="eastAsia" w:hAnsi="宋体"/>
          <w:sz w:val="24"/>
          <w:lang w:eastAsia="zh-CN"/>
        </w:rPr>
        <w:t>（</w:t>
      </w:r>
      <w:r>
        <w:rPr>
          <w:rFonts w:hint="eastAsia" w:hAnsi="宋体"/>
          <w:sz w:val="24"/>
          <w:lang w:val="en-US" w:eastAsia="zh-CN"/>
        </w:rPr>
        <w:t>6</w:t>
      </w:r>
      <w:r>
        <w:rPr>
          <w:rFonts w:hint="eastAsia" w:hAnsi="宋体"/>
          <w:sz w:val="24"/>
          <w:lang w:eastAsia="zh-CN"/>
        </w:rPr>
        <w:t>）</w:t>
      </w:r>
      <w:r>
        <w:rPr>
          <w:rFonts w:hint="eastAsia" w:hAnsi="宋体"/>
          <w:sz w:val="24"/>
        </w:rPr>
        <w:t>验收检测报告—废气、噪声。</w:t>
      </w:r>
    </w:p>
    <w:p>
      <w:pPr>
        <w:pStyle w:val="94"/>
        <w:spacing w:line="360" w:lineRule="auto"/>
        <w:rPr>
          <w:sz w:val="32"/>
          <w:szCs w:val="32"/>
        </w:rPr>
      </w:pPr>
      <w:r>
        <w:br w:type="page"/>
      </w:r>
      <w:bookmarkStart w:id="89" w:name="_Toc515360505"/>
      <w:bookmarkStart w:id="90" w:name="_Toc28545"/>
      <w:bookmarkStart w:id="91" w:name="_Toc30774"/>
      <w:bookmarkStart w:id="92" w:name="_Toc9733"/>
      <w:bookmarkStart w:id="93" w:name="_Toc515359531"/>
      <w:bookmarkStart w:id="94" w:name="_Toc1201"/>
      <w:bookmarkStart w:id="95" w:name="_Toc25800"/>
      <w:bookmarkStart w:id="96" w:name="_Toc7693"/>
      <w:r>
        <w:rPr>
          <w:rFonts w:hint="eastAsia"/>
          <w:sz w:val="32"/>
          <w:szCs w:val="32"/>
        </w:rPr>
        <w:t xml:space="preserve">第三章 </w:t>
      </w:r>
      <w:r>
        <w:rPr>
          <w:rFonts w:hint="eastAsia"/>
          <w:sz w:val="32"/>
          <w:szCs w:val="32"/>
          <w:lang w:eastAsia="zh-CN"/>
        </w:rPr>
        <w:t>项目</w:t>
      </w:r>
      <w:r>
        <w:rPr>
          <w:sz w:val="32"/>
          <w:szCs w:val="32"/>
        </w:rPr>
        <w:t>建设情况</w:t>
      </w:r>
      <w:bookmarkEnd w:id="89"/>
      <w:bookmarkEnd w:id="90"/>
      <w:bookmarkEnd w:id="91"/>
      <w:bookmarkEnd w:id="92"/>
      <w:bookmarkEnd w:id="93"/>
      <w:bookmarkEnd w:id="94"/>
      <w:bookmarkEnd w:id="95"/>
      <w:bookmarkEnd w:id="96"/>
    </w:p>
    <w:p>
      <w:pPr>
        <w:pStyle w:val="40"/>
        <w:ind w:firstLine="562"/>
        <w:outlineLvl w:val="1"/>
        <w:rPr>
          <w:bCs/>
          <w:color w:val="000000"/>
          <w:sz w:val="28"/>
          <w:szCs w:val="28"/>
        </w:rPr>
      </w:pPr>
      <w:bookmarkStart w:id="97" w:name="_Toc515360507"/>
      <w:bookmarkStart w:id="98" w:name="_Toc515359533"/>
      <w:bookmarkStart w:id="99" w:name="_Toc515366294"/>
      <w:bookmarkStart w:id="100" w:name="_Toc23126"/>
      <w:bookmarkStart w:id="101" w:name="_Toc11870"/>
      <w:bookmarkStart w:id="102" w:name="_Toc10384"/>
      <w:bookmarkStart w:id="103" w:name="_Toc19233"/>
      <w:bookmarkStart w:id="104" w:name="_Toc7816"/>
      <w:r>
        <w:rPr>
          <w:b/>
          <w:bCs/>
          <w:color w:val="000000"/>
          <w:sz w:val="28"/>
          <w:szCs w:val="28"/>
        </w:rPr>
        <w:t>3.1</w:t>
      </w:r>
      <w:bookmarkEnd w:id="97"/>
      <w:bookmarkEnd w:id="98"/>
      <w:bookmarkEnd w:id="99"/>
      <w:bookmarkStart w:id="105" w:name="_Toc515359535"/>
      <w:bookmarkStart w:id="106" w:name="_Toc515360509"/>
      <w:bookmarkStart w:id="107" w:name="_Toc515366296"/>
      <w:r>
        <w:rPr>
          <w:b/>
          <w:color w:val="000000"/>
          <w:sz w:val="28"/>
          <w:szCs w:val="28"/>
        </w:rPr>
        <w:t>项目基本情况</w:t>
      </w:r>
      <w:bookmarkEnd w:id="100"/>
      <w:bookmarkEnd w:id="101"/>
      <w:bookmarkEnd w:id="102"/>
      <w:bookmarkEnd w:id="103"/>
      <w:bookmarkEnd w:id="104"/>
    </w:p>
    <w:p>
      <w:pPr>
        <w:pStyle w:val="40"/>
        <w:rPr>
          <w:rFonts w:hint="eastAsia" w:hAnsi="宋体" w:eastAsia="宋体"/>
          <w:bCs/>
          <w:color w:val="000000"/>
          <w:lang w:eastAsia="zh-CN"/>
        </w:rPr>
      </w:pPr>
      <w:r>
        <w:rPr>
          <w:rFonts w:hint="eastAsia" w:hAnsi="宋体"/>
          <w:bCs/>
          <w:color w:val="000000"/>
        </w:rPr>
        <w:t>（1）建设单位</w:t>
      </w:r>
      <w:bookmarkEnd w:id="105"/>
      <w:bookmarkEnd w:id="106"/>
      <w:bookmarkEnd w:id="107"/>
      <w:r>
        <w:rPr>
          <w:rFonts w:hint="eastAsia" w:hAnsi="宋体"/>
          <w:bCs/>
          <w:color w:val="000000"/>
        </w:rPr>
        <w:t>：</w:t>
      </w:r>
      <w:r>
        <w:rPr>
          <w:rFonts w:hint="eastAsia" w:ascii="Times New Roman" w:hAnsi="Times New Roman" w:eastAsia="宋体" w:cs="Times New Roman"/>
          <w:b w:val="0"/>
          <w:snapToGrid/>
          <w:color w:val="000000"/>
          <w:kern w:val="2"/>
          <w:sz w:val="24"/>
          <w:szCs w:val="24"/>
          <w:lang w:val="en-US" w:eastAsia="zh-CN" w:bidi="ar-SA"/>
        </w:rPr>
        <w:t>安徽晨曜智能设备科技有限公司</w:t>
      </w:r>
      <w:r>
        <w:rPr>
          <w:rFonts w:hint="eastAsia" w:hAnsi="宋体"/>
          <w:bCs/>
          <w:color w:val="000000"/>
          <w:lang w:eastAsia="zh-CN"/>
        </w:rPr>
        <w:t>；</w:t>
      </w:r>
    </w:p>
    <w:p>
      <w:pPr>
        <w:pStyle w:val="40"/>
        <w:rPr>
          <w:rFonts w:hint="eastAsia" w:hAnsi="宋体" w:eastAsia="宋体"/>
          <w:bCs/>
          <w:color w:val="000000"/>
          <w:lang w:eastAsia="zh-CN"/>
        </w:rPr>
      </w:pPr>
      <w:r>
        <w:rPr>
          <w:rFonts w:hint="eastAsia" w:hAnsi="宋体"/>
          <w:bCs/>
          <w:color w:val="000000"/>
        </w:rPr>
        <w:t>（2）项目名称：</w:t>
      </w:r>
      <w:r>
        <w:rPr>
          <w:rFonts w:hint="eastAsia" w:ascii="Times New Roman" w:hAnsi="Times New Roman" w:eastAsia="宋体" w:cs="Times New Roman"/>
          <w:b w:val="0"/>
          <w:snapToGrid/>
          <w:color w:val="000000"/>
          <w:kern w:val="2"/>
          <w:sz w:val="24"/>
          <w:szCs w:val="24"/>
          <w:lang w:val="en-US" w:eastAsia="zh-CN" w:bidi="ar-SA"/>
        </w:rPr>
        <w:t>晨曜年产10万吨高端金属结构件项目</w:t>
      </w:r>
      <w:r>
        <w:rPr>
          <w:rFonts w:hint="eastAsia" w:asciiTheme="majorHAnsi" w:hAnsiTheme="majorHAnsi" w:cstheme="majorHAnsi"/>
          <w:color w:val="000000" w:themeColor="text1"/>
          <w:sz w:val="24"/>
          <w:lang w:eastAsia="zh-CN"/>
          <w14:textFill>
            <w14:solidFill>
              <w14:schemeClr w14:val="tx1"/>
            </w14:solidFill>
          </w14:textFill>
        </w:rPr>
        <w:t>；</w:t>
      </w:r>
    </w:p>
    <w:p>
      <w:pPr>
        <w:pStyle w:val="40"/>
        <w:rPr>
          <w:rFonts w:hint="eastAsia" w:hAnsi="宋体" w:eastAsia="宋体"/>
          <w:bCs/>
          <w:color w:val="000000"/>
          <w:lang w:eastAsia="zh-CN"/>
        </w:rPr>
      </w:pPr>
      <w:r>
        <w:rPr>
          <w:rFonts w:hint="eastAsia" w:hAnsi="宋体"/>
          <w:bCs/>
          <w:color w:val="000000"/>
        </w:rPr>
        <w:t>（3）项目性质：</w:t>
      </w:r>
      <w:r>
        <w:rPr>
          <w:rFonts w:hint="eastAsia" w:hAnsi="宋体"/>
          <w:bCs/>
          <w:color w:val="000000"/>
          <w:lang w:eastAsia="zh-CN"/>
        </w:rPr>
        <w:t>新建；</w:t>
      </w:r>
    </w:p>
    <w:p>
      <w:pPr>
        <w:pStyle w:val="40"/>
        <w:jc w:val="both"/>
        <w:rPr>
          <w:rFonts w:hint="eastAsia" w:hAnsi="宋体"/>
          <w:bCs/>
          <w:color w:val="000000"/>
          <w:lang w:eastAsia="zh-CN"/>
        </w:rPr>
      </w:pPr>
      <w:bookmarkStart w:id="108" w:name="_Toc515360511"/>
      <w:bookmarkStart w:id="109" w:name="_Toc515359537"/>
      <w:bookmarkStart w:id="110" w:name="_Toc515366298"/>
      <w:r>
        <w:rPr>
          <w:rFonts w:hint="eastAsia" w:hAnsi="宋体"/>
          <w:bCs/>
          <w:color w:val="000000"/>
        </w:rPr>
        <w:t>（4）投资总额</w:t>
      </w:r>
      <w:bookmarkEnd w:id="108"/>
      <w:bookmarkEnd w:id="109"/>
      <w:bookmarkEnd w:id="110"/>
      <w:bookmarkStart w:id="111" w:name="_Toc515359538"/>
      <w:bookmarkStart w:id="112" w:name="_Toc515366299"/>
      <w:bookmarkStart w:id="113" w:name="_Toc515360512"/>
      <w:r>
        <w:rPr>
          <w:rFonts w:hint="eastAsia" w:hAnsi="宋体"/>
          <w:bCs/>
          <w:color w:val="000000"/>
          <w:lang w:eastAsia="zh-CN"/>
        </w:rPr>
        <w:t>：环评申报总投资为</w:t>
      </w:r>
      <w:r>
        <w:rPr>
          <w:rFonts w:hint="default" w:ascii="Times New Roman" w:hAnsi="Times New Roman" w:eastAsia="宋体" w:cs="Times New Roman"/>
          <w:color w:val="000000" w:themeColor="text1"/>
          <w:spacing w:val="3"/>
          <w:sz w:val="24"/>
          <w:szCs w:val="24"/>
          <w14:textFill>
            <w14:solidFill>
              <w14:schemeClr w14:val="tx1"/>
            </w14:solidFill>
          </w14:textFill>
        </w:rPr>
        <w:t>12000</w:t>
      </w:r>
      <w:r>
        <w:rPr>
          <w:rFonts w:hint="eastAsia" w:hAnsi="宋体"/>
          <w:bCs/>
          <w:color w:val="000000"/>
          <w:lang w:eastAsia="zh-CN"/>
        </w:rPr>
        <w:t>万元，申报环保投资为</w:t>
      </w:r>
      <w:r>
        <w:rPr>
          <w:rFonts w:hint="eastAsia" w:ascii="Times New Roman" w:hAnsi="Times New Roman" w:eastAsia="宋体" w:cs="Times New Roman"/>
          <w:color w:val="000000" w:themeColor="text1"/>
          <w:spacing w:val="3"/>
          <w:sz w:val="24"/>
          <w:szCs w:val="24"/>
          <w:lang w:val="en-US" w:eastAsia="zh-CN"/>
          <w14:textFill>
            <w14:solidFill>
              <w14:schemeClr w14:val="tx1"/>
            </w14:solidFill>
          </w14:textFill>
        </w:rPr>
        <w:t>1</w:t>
      </w:r>
      <w:r>
        <w:rPr>
          <w:rFonts w:hint="default" w:ascii="Times New Roman" w:hAnsi="Times New Roman" w:eastAsia="宋体" w:cs="Times New Roman"/>
          <w:color w:val="000000" w:themeColor="text1"/>
          <w:spacing w:val="3"/>
          <w:sz w:val="24"/>
          <w:szCs w:val="24"/>
          <w:lang w:val="en-US" w:eastAsia="zh-CN"/>
          <w14:textFill>
            <w14:solidFill>
              <w14:schemeClr w14:val="tx1"/>
            </w14:solidFill>
          </w14:textFill>
        </w:rPr>
        <w:t>000</w:t>
      </w:r>
      <w:r>
        <w:rPr>
          <w:rFonts w:hint="eastAsia" w:hAnsi="宋体"/>
          <w:bCs/>
          <w:color w:val="000000"/>
          <w:lang w:eastAsia="zh-CN"/>
        </w:rPr>
        <w:t>万元；</w:t>
      </w:r>
    </w:p>
    <w:p>
      <w:pPr>
        <w:pStyle w:val="40"/>
        <w:jc w:val="both"/>
        <w:rPr>
          <w:rFonts w:hint="eastAsia" w:hAnsi="宋体"/>
          <w:bCs/>
          <w:color w:val="000000"/>
        </w:rPr>
      </w:pPr>
      <w:r>
        <w:rPr>
          <w:rFonts w:hint="eastAsia" w:hAnsi="宋体"/>
          <w:bCs/>
          <w:color w:val="000000"/>
        </w:rPr>
        <w:t>实际总投资为</w:t>
      </w:r>
      <w:r>
        <w:rPr>
          <w:rFonts w:hint="default" w:ascii="Times New Roman" w:hAnsi="Times New Roman" w:eastAsia="宋体" w:cs="Times New Roman"/>
          <w:color w:val="000000" w:themeColor="text1"/>
          <w:spacing w:val="3"/>
          <w:sz w:val="24"/>
          <w:szCs w:val="24"/>
          <w14:textFill>
            <w14:solidFill>
              <w14:schemeClr w14:val="tx1"/>
            </w14:solidFill>
          </w14:textFill>
        </w:rPr>
        <w:t>12000</w:t>
      </w:r>
      <w:r>
        <w:rPr>
          <w:rFonts w:hint="eastAsia" w:hAnsi="宋体"/>
          <w:bCs/>
          <w:color w:val="000000"/>
        </w:rPr>
        <w:t>万元，实际环保投资为</w:t>
      </w:r>
      <w:r>
        <w:rPr>
          <w:rFonts w:hint="eastAsia" w:cs="Times New Roman"/>
          <w:color w:val="000000" w:themeColor="text1"/>
          <w:spacing w:val="3"/>
          <w:sz w:val="24"/>
          <w:szCs w:val="24"/>
          <w:lang w:val="en-US" w:eastAsia="zh-CN"/>
          <w14:textFill>
            <w14:solidFill>
              <w14:schemeClr w14:val="tx1"/>
            </w14:solidFill>
          </w14:textFill>
        </w:rPr>
        <w:t>950</w:t>
      </w:r>
      <w:r>
        <w:rPr>
          <w:rFonts w:hint="eastAsia" w:hAnsi="宋体"/>
          <w:bCs/>
          <w:color w:val="000000"/>
        </w:rPr>
        <w:t>万元。</w:t>
      </w:r>
      <w:bookmarkEnd w:id="111"/>
      <w:bookmarkEnd w:id="112"/>
      <w:bookmarkEnd w:id="113"/>
    </w:p>
    <w:p>
      <w:pPr>
        <w:pStyle w:val="40"/>
        <w:numPr>
          <w:ilvl w:val="0"/>
          <w:numId w:val="1"/>
        </w:numPr>
        <w:jc w:val="both"/>
        <w:rPr>
          <w:rFonts w:hint="eastAsia"/>
          <w:kern w:val="2"/>
        </w:rPr>
      </w:pPr>
      <w:bookmarkStart w:id="114" w:name="_Toc515360514"/>
      <w:bookmarkStart w:id="115" w:name="_Toc508806150"/>
      <w:bookmarkStart w:id="116" w:name="_Toc510513608"/>
      <w:bookmarkStart w:id="117" w:name="_Toc503769034"/>
      <w:bookmarkStart w:id="118" w:name="_Toc515366301"/>
      <w:bookmarkStart w:id="119" w:name="_Toc515359540"/>
      <w:bookmarkStart w:id="120" w:name="_Toc503769105"/>
      <w:r>
        <w:rPr>
          <w:bCs/>
        </w:rPr>
        <w:t>建设地点：</w:t>
      </w:r>
      <w:r>
        <w:rPr>
          <w:rFonts w:hint="default" w:ascii="Times New Roman" w:hAnsi="Times New Roman" w:eastAsia="宋体" w:cs="Times New Roman"/>
          <w:color w:val="000000" w:themeColor="text1"/>
          <w:kern w:val="2"/>
          <w:sz w:val="24"/>
          <w:szCs w:val="24"/>
          <w14:textFill>
            <w14:solidFill>
              <w14:schemeClr w14:val="tx1"/>
            </w14:solidFill>
          </w14:textFill>
        </w:rPr>
        <w:t>六安高新技术产业开发区平桥园区兰迪路与赛分路交口西南侧，项目中心地理坐标：经度：116°25′16.541″、纬度：31°48′38.221″</w:t>
      </w:r>
      <w:r>
        <w:rPr>
          <w:rFonts w:hint="eastAsia"/>
          <w:kern w:val="2"/>
        </w:rPr>
        <w:t>，详见项目地理位置图1。</w:t>
      </w:r>
    </w:p>
    <w:p>
      <w:pPr>
        <w:pStyle w:val="40"/>
        <w:numPr>
          <w:ilvl w:val="0"/>
          <w:numId w:val="1"/>
        </w:numPr>
        <w:jc w:val="both"/>
        <w:rPr>
          <w:rFonts w:hAnsi="宋体"/>
          <w:bCs/>
          <w:color w:val="000000"/>
        </w:rPr>
      </w:pPr>
      <w:r>
        <w:rPr>
          <w:rFonts w:hint="eastAsia"/>
          <w:kern w:val="2"/>
        </w:rPr>
        <w:t>职工定员、生产班制：</w:t>
      </w:r>
      <w:r>
        <w:rPr>
          <w:rFonts w:hint="default"/>
          <w:kern w:val="2"/>
          <w:lang w:eastAsia="zh-CN"/>
        </w:rPr>
        <w:t>环评申报人员</w:t>
      </w:r>
      <w:r>
        <w:rPr>
          <w:rFonts w:hint="default" w:ascii="Times New Roman" w:hAnsi="Times New Roman" w:eastAsia="宋体" w:cs="Times New Roman"/>
          <w:color w:val="000000" w:themeColor="text1"/>
          <w:spacing w:val="3"/>
          <w:sz w:val="24"/>
          <w:szCs w:val="24"/>
          <w14:textFill>
            <w14:solidFill>
              <w14:schemeClr w14:val="tx1"/>
            </w14:solidFill>
          </w14:textFill>
        </w:rPr>
        <w:t>70</w:t>
      </w:r>
      <w:r>
        <w:rPr>
          <w:rFonts w:hint="default"/>
          <w:kern w:val="2"/>
          <w:lang w:val="en-US" w:eastAsia="zh-CN"/>
        </w:rPr>
        <w:t>人，</w:t>
      </w:r>
      <w:r>
        <w:rPr>
          <w:rFonts w:hint="default" w:ascii="Times New Roman" w:hAnsi="Times New Roman" w:eastAsia="宋体" w:cs="Times New Roman"/>
          <w:color w:val="000000" w:themeColor="text1"/>
          <w:spacing w:val="3"/>
          <w:sz w:val="24"/>
          <w:szCs w:val="24"/>
          <w14:textFill>
            <w14:solidFill>
              <w14:schemeClr w14:val="tx1"/>
            </w14:solidFill>
          </w14:textFill>
        </w:rPr>
        <w:t>年工作300天，</w:t>
      </w:r>
      <w:r>
        <w:rPr>
          <w:rFonts w:hint="default" w:ascii="Times New Roman" w:hAnsi="Times New Roman" w:eastAsia="宋体" w:cs="Times New Roman"/>
          <w:color w:val="000000" w:themeColor="text1"/>
          <w:spacing w:val="3"/>
          <w:sz w:val="24"/>
          <w:szCs w:val="24"/>
          <w:lang w:val="en-US" w:eastAsia="zh-CN"/>
          <w14:textFill>
            <w14:solidFill>
              <w14:schemeClr w14:val="tx1"/>
            </w14:solidFill>
          </w14:textFill>
        </w:rPr>
        <w:t>三</w:t>
      </w:r>
      <w:r>
        <w:rPr>
          <w:rFonts w:hint="default" w:ascii="Times New Roman" w:hAnsi="Times New Roman" w:eastAsia="宋体" w:cs="Times New Roman"/>
          <w:color w:val="000000" w:themeColor="text1"/>
          <w:spacing w:val="3"/>
          <w:sz w:val="24"/>
          <w:szCs w:val="24"/>
          <w14:textFill>
            <w14:solidFill>
              <w14:schemeClr w14:val="tx1"/>
            </w14:solidFill>
          </w14:textFill>
        </w:rPr>
        <w:t>班制，每班工作</w:t>
      </w:r>
      <w:r>
        <w:rPr>
          <w:rFonts w:hint="default" w:ascii="Times New Roman" w:hAnsi="Times New Roman" w:eastAsia="宋体" w:cs="Times New Roman"/>
          <w:color w:val="000000" w:themeColor="text1"/>
          <w:spacing w:val="3"/>
          <w:sz w:val="24"/>
          <w:szCs w:val="24"/>
          <w:lang w:val="en-US" w:eastAsia="zh-CN"/>
          <w14:textFill>
            <w14:solidFill>
              <w14:schemeClr w14:val="tx1"/>
            </w14:solidFill>
          </w14:textFill>
        </w:rPr>
        <w:t>8</w:t>
      </w:r>
      <w:r>
        <w:rPr>
          <w:rFonts w:hint="default" w:ascii="Times New Roman" w:hAnsi="Times New Roman" w:eastAsia="宋体" w:cs="Times New Roman"/>
          <w:color w:val="000000" w:themeColor="text1"/>
          <w:spacing w:val="3"/>
          <w:sz w:val="24"/>
          <w:szCs w:val="24"/>
          <w14:textFill>
            <w14:solidFill>
              <w14:schemeClr w14:val="tx1"/>
            </w14:solidFill>
          </w14:textFill>
        </w:rPr>
        <w:t>小时</w:t>
      </w:r>
      <w:r>
        <w:rPr>
          <w:rFonts w:hint="default" w:ascii="Times New Roman" w:hAnsi="Times New Roman" w:eastAsia="宋体" w:cs="Times New Roman"/>
          <w:color w:val="000000" w:themeColor="text1"/>
          <w:sz w:val="24"/>
          <w:lang w:eastAsia="zh-CN"/>
          <w14:textFill>
            <w14:solidFill>
              <w14:schemeClr w14:val="tx1"/>
            </w14:solidFill>
          </w14:textFill>
        </w:rPr>
        <w:t>，装置年运行时间按</w:t>
      </w:r>
      <w:r>
        <w:rPr>
          <w:rFonts w:hint="eastAsia" w:cs="Times New Roman"/>
          <w:color w:val="000000" w:themeColor="text1"/>
          <w:sz w:val="24"/>
          <w:lang w:val="en-US" w:eastAsia="zh-CN"/>
          <w14:textFill>
            <w14:solidFill>
              <w14:schemeClr w14:val="tx1"/>
            </w14:solidFill>
          </w14:textFill>
        </w:rPr>
        <w:t>7200</w:t>
      </w:r>
      <w:r>
        <w:rPr>
          <w:rFonts w:hint="default" w:ascii="Times New Roman" w:hAnsi="Times New Roman" w:eastAsia="宋体" w:cs="Times New Roman"/>
          <w:color w:val="000000" w:themeColor="text1"/>
          <w:sz w:val="24"/>
          <w:lang w:eastAsia="zh-CN"/>
          <w14:textFill>
            <w14:solidFill>
              <w14:schemeClr w14:val="tx1"/>
            </w14:solidFill>
          </w14:textFill>
        </w:rPr>
        <w:t>小时计。</w:t>
      </w:r>
      <w:r>
        <w:rPr>
          <w:rFonts w:hint="eastAsia" w:ascii="Times New Roman" w:hAnsi="Times New Roman" w:eastAsia="宋体" w:cs="Times New Roman"/>
          <w:color w:val="000000" w:themeColor="text1"/>
          <w:sz w:val="24"/>
          <w:lang w:eastAsia="zh-CN"/>
          <w14:textFill>
            <w14:solidFill>
              <w14:schemeClr w14:val="tx1"/>
            </w14:solidFill>
          </w14:textFill>
        </w:rPr>
        <w:t>实际</w:t>
      </w:r>
      <w:r>
        <w:rPr>
          <w:rFonts w:hint="eastAsia" w:eastAsia="宋体" w:asciiTheme="majorHAnsi" w:hAnsiTheme="majorHAnsi" w:cstheme="majorHAnsi"/>
          <w:color w:val="000000" w:themeColor="text1"/>
          <w:sz w:val="24"/>
          <w14:textFill>
            <w14:solidFill>
              <w14:schemeClr w14:val="tx1"/>
            </w14:solidFill>
          </w14:textFill>
        </w:rPr>
        <w:t>职工定员</w:t>
      </w:r>
      <w:r>
        <w:rPr>
          <w:rFonts w:hint="eastAsia" w:ascii="Times New Roman" w:hAnsi="Times New Roman" w:eastAsia="宋体" w:cs="Times New Roman"/>
          <w:color w:val="000000" w:themeColor="text1"/>
          <w:sz w:val="24"/>
          <w:lang w:eastAsia="zh-CN"/>
          <w14:textFill>
            <w14:solidFill>
              <w14:schemeClr w14:val="tx1"/>
            </w14:solidFill>
          </w14:textFill>
        </w:rPr>
        <w:t>、生产班制与环评一致</w:t>
      </w:r>
      <w:r>
        <w:rPr>
          <w:rFonts w:hint="eastAsia" w:cs="Times New Roman"/>
          <w:color w:val="000000" w:themeColor="text1"/>
          <w:sz w:val="24"/>
          <w:lang w:eastAsia="zh-CN"/>
          <w14:textFill>
            <w14:solidFill>
              <w14:schemeClr w14:val="tx1"/>
            </w14:solidFill>
          </w14:textFill>
        </w:rPr>
        <w:t>。</w:t>
      </w:r>
    </w:p>
    <w:bookmarkEnd w:id="114"/>
    <w:bookmarkEnd w:id="115"/>
    <w:bookmarkEnd w:id="116"/>
    <w:bookmarkEnd w:id="117"/>
    <w:bookmarkEnd w:id="118"/>
    <w:bookmarkEnd w:id="119"/>
    <w:bookmarkEnd w:id="120"/>
    <w:p>
      <w:pPr>
        <w:spacing w:line="360" w:lineRule="auto"/>
        <w:ind w:firstLine="281" w:firstLineChars="100"/>
        <w:jc w:val="left"/>
        <w:outlineLvl w:val="1"/>
        <w:rPr>
          <w:bCs/>
          <w:sz w:val="28"/>
          <w:szCs w:val="28"/>
        </w:rPr>
      </w:pPr>
      <w:bookmarkStart w:id="121" w:name="_Toc26457"/>
      <w:bookmarkStart w:id="122" w:name="_Toc23983"/>
      <w:bookmarkStart w:id="123" w:name="_Toc4863"/>
      <w:bookmarkStart w:id="124" w:name="_Toc515360517"/>
      <w:bookmarkStart w:id="125" w:name="_Toc22755"/>
      <w:bookmarkStart w:id="126" w:name="_Toc13973"/>
      <w:bookmarkStart w:id="127" w:name="_Toc515359543"/>
      <w:r>
        <w:rPr>
          <w:b/>
          <w:sz w:val="28"/>
          <w:szCs w:val="28"/>
        </w:rPr>
        <w:t>3.2 建设内容</w:t>
      </w:r>
      <w:bookmarkEnd w:id="121"/>
      <w:bookmarkEnd w:id="122"/>
      <w:bookmarkEnd w:id="123"/>
      <w:bookmarkEnd w:id="124"/>
      <w:bookmarkEnd w:id="125"/>
      <w:bookmarkEnd w:id="126"/>
      <w:bookmarkEnd w:id="127"/>
    </w:p>
    <w:p>
      <w:pPr>
        <w:spacing w:line="360" w:lineRule="auto"/>
        <w:ind w:firstLine="482" w:firstLineChars="200"/>
        <w:rPr>
          <w:rFonts w:hint="eastAsia" w:ascii="Times New Roman" w:hAnsi="Times New Roman" w:eastAsia="宋体" w:cs="Times New Roman"/>
          <w:spacing w:val="0"/>
          <w:kern w:val="2"/>
          <w:sz w:val="24"/>
          <w:szCs w:val="24"/>
          <w:lang w:val="en-US" w:eastAsia="zh-CN"/>
        </w:rPr>
      </w:pPr>
      <w:bookmarkStart w:id="128" w:name="_Toc515359544"/>
      <w:bookmarkStart w:id="129" w:name="_Toc515360518"/>
      <w:bookmarkStart w:id="130" w:name="_Toc515366305"/>
      <w:r>
        <w:rPr>
          <w:rFonts w:hint="eastAsia"/>
          <w:b/>
          <w:bCs/>
          <w:sz w:val="24"/>
          <w:szCs w:val="24"/>
        </w:rPr>
        <w:t>环评申报建设内容：</w:t>
      </w:r>
      <w:bookmarkEnd w:id="128"/>
      <w:bookmarkEnd w:id="129"/>
      <w:bookmarkEnd w:id="130"/>
      <w:r>
        <w:rPr>
          <w:rFonts w:hint="default" w:ascii="Times New Roman" w:hAnsi="Times New Roman" w:eastAsia="宋体" w:cs="Times New Roman"/>
          <w:color w:val="000000" w:themeColor="text1"/>
          <w:kern w:val="2"/>
          <w:sz w:val="24"/>
          <w:szCs w:val="24"/>
          <w14:textFill>
            <w14:solidFill>
              <w14:schemeClr w14:val="tx1"/>
            </w14:solidFill>
          </w14:textFill>
        </w:rPr>
        <w:t>项目占地面积</w:t>
      </w:r>
      <w:r>
        <w:rPr>
          <w:rFonts w:hint="default" w:ascii="Times New Roman" w:hAnsi="Times New Roman" w:eastAsia="宋体" w:cs="Times New Roman"/>
          <w:color w:val="000000" w:themeColor="text1"/>
          <w:kern w:val="2"/>
          <w:sz w:val="24"/>
          <w:szCs w:val="24"/>
          <w:lang w:eastAsia="zh-CN"/>
          <w14:textFill>
            <w14:solidFill>
              <w14:schemeClr w14:val="tx1"/>
            </w14:solidFill>
          </w14:textFill>
        </w:rPr>
        <w:t>30060</w:t>
      </w:r>
      <w:r>
        <w:rPr>
          <w:rFonts w:hint="default" w:ascii="Times New Roman" w:hAnsi="Times New Roman" w:eastAsia="宋体" w:cs="Times New Roman"/>
          <w:color w:val="000000" w:themeColor="text1"/>
          <w:kern w:val="2"/>
          <w:sz w:val="24"/>
          <w:szCs w:val="24"/>
          <w14:textFill>
            <w14:solidFill>
              <w14:schemeClr w14:val="tx1"/>
            </w14:solidFill>
          </w14:textFill>
        </w:rPr>
        <w:t>m</w:t>
      </w:r>
      <w:r>
        <w:rPr>
          <w:rFonts w:hint="default" w:ascii="Times New Roman" w:hAnsi="Times New Roman" w:eastAsia="宋体" w:cs="Times New Roman"/>
          <w:color w:val="000000" w:themeColor="text1"/>
          <w:kern w:val="2"/>
          <w:sz w:val="24"/>
          <w:szCs w:val="24"/>
          <w:vertAlign w:val="superscript"/>
          <w14:textFill>
            <w14:solidFill>
              <w14:schemeClr w14:val="tx1"/>
            </w14:solidFill>
          </w14:textFill>
        </w:rPr>
        <w:t>2</w:t>
      </w:r>
      <w:r>
        <w:rPr>
          <w:rFonts w:hint="default" w:ascii="Times New Roman" w:hAnsi="Times New Roman" w:eastAsia="宋体" w:cs="Times New Roman"/>
          <w:color w:val="000000" w:themeColor="text1"/>
          <w:kern w:val="2"/>
          <w:sz w:val="24"/>
          <w:szCs w:val="24"/>
          <w14:textFill>
            <w14:solidFill>
              <w14:schemeClr w14:val="tx1"/>
            </w14:solidFill>
          </w14:textFill>
        </w:rPr>
        <w:t>，规划建设生产厂房2栋，综合楼1栋，生产厂房建筑面积分别为：配套安装锌锅、天然气加热炉、助镀剂处理系统、冷却塔</w:t>
      </w:r>
      <w:r>
        <w:rPr>
          <w:rFonts w:hint="default" w:ascii="Times New Roman" w:hAnsi="Times New Roman" w:eastAsia="宋体" w:cs="Times New Roman"/>
          <w:color w:val="000000" w:themeColor="text1"/>
          <w:kern w:val="2"/>
          <w:sz w:val="24"/>
          <w:szCs w:val="24"/>
          <w:lang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14:textFill>
            <w14:solidFill>
              <w14:schemeClr w14:val="tx1"/>
            </w14:solidFill>
          </w14:textFill>
        </w:rPr>
        <w:t>镀锌线（包括转换池、碱洗池、漂洗池、返镀池、酸洗池、助镀池、锌锅池、冷却池、钝化池），建成后年产10万吨高端金属结构件。</w:t>
      </w:r>
    </w:p>
    <w:p>
      <w:pPr>
        <w:spacing w:line="360" w:lineRule="auto"/>
        <w:ind w:firstLine="482" w:firstLineChars="200"/>
        <w:rPr>
          <w:rFonts w:hint="eastAsia" w:ascii="Times New Roman" w:hAnsi="Times New Roman" w:cs="Times New Roman"/>
          <w:spacing w:val="0"/>
          <w:kern w:val="2"/>
          <w:sz w:val="24"/>
          <w:szCs w:val="24"/>
          <w:lang w:eastAsia="zh-CN"/>
        </w:rPr>
      </w:pPr>
      <w:r>
        <w:rPr>
          <w:rFonts w:hint="eastAsia"/>
          <w:b/>
          <w:bCs/>
          <w:sz w:val="24"/>
          <w:szCs w:val="24"/>
        </w:rPr>
        <w:t>实际建成内容：</w:t>
      </w:r>
      <w:r>
        <w:rPr>
          <w:rFonts w:hint="eastAsia" w:ascii="Times New Roman" w:hAnsi="Times New Roman" w:eastAsia="宋体" w:cs="Times New Roman"/>
          <w:color w:val="000000" w:themeColor="text1"/>
          <w:kern w:val="2"/>
          <w:sz w:val="24"/>
          <w:szCs w:val="24"/>
          <w:lang w:eastAsia="zh-CN"/>
          <w14:textFill>
            <w14:solidFill>
              <w14:schemeClr w14:val="tx1"/>
            </w14:solidFill>
          </w14:textFill>
        </w:rPr>
        <w:t>实际</w:t>
      </w:r>
      <w:r>
        <w:rPr>
          <w:rFonts w:hint="default" w:ascii="Times New Roman" w:hAnsi="Times New Roman" w:eastAsia="宋体" w:cs="Times New Roman"/>
          <w:color w:val="000000" w:themeColor="text1"/>
          <w:kern w:val="2"/>
          <w:sz w:val="24"/>
          <w:szCs w:val="24"/>
          <w14:textFill>
            <w14:solidFill>
              <w14:schemeClr w14:val="tx1"/>
            </w14:solidFill>
          </w14:textFill>
        </w:rPr>
        <w:t>占地面积</w:t>
      </w:r>
      <w:r>
        <w:rPr>
          <w:rFonts w:hint="default" w:ascii="Times New Roman" w:hAnsi="Times New Roman" w:eastAsia="宋体" w:cs="Times New Roman"/>
          <w:color w:val="000000" w:themeColor="text1"/>
          <w:kern w:val="2"/>
          <w:sz w:val="24"/>
          <w:szCs w:val="24"/>
          <w:lang w:eastAsia="zh-CN"/>
          <w14:textFill>
            <w14:solidFill>
              <w14:schemeClr w14:val="tx1"/>
            </w14:solidFill>
          </w14:textFill>
        </w:rPr>
        <w:t>30060</w:t>
      </w:r>
      <w:r>
        <w:rPr>
          <w:rFonts w:hint="default" w:ascii="Times New Roman" w:hAnsi="Times New Roman" w:eastAsia="宋体" w:cs="Times New Roman"/>
          <w:color w:val="000000" w:themeColor="text1"/>
          <w:kern w:val="2"/>
          <w:sz w:val="24"/>
          <w:szCs w:val="24"/>
          <w14:textFill>
            <w14:solidFill>
              <w14:schemeClr w14:val="tx1"/>
            </w14:solidFill>
          </w14:textFill>
        </w:rPr>
        <w:t>m</w:t>
      </w:r>
      <w:r>
        <w:rPr>
          <w:rFonts w:hint="default" w:ascii="Times New Roman" w:hAnsi="Times New Roman" w:eastAsia="宋体" w:cs="Times New Roman"/>
          <w:color w:val="000000" w:themeColor="text1"/>
          <w:kern w:val="2"/>
          <w:sz w:val="24"/>
          <w:szCs w:val="24"/>
          <w:vertAlign w:val="superscript"/>
          <w14:textFill>
            <w14:solidFill>
              <w14:schemeClr w14:val="tx1"/>
            </w14:solidFill>
          </w14:textFill>
        </w:rPr>
        <w:t>2</w:t>
      </w:r>
      <w:r>
        <w:rPr>
          <w:rFonts w:hint="default" w:ascii="Times New Roman" w:hAnsi="Times New Roman" w:eastAsia="宋体" w:cs="Times New Roman"/>
          <w:color w:val="000000" w:themeColor="text1"/>
          <w:kern w:val="2"/>
          <w:sz w:val="24"/>
          <w:szCs w:val="24"/>
          <w14:textFill>
            <w14:solidFill>
              <w14:schemeClr w14:val="tx1"/>
            </w14:solidFill>
          </w14:textFill>
        </w:rPr>
        <w:t>，建设生产厂房</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1</w:t>
      </w:r>
      <w:r>
        <w:rPr>
          <w:rFonts w:hint="default" w:ascii="Times New Roman" w:hAnsi="Times New Roman" w:eastAsia="宋体" w:cs="Times New Roman"/>
          <w:color w:val="000000" w:themeColor="text1"/>
          <w:kern w:val="2"/>
          <w:sz w:val="24"/>
          <w:szCs w:val="24"/>
          <w14:textFill>
            <w14:solidFill>
              <w14:schemeClr w14:val="tx1"/>
            </w14:solidFill>
          </w14:textFill>
        </w:rPr>
        <w:t>栋，综合楼1栋，配套安装锌锅、天然气加热炉、助镀剂处理系统、冷却塔</w:t>
      </w:r>
      <w:r>
        <w:rPr>
          <w:rFonts w:hint="default" w:ascii="Times New Roman" w:hAnsi="Times New Roman" w:eastAsia="宋体" w:cs="Times New Roman"/>
          <w:color w:val="000000" w:themeColor="text1"/>
          <w:kern w:val="2"/>
          <w:sz w:val="24"/>
          <w:szCs w:val="24"/>
          <w:lang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14:textFill>
            <w14:solidFill>
              <w14:schemeClr w14:val="tx1"/>
            </w14:solidFill>
          </w14:textFill>
        </w:rPr>
        <w:t>镀锌线（包括转换池、碱洗池、漂洗池、返镀池、酸洗池、助镀池、锌锅池、冷却池、钝化池），建成后年产10万吨高端金属结构件</w:t>
      </w:r>
    </w:p>
    <w:p>
      <w:pPr>
        <w:pStyle w:val="40"/>
        <w:ind w:firstLine="482"/>
        <w:rPr>
          <w:rFonts w:hint="eastAsia" w:ascii="Times New Roman" w:hAnsi="Times New Roman" w:eastAsia="宋体" w:cs="Times New Roman"/>
          <w:spacing w:val="0"/>
          <w:kern w:val="2"/>
          <w:sz w:val="24"/>
          <w:szCs w:val="24"/>
          <w:lang w:val="en-US" w:eastAsia="zh-CN" w:bidi="ar-SA"/>
        </w:rPr>
      </w:pPr>
      <w:r>
        <w:rPr>
          <w:rFonts w:hint="eastAsia" w:ascii="Times New Roman" w:hAnsi="Times New Roman" w:eastAsia="宋体" w:cs="Times New Roman"/>
          <w:spacing w:val="0"/>
          <w:kern w:val="2"/>
          <w:sz w:val="24"/>
          <w:szCs w:val="24"/>
          <w:lang w:val="en-US" w:eastAsia="zh-CN" w:bidi="ar-SA"/>
        </w:rPr>
        <w:t>环评阶段建设内容与实际建设内容对照见下表3.1：</w:t>
      </w:r>
    </w:p>
    <w:p>
      <w:pPr>
        <w:spacing w:line="360" w:lineRule="auto"/>
        <w:jc w:val="center"/>
        <w:rPr>
          <w:rFonts w:hAnsi="宋体"/>
          <w:b/>
          <w:sz w:val="24"/>
        </w:rPr>
      </w:pPr>
    </w:p>
    <w:p>
      <w:pPr>
        <w:spacing w:line="360" w:lineRule="auto"/>
        <w:jc w:val="center"/>
        <w:rPr>
          <w:rFonts w:hAnsi="宋体"/>
          <w:b/>
          <w:sz w:val="24"/>
        </w:rPr>
      </w:pPr>
    </w:p>
    <w:p>
      <w:pPr>
        <w:spacing w:line="360" w:lineRule="auto"/>
        <w:jc w:val="center"/>
        <w:rPr>
          <w:rFonts w:hAnsi="宋体"/>
          <w:b/>
          <w:sz w:val="24"/>
        </w:rPr>
      </w:pPr>
    </w:p>
    <w:p>
      <w:pPr>
        <w:spacing w:line="360" w:lineRule="auto"/>
        <w:jc w:val="center"/>
        <w:rPr>
          <w:rFonts w:hAnsi="宋体"/>
          <w:b/>
          <w:sz w:val="24"/>
        </w:rPr>
      </w:pPr>
    </w:p>
    <w:p>
      <w:pPr>
        <w:spacing w:line="360" w:lineRule="auto"/>
        <w:jc w:val="center"/>
        <w:rPr>
          <w:rFonts w:hAnsi="宋体"/>
          <w:b/>
          <w:sz w:val="24"/>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titlePg/>
          <w:docGrid w:type="lines" w:linePitch="312" w:charSpace="0"/>
        </w:sectPr>
      </w:pPr>
    </w:p>
    <w:p>
      <w:pPr>
        <w:spacing w:line="360" w:lineRule="auto"/>
        <w:jc w:val="center"/>
        <w:rPr>
          <w:rFonts w:hint="eastAsia"/>
          <w:b/>
          <w:sz w:val="24"/>
        </w:rPr>
      </w:pPr>
      <w:r>
        <w:rPr>
          <w:rFonts w:hAnsi="宋体"/>
          <w:b/>
          <w:sz w:val="24"/>
        </w:rPr>
        <w:t>表</w:t>
      </w:r>
      <w:r>
        <w:rPr>
          <w:b/>
          <w:sz w:val="24"/>
        </w:rPr>
        <w:t>3.</w:t>
      </w:r>
      <w:r>
        <w:rPr>
          <w:rFonts w:hint="eastAsia"/>
          <w:b/>
          <w:sz w:val="24"/>
        </w:rPr>
        <w:t>1  环评申报内容与实际建成内容对照表</w:t>
      </w:r>
    </w:p>
    <w:tbl>
      <w:tblPr>
        <w:tblStyle w:val="31"/>
        <w:tblW w:w="508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51"/>
        <w:gridCol w:w="1762"/>
        <w:gridCol w:w="6026"/>
        <w:gridCol w:w="53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370"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bookmarkStart w:id="131" w:name="_Toc515360520"/>
            <w:bookmarkStart w:id="132" w:name="_Toc515359546"/>
            <w:r>
              <w:rPr>
                <w:rFonts w:hint="default"/>
              </w:rPr>
              <w:t>工程</w:t>
            </w:r>
          </w:p>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类别</w:t>
            </w:r>
          </w:p>
        </w:tc>
        <w:tc>
          <w:tcPr>
            <w:tcW w:w="620"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项目名称</w:t>
            </w:r>
          </w:p>
        </w:tc>
        <w:tc>
          <w:tcPr>
            <w:tcW w:w="2120"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lang w:eastAsia="zh-CN"/>
              </w:rPr>
              <w:t>环评申报</w:t>
            </w:r>
            <w:r>
              <w:rPr>
                <w:rFonts w:hint="default"/>
              </w:rPr>
              <w:t>工程内容及规模</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lang w:eastAsia="zh-CN"/>
              </w:rPr>
            </w:pPr>
            <w:r>
              <w:rPr>
                <w:rFonts w:hint="default"/>
                <w:lang w:eastAsia="zh-CN"/>
              </w:rPr>
              <w:t>实际建设内容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 w:hRule="atLeast"/>
        </w:trPr>
        <w:tc>
          <w:tcPr>
            <w:tcW w:w="370" w:type="pct"/>
            <w:vMerge w:val="restar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主体工程</w:t>
            </w:r>
          </w:p>
        </w:tc>
        <w:tc>
          <w:tcPr>
            <w:tcW w:w="620" w:type="pct"/>
            <w:tcBorders>
              <w:tl2br w:val="nil"/>
              <w:tr2bl w:val="nil"/>
            </w:tcBorders>
            <w:vAlign w:val="center"/>
          </w:tcPr>
          <w:p>
            <w:pPr>
              <w:pStyle w:val="38"/>
              <w:adjustRightInd/>
              <w:spacing w:line="240" w:lineRule="auto"/>
              <w:ind w:firstLine="0" w:firstLineChars="0"/>
              <w:jc w:val="center"/>
              <w:rPr>
                <w:rFonts w:hint="default"/>
              </w:rPr>
            </w:pP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1#车间</w:t>
            </w:r>
          </w:p>
        </w:tc>
        <w:tc>
          <w:tcPr>
            <w:tcW w:w="2120" w:type="pct"/>
            <w:tcBorders>
              <w:tl2br w:val="nil"/>
              <w:tr2bl w:val="nil"/>
            </w:tcBorders>
            <w:vAlign w:val="center"/>
          </w:tcPr>
          <w:p>
            <w:pPr>
              <w:pStyle w:val="38"/>
              <w:adjustRightInd/>
              <w:spacing w:line="240" w:lineRule="auto"/>
              <w:ind w:firstLine="0" w:firstLineChars="0"/>
              <w:jc w:val="center"/>
              <w:rPr>
                <w:rFonts w:hint="default" w:ascii="Times New Roman" w:hAnsi="Times New Roman" w:eastAsia="宋体" w:cs="Times New Roman"/>
                <w:color w:val="000000"/>
                <w:spacing w:val="0"/>
                <w:w w:val="100"/>
                <w:position w:val="0"/>
                <w:sz w:val="21"/>
                <w:szCs w:val="21"/>
                <w:lang w:val="en-US" w:eastAsia="zh-CN"/>
              </w:rPr>
            </w:pPr>
            <w:r>
              <w:rPr>
                <w:rFonts w:hint="default" w:ascii="Times New Roman" w:hAnsi="Times New Roman" w:eastAsia="宋体" w:cs="Times New Roman"/>
                <w:color w:val="000000" w:themeColor="text1"/>
                <w:sz w:val="21"/>
                <w:szCs w:val="21"/>
                <w14:textFill>
                  <w14:solidFill>
                    <w14:schemeClr w14:val="tx1"/>
                  </w14:solidFill>
                </w14:textFill>
              </w:rPr>
              <w:t>位于</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14:textFill>
                  <w14:solidFill>
                    <w14:schemeClr w14:val="tx1"/>
                  </w14:solidFill>
                </w14:textFill>
              </w:rPr>
              <w:t>#车间，建筑面积14600m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r>
              <w:rPr>
                <w:rFonts w:hint="default" w:ascii="Times New Roman" w:hAnsi="Times New Roman" w:eastAsia="宋体" w:cs="Times New Roman"/>
                <w:color w:val="000000" w:themeColor="text1"/>
                <w:sz w:val="21"/>
                <w:szCs w:val="21"/>
                <w14:textFill>
                  <w14:solidFill>
                    <w14:schemeClr w14:val="tx1"/>
                  </w14:solidFill>
                </w14:textFill>
              </w:rPr>
              <w:t>，布置碱洗池（</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1处，</w:t>
            </w:r>
            <w:r>
              <w:rPr>
                <w:rFonts w:hint="default" w:ascii="Times New Roman" w:hAnsi="Times New Roman" w:eastAsia="宋体" w:cs="Times New Roman"/>
                <w:color w:val="000000" w:themeColor="text1"/>
                <w:sz w:val="21"/>
                <w:szCs w:val="21"/>
                <w14:textFill>
                  <w14:solidFill>
                    <w14:schemeClr w14:val="tx1"/>
                  </w14:solidFill>
                </w14:textFill>
              </w:rPr>
              <w:t>规格</w:t>
            </w:r>
            <w:r>
              <w:rPr>
                <w:rFonts w:hint="default" w:ascii="Times New Roman" w:hAnsi="Times New Roman" w:eastAsia="宋体" w:cs="Times New Roman"/>
                <w:color w:val="000000" w:themeColor="text1"/>
                <w:sz w:val="21"/>
                <w:szCs w:val="21"/>
                <w:lang w:eastAsia="zh-CN"/>
                <w14:textFill>
                  <w14:solidFill>
                    <w14:schemeClr w14:val="tx1"/>
                  </w14:solidFill>
                </w14:textFill>
              </w:rPr>
              <w:t>14.7m×2.2m×3.31m</w:t>
            </w:r>
            <w:r>
              <w:rPr>
                <w:rFonts w:hint="default" w:ascii="Times New Roman" w:hAnsi="Times New Roman" w:eastAsia="宋体" w:cs="Times New Roman"/>
                <w:color w:val="000000" w:themeColor="text1"/>
                <w:sz w:val="21"/>
                <w:szCs w:val="21"/>
                <w14:textFill>
                  <w14:solidFill>
                    <w14:schemeClr w14:val="tx1"/>
                  </w14:solidFill>
                </w14:textFill>
              </w:rPr>
              <w:t>）、漂洗池（</w:t>
            </w:r>
            <w:r>
              <w:rPr>
                <w:rFonts w:hint="default" w:ascii="Times New Roman" w:hAnsi="Times New Roman" w:eastAsia="宋体" w:cs="Times New Roman"/>
                <w:color w:val="000000" w:themeColor="text1"/>
                <w:sz w:val="21"/>
                <w:szCs w:val="21"/>
                <w:lang w:eastAsia="zh-CN"/>
                <w14:textFill>
                  <w14:solidFill>
                    <w14:schemeClr w14:val="tx1"/>
                  </w14:solidFill>
                </w14:textFill>
              </w:rPr>
              <w:t>共计</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3座，</w:t>
            </w:r>
            <w:r>
              <w:rPr>
                <w:rFonts w:hint="default" w:ascii="Times New Roman" w:hAnsi="Times New Roman" w:eastAsia="宋体" w:cs="Times New Roman"/>
                <w:color w:val="000000" w:themeColor="text1"/>
                <w:sz w:val="21"/>
                <w:szCs w:val="21"/>
                <w14:textFill>
                  <w14:solidFill>
                    <w14:schemeClr w14:val="tx1"/>
                  </w14:solidFill>
                </w14:textFill>
              </w:rPr>
              <w:t>规格</w:t>
            </w:r>
            <w:r>
              <w:rPr>
                <w:rFonts w:hint="default" w:ascii="Times New Roman" w:hAnsi="Times New Roman" w:eastAsia="宋体" w:cs="Times New Roman"/>
                <w:color w:val="000000" w:themeColor="text1"/>
                <w:sz w:val="21"/>
                <w:szCs w:val="21"/>
                <w:lang w:eastAsia="zh-CN"/>
                <w14:textFill>
                  <w14:solidFill>
                    <w14:schemeClr w14:val="tx1"/>
                  </w14:solidFill>
                </w14:textFill>
              </w:rPr>
              <w:t>均为14.7m×2.2m×3.31m</w:t>
            </w:r>
            <w:r>
              <w:rPr>
                <w:rFonts w:hint="default" w:ascii="Times New Roman" w:hAnsi="Times New Roman" w:eastAsia="宋体" w:cs="Times New Roman"/>
                <w:color w:val="000000" w:themeColor="text1"/>
                <w:sz w:val="21"/>
                <w:szCs w:val="21"/>
                <w14:textFill>
                  <w14:solidFill>
                    <w14:schemeClr w14:val="tx1"/>
                  </w14:solidFill>
                </w14:textFill>
              </w:rPr>
              <w:t>）、酸洗池（</w:t>
            </w:r>
            <w:r>
              <w:rPr>
                <w:rFonts w:hint="default" w:ascii="Times New Roman" w:hAnsi="Times New Roman" w:eastAsia="宋体" w:cs="Times New Roman"/>
                <w:color w:val="000000" w:themeColor="text1"/>
                <w:sz w:val="21"/>
                <w:szCs w:val="21"/>
                <w:lang w:eastAsia="zh-CN"/>
                <w14:textFill>
                  <w14:solidFill>
                    <w14:schemeClr w14:val="tx1"/>
                  </w14:solidFill>
                </w14:textFill>
              </w:rPr>
              <w:t>共计</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8座，其中6座</w:t>
            </w:r>
            <w:r>
              <w:rPr>
                <w:rFonts w:hint="default" w:ascii="Times New Roman" w:hAnsi="Times New Roman" w:eastAsia="宋体" w:cs="Times New Roman"/>
                <w:color w:val="000000" w:themeColor="text1"/>
                <w:sz w:val="21"/>
                <w:szCs w:val="21"/>
                <w14:textFill>
                  <w14:solidFill>
                    <w14:schemeClr w14:val="tx1"/>
                  </w14:solidFill>
                </w14:textFill>
              </w:rPr>
              <w:t>规格</w:t>
            </w:r>
            <w:r>
              <w:rPr>
                <w:rFonts w:hint="default" w:ascii="Times New Roman" w:hAnsi="Times New Roman" w:eastAsia="宋体" w:cs="Times New Roman"/>
                <w:color w:val="000000" w:themeColor="text1"/>
                <w:sz w:val="21"/>
                <w:szCs w:val="21"/>
                <w:lang w:eastAsia="zh-CN"/>
                <w14:textFill>
                  <w14:solidFill>
                    <w14:schemeClr w14:val="tx1"/>
                  </w14:solidFill>
                </w14:textFill>
              </w:rPr>
              <w:t>为14.7m×2.2m×3.31m，余下</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2座规格为14.7m×4.4m×3.31m</w:t>
            </w:r>
            <w:r>
              <w:rPr>
                <w:rFonts w:hint="default" w:ascii="Times New Roman" w:hAnsi="Times New Roman" w:eastAsia="宋体" w:cs="Times New Roman"/>
                <w:color w:val="000000" w:themeColor="text1"/>
                <w:sz w:val="21"/>
                <w:szCs w:val="21"/>
                <w14:textFill>
                  <w14:solidFill>
                    <w14:schemeClr w14:val="tx1"/>
                  </w14:solidFill>
                </w14:textFill>
              </w:rPr>
              <w:t>）、助镀池（</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1座、</w:t>
            </w:r>
            <w:r>
              <w:rPr>
                <w:rFonts w:hint="default" w:ascii="Times New Roman" w:hAnsi="Times New Roman" w:eastAsia="宋体" w:cs="Times New Roman"/>
                <w:color w:val="000000" w:themeColor="text1"/>
                <w:sz w:val="21"/>
                <w:szCs w:val="21"/>
                <w14:textFill>
                  <w14:solidFill>
                    <w14:schemeClr w14:val="tx1"/>
                  </w14:solidFill>
                </w14:textFill>
              </w:rPr>
              <w:t>规格</w:t>
            </w:r>
            <w:r>
              <w:rPr>
                <w:rFonts w:hint="default" w:ascii="Times New Roman" w:hAnsi="Times New Roman" w:eastAsia="宋体" w:cs="Times New Roman"/>
                <w:color w:val="000000" w:themeColor="text1"/>
                <w:sz w:val="21"/>
                <w:szCs w:val="21"/>
                <w:lang w:eastAsia="zh-CN"/>
                <w14:textFill>
                  <w14:solidFill>
                    <w14:schemeClr w14:val="tx1"/>
                  </w14:solidFill>
                </w14:textFill>
              </w:rPr>
              <w:t>为14.7m×2.2m×3.31m</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default" w:ascii="Times New Roman" w:hAnsi="Times New Roman" w:eastAsia="宋体" w:cs="Times New Roman"/>
                <w:color w:val="000000" w:themeColor="text1"/>
                <w:sz w:val="21"/>
                <w:szCs w:val="21"/>
                <w:lang w:eastAsia="zh-CN"/>
                <w14:textFill>
                  <w14:solidFill>
                    <w14:schemeClr w14:val="tx1"/>
                  </w14:solidFill>
                </w14:textFill>
              </w:rPr>
              <w:t>转换</w:t>
            </w:r>
            <w:r>
              <w:rPr>
                <w:rFonts w:hint="default" w:ascii="Times New Roman" w:hAnsi="Times New Roman" w:eastAsia="宋体" w:cs="Times New Roman"/>
                <w:color w:val="000000" w:themeColor="text1"/>
                <w:sz w:val="21"/>
                <w:szCs w:val="21"/>
                <w14:textFill>
                  <w14:solidFill>
                    <w14:schemeClr w14:val="tx1"/>
                  </w14:solidFill>
                </w14:textFill>
              </w:rPr>
              <w:t>坑（</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2处，</w:t>
            </w:r>
            <w:r>
              <w:rPr>
                <w:rFonts w:hint="default" w:ascii="Times New Roman" w:hAnsi="Times New Roman" w:eastAsia="宋体" w:cs="Times New Roman"/>
                <w:color w:val="000000" w:themeColor="text1"/>
                <w:sz w:val="21"/>
                <w:szCs w:val="21"/>
                <w14:textFill>
                  <w14:solidFill>
                    <w14:schemeClr w14:val="tx1"/>
                  </w14:solidFill>
                </w14:textFill>
              </w:rPr>
              <w:t>规格</w:t>
            </w:r>
            <w:r>
              <w:rPr>
                <w:rFonts w:hint="default" w:ascii="Times New Roman" w:hAnsi="Times New Roman" w:eastAsia="宋体" w:cs="Times New Roman"/>
                <w:color w:val="000000" w:themeColor="text1"/>
                <w:sz w:val="21"/>
                <w:szCs w:val="21"/>
                <w:lang w:eastAsia="zh-CN"/>
                <w14:textFill>
                  <w14:solidFill>
                    <w14:schemeClr w14:val="tx1"/>
                  </w14:solidFill>
                </w14:textFill>
              </w:rPr>
              <w:t>分别为：14.9m×12m×5.65m、14.9m×8.5m×5.65m</w:t>
            </w:r>
            <w:r>
              <w:rPr>
                <w:rFonts w:hint="default" w:ascii="Times New Roman" w:hAnsi="Times New Roman" w:eastAsia="宋体" w:cs="Times New Roman"/>
                <w:color w:val="000000" w:themeColor="text1"/>
                <w:sz w:val="21"/>
                <w:szCs w:val="21"/>
                <w14:textFill>
                  <w14:solidFill>
                    <w14:schemeClr w14:val="tx1"/>
                  </w14:solidFill>
                </w14:textFill>
              </w:rPr>
              <w:t>）、锌锅（</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1座，</w:t>
            </w:r>
            <w:r>
              <w:rPr>
                <w:rFonts w:hint="default" w:ascii="Times New Roman" w:hAnsi="Times New Roman" w:eastAsia="宋体" w:cs="Times New Roman"/>
                <w:color w:val="000000" w:themeColor="text1"/>
                <w:sz w:val="21"/>
                <w:szCs w:val="21"/>
                <w14:textFill>
                  <w14:solidFill>
                    <w14:schemeClr w14:val="tx1"/>
                  </w14:solidFill>
                </w14:textFill>
              </w:rPr>
              <w:t>规格</w:t>
            </w:r>
            <w:r>
              <w:rPr>
                <w:rFonts w:hint="default" w:ascii="Times New Roman" w:hAnsi="Times New Roman" w:eastAsia="宋体" w:cs="Times New Roman"/>
                <w:color w:val="000000" w:themeColor="text1"/>
                <w:sz w:val="21"/>
                <w:szCs w:val="21"/>
                <w:lang w:eastAsia="zh-CN"/>
                <w14:textFill>
                  <w14:solidFill>
                    <w14:schemeClr w14:val="tx1"/>
                  </w14:solidFill>
                </w14:textFill>
              </w:rPr>
              <w:t>为13.5m×2.2m×3.31m</w:t>
            </w:r>
            <w:r>
              <w:rPr>
                <w:rFonts w:hint="default" w:ascii="Times New Roman" w:hAnsi="Times New Roman" w:eastAsia="宋体" w:cs="Times New Roman"/>
                <w:color w:val="000000" w:themeColor="text1"/>
                <w:sz w:val="21"/>
                <w:szCs w:val="21"/>
                <w14:textFill>
                  <w14:solidFill>
                    <w14:schemeClr w14:val="tx1"/>
                  </w14:solidFill>
                </w14:textFill>
              </w:rPr>
              <w:t>）、冷却池（</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1座、</w:t>
            </w:r>
            <w:r>
              <w:rPr>
                <w:rFonts w:hint="default" w:ascii="Times New Roman" w:hAnsi="Times New Roman" w:eastAsia="宋体" w:cs="Times New Roman"/>
                <w:color w:val="000000" w:themeColor="text1"/>
                <w:sz w:val="21"/>
                <w:szCs w:val="21"/>
                <w14:textFill>
                  <w14:solidFill>
                    <w14:schemeClr w14:val="tx1"/>
                  </w14:solidFill>
                </w14:textFill>
              </w:rPr>
              <w:t>规格13.8m×2.5m×3.31m）、钝化池（</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2座，</w:t>
            </w:r>
            <w:r>
              <w:rPr>
                <w:rFonts w:hint="default" w:ascii="Times New Roman" w:hAnsi="Times New Roman" w:eastAsia="宋体" w:cs="Times New Roman"/>
                <w:color w:val="000000" w:themeColor="text1"/>
                <w:sz w:val="21"/>
                <w:szCs w:val="21"/>
                <w14:textFill>
                  <w14:solidFill>
                    <w14:schemeClr w14:val="tx1"/>
                  </w14:solidFill>
                </w14:textFill>
              </w:rPr>
              <w:t>规格13.8m×2.5m×3.31m）等</w:t>
            </w:r>
            <w:r>
              <w:rPr>
                <w:rFonts w:hint="default" w:ascii="Times New Roman" w:hAnsi="Times New Roman" w:eastAsia="宋体" w:cs="Times New Roman"/>
                <w:color w:val="000000" w:themeColor="text1"/>
                <w:sz w:val="21"/>
                <w:szCs w:val="21"/>
                <w:lang w:eastAsia="zh-CN"/>
                <w14:textFill>
                  <w14:solidFill>
                    <w14:schemeClr w14:val="tx1"/>
                  </w14:solidFill>
                </w14:textFill>
              </w:rPr>
              <w:t>，建成后年处理</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10万吨金属结构件</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宋体" w:hAnsi="宋体" w:eastAsia="宋体" w:cs="宋体"/>
                <w:color w:val="000000"/>
                <w:spacing w:val="0"/>
                <w:w w:val="100"/>
                <w:position w:val="0"/>
                <w:sz w:val="21"/>
                <w:szCs w:val="21"/>
                <w:lang w:val="en-US" w:eastAsia="zh-CN"/>
              </w:rPr>
            </w:pPr>
            <w:r>
              <w:rPr>
                <w:rFonts w:hint="default" w:ascii="Times New Roman" w:hAnsi="Times New Roman" w:eastAsia="宋体" w:cs="Times New Roman"/>
                <w:color w:val="000000" w:themeColor="text1"/>
                <w:sz w:val="21"/>
                <w:szCs w:val="21"/>
                <w14:textFill>
                  <w14:solidFill>
                    <w14:schemeClr w14:val="tx1"/>
                  </w14:solidFill>
                </w14:textFill>
              </w:rPr>
              <w:t>位于</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14:textFill>
                  <w14:solidFill>
                    <w14:schemeClr w14:val="tx1"/>
                  </w14:solidFill>
                </w14:textFill>
              </w:rPr>
              <w:t>#车间，建筑面积14600m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r>
              <w:rPr>
                <w:rFonts w:hint="default" w:ascii="Times New Roman" w:hAnsi="Times New Roman" w:eastAsia="宋体" w:cs="Times New Roman"/>
                <w:color w:val="000000" w:themeColor="text1"/>
                <w:sz w:val="21"/>
                <w:szCs w:val="21"/>
                <w14:textFill>
                  <w14:solidFill>
                    <w14:schemeClr w14:val="tx1"/>
                  </w14:solidFill>
                </w14:textFill>
              </w:rPr>
              <w:t>，布置碱洗池（</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1处，</w:t>
            </w:r>
            <w:r>
              <w:rPr>
                <w:rFonts w:hint="default" w:ascii="Times New Roman" w:hAnsi="Times New Roman" w:eastAsia="宋体" w:cs="Times New Roman"/>
                <w:color w:val="000000" w:themeColor="text1"/>
                <w:sz w:val="21"/>
                <w:szCs w:val="21"/>
                <w14:textFill>
                  <w14:solidFill>
                    <w14:schemeClr w14:val="tx1"/>
                  </w14:solidFill>
                </w14:textFill>
              </w:rPr>
              <w:t>规格</w:t>
            </w:r>
            <w:r>
              <w:rPr>
                <w:rFonts w:hint="default" w:ascii="Times New Roman" w:hAnsi="Times New Roman" w:eastAsia="宋体" w:cs="Times New Roman"/>
                <w:color w:val="000000" w:themeColor="text1"/>
                <w:sz w:val="21"/>
                <w:szCs w:val="21"/>
                <w:lang w:eastAsia="zh-CN"/>
                <w14:textFill>
                  <w14:solidFill>
                    <w14:schemeClr w14:val="tx1"/>
                  </w14:solidFill>
                </w14:textFill>
              </w:rPr>
              <w:t>14.7m×2.2m×3.31m</w:t>
            </w:r>
            <w:r>
              <w:rPr>
                <w:rFonts w:hint="default" w:ascii="Times New Roman" w:hAnsi="Times New Roman" w:eastAsia="宋体" w:cs="Times New Roman"/>
                <w:color w:val="000000" w:themeColor="text1"/>
                <w:sz w:val="21"/>
                <w:szCs w:val="21"/>
                <w14:textFill>
                  <w14:solidFill>
                    <w14:schemeClr w14:val="tx1"/>
                  </w14:solidFill>
                </w14:textFill>
              </w:rPr>
              <w:t>）、漂洗池（</w:t>
            </w:r>
            <w:r>
              <w:rPr>
                <w:rFonts w:hint="default" w:ascii="Times New Roman" w:hAnsi="Times New Roman" w:eastAsia="宋体" w:cs="Times New Roman"/>
                <w:color w:val="000000" w:themeColor="text1"/>
                <w:sz w:val="21"/>
                <w:szCs w:val="21"/>
                <w:lang w:eastAsia="zh-CN"/>
                <w14:textFill>
                  <w14:solidFill>
                    <w14:schemeClr w14:val="tx1"/>
                  </w14:solidFill>
                </w14:textFill>
              </w:rPr>
              <w:t>共计</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3座，</w:t>
            </w:r>
            <w:r>
              <w:rPr>
                <w:rFonts w:hint="default" w:ascii="Times New Roman" w:hAnsi="Times New Roman" w:eastAsia="宋体" w:cs="Times New Roman"/>
                <w:color w:val="000000" w:themeColor="text1"/>
                <w:sz w:val="21"/>
                <w:szCs w:val="21"/>
                <w14:textFill>
                  <w14:solidFill>
                    <w14:schemeClr w14:val="tx1"/>
                  </w14:solidFill>
                </w14:textFill>
              </w:rPr>
              <w:t>规格</w:t>
            </w:r>
            <w:r>
              <w:rPr>
                <w:rFonts w:hint="default" w:ascii="Times New Roman" w:hAnsi="Times New Roman" w:eastAsia="宋体" w:cs="Times New Roman"/>
                <w:color w:val="000000" w:themeColor="text1"/>
                <w:sz w:val="21"/>
                <w:szCs w:val="21"/>
                <w:lang w:eastAsia="zh-CN"/>
                <w14:textFill>
                  <w14:solidFill>
                    <w14:schemeClr w14:val="tx1"/>
                  </w14:solidFill>
                </w14:textFill>
              </w:rPr>
              <w:t>均为14.7m×2.2m×3.31m</w:t>
            </w:r>
            <w:r>
              <w:rPr>
                <w:rFonts w:hint="default" w:ascii="Times New Roman" w:hAnsi="Times New Roman" w:eastAsia="宋体" w:cs="Times New Roman"/>
                <w:color w:val="000000" w:themeColor="text1"/>
                <w:sz w:val="21"/>
                <w:szCs w:val="21"/>
                <w14:textFill>
                  <w14:solidFill>
                    <w14:schemeClr w14:val="tx1"/>
                  </w14:solidFill>
                </w14:textFill>
              </w:rPr>
              <w:t>）、酸洗池（</w:t>
            </w:r>
            <w:r>
              <w:rPr>
                <w:rFonts w:hint="default" w:ascii="Times New Roman" w:hAnsi="Times New Roman" w:eastAsia="宋体" w:cs="Times New Roman"/>
                <w:color w:val="000000" w:themeColor="text1"/>
                <w:sz w:val="21"/>
                <w:szCs w:val="21"/>
                <w:lang w:eastAsia="zh-CN"/>
                <w14:textFill>
                  <w14:solidFill>
                    <w14:schemeClr w14:val="tx1"/>
                  </w14:solidFill>
                </w14:textFill>
              </w:rPr>
              <w:t>共计</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8座，其中6座</w:t>
            </w:r>
            <w:r>
              <w:rPr>
                <w:rFonts w:hint="default" w:ascii="Times New Roman" w:hAnsi="Times New Roman" w:eastAsia="宋体" w:cs="Times New Roman"/>
                <w:color w:val="000000" w:themeColor="text1"/>
                <w:sz w:val="21"/>
                <w:szCs w:val="21"/>
                <w14:textFill>
                  <w14:solidFill>
                    <w14:schemeClr w14:val="tx1"/>
                  </w14:solidFill>
                </w14:textFill>
              </w:rPr>
              <w:t>规格</w:t>
            </w:r>
            <w:r>
              <w:rPr>
                <w:rFonts w:hint="default" w:ascii="Times New Roman" w:hAnsi="Times New Roman" w:eastAsia="宋体" w:cs="Times New Roman"/>
                <w:color w:val="000000" w:themeColor="text1"/>
                <w:sz w:val="21"/>
                <w:szCs w:val="21"/>
                <w:lang w:eastAsia="zh-CN"/>
                <w14:textFill>
                  <w14:solidFill>
                    <w14:schemeClr w14:val="tx1"/>
                  </w14:solidFill>
                </w14:textFill>
              </w:rPr>
              <w:t>为14.7m×2.2m×3.31m，余下</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2座规格为14.7m×4.4m×3.31m</w:t>
            </w:r>
            <w:r>
              <w:rPr>
                <w:rFonts w:hint="default" w:ascii="Times New Roman" w:hAnsi="Times New Roman" w:eastAsia="宋体" w:cs="Times New Roman"/>
                <w:color w:val="000000" w:themeColor="text1"/>
                <w:sz w:val="21"/>
                <w:szCs w:val="21"/>
                <w14:textFill>
                  <w14:solidFill>
                    <w14:schemeClr w14:val="tx1"/>
                  </w14:solidFill>
                </w14:textFill>
              </w:rPr>
              <w:t>）、助镀池（</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1座、</w:t>
            </w:r>
            <w:r>
              <w:rPr>
                <w:rFonts w:hint="default" w:ascii="Times New Roman" w:hAnsi="Times New Roman" w:eastAsia="宋体" w:cs="Times New Roman"/>
                <w:color w:val="000000" w:themeColor="text1"/>
                <w:sz w:val="21"/>
                <w:szCs w:val="21"/>
                <w14:textFill>
                  <w14:solidFill>
                    <w14:schemeClr w14:val="tx1"/>
                  </w14:solidFill>
                </w14:textFill>
              </w:rPr>
              <w:t>规格</w:t>
            </w:r>
            <w:r>
              <w:rPr>
                <w:rFonts w:hint="default" w:ascii="Times New Roman" w:hAnsi="Times New Roman" w:eastAsia="宋体" w:cs="Times New Roman"/>
                <w:color w:val="000000" w:themeColor="text1"/>
                <w:sz w:val="21"/>
                <w:szCs w:val="21"/>
                <w:lang w:eastAsia="zh-CN"/>
                <w14:textFill>
                  <w14:solidFill>
                    <w14:schemeClr w14:val="tx1"/>
                  </w14:solidFill>
                </w14:textFill>
              </w:rPr>
              <w:t>为14.7m×2.2m×3.31m</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default" w:ascii="Times New Roman" w:hAnsi="Times New Roman" w:eastAsia="宋体" w:cs="Times New Roman"/>
                <w:color w:val="000000" w:themeColor="text1"/>
                <w:sz w:val="21"/>
                <w:szCs w:val="21"/>
                <w:lang w:eastAsia="zh-CN"/>
                <w14:textFill>
                  <w14:solidFill>
                    <w14:schemeClr w14:val="tx1"/>
                  </w14:solidFill>
                </w14:textFill>
              </w:rPr>
              <w:t>转换</w:t>
            </w:r>
            <w:r>
              <w:rPr>
                <w:rFonts w:hint="default" w:ascii="Times New Roman" w:hAnsi="Times New Roman" w:eastAsia="宋体" w:cs="Times New Roman"/>
                <w:color w:val="000000" w:themeColor="text1"/>
                <w:sz w:val="21"/>
                <w:szCs w:val="21"/>
                <w14:textFill>
                  <w14:solidFill>
                    <w14:schemeClr w14:val="tx1"/>
                  </w14:solidFill>
                </w14:textFill>
              </w:rPr>
              <w:t>坑（</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2处，</w:t>
            </w:r>
            <w:r>
              <w:rPr>
                <w:rFonts w:hint="default" w:ascii="Times New Roman" w:hAnsi="Times New Roman" w:eastAsia="宋体" w:cs="Times New Roman"/>
                <w:color w:val="000000" w:themeColor="text1"/>
                <w:sz w:val="21"/>
                <w:szCs w:val="21"/>
                <w14:textFill>
                  <w14:solidFill>
                    <w14:schemeClr w14:val="tx1"/>
                  </w14:solidFill>
                </w14:textFill>
              </w:rPr>
              <w:t>规格</w:t>
            </w:r>
            <w:r>
              <w:rPr>
                <w:rFonts w:hint="default" w:ascii="Times New Roman" w:hAnsi="Times New Roman" w:eastAsia="宋体" w:cs="Times New Roman"/>
                <w:color w:val="000000" w:themeColor="text1"/>
                <w:sz w:val="21"/>
                <w:szCs w:val="21"/>
                <w:lang w:eastAsia="zh-CN"/>
                <w14:textFill>
                  <w14:solidFill>
                    <w14:schemeClr w14:val="tx1"/>
                  </w14:solidFill>
                </w14:textFill>
              </w:rPr>
              <w:t>分别为：14.9m×12m×5.65m、14.9m×8.5m×5.65m</w:t>
            </w:r>
            <w:r>
              <w:rPr>
                <w:rFonts w:hint="default" w:ascii="Times New Roman" w:hAnsi="Times New Roman" w:eastAsia="宋体" w:cs="Times New Roman"/>
                <w:color w:val="000000" w:themeColor="text1"/>
                <w:sz w:val="21"/>
                <w:szCs w:val="21"/>
                <w14:textFill>
                  <w14:solidFill>
                    <w14:schemeClr w14:val="tx1"/>
                  </w14:solidFill>
                </w14:textFill>
              </w:rPr>
              <w:t>）、锌锅（</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1座，</w:t>
            </w:r>
            <w:r>
              <w:rPr>
                <w:rFonts w:hint="default" w:ascii="Times New Roman" w:hAnsi="Times New Roman" w:eastAsia="宋体" w:cs="Times New Roman"/>
                <w:color w:val="000000" w:themeColor="text1"/>
                <w:sz w:val="21"/>
                <w:szCs w:val="21"/>
                <w14:textFill>
                  <w14:solidFill>
                    <w14:schemeClr w14:val="tx1"/>
                  </w14:solidFill>
                </w14:textFill>
              </w:rPr>
              <w:t>规格</w:t>
            </w:r>
            <w:r>
              <w:rPr>
                <w:rFonts w:hint="default" w:ascii="Times New Roman" w:hAnsi="Times New Roman" w:eastAsia="宋体" w:cs="Times New Roman"/>
                <w:color w:val="000000" w:themeColor="text1"/>
                <w:sz w:val="21"/>
                <w:szCs w:val="21"/>
                <w:lang w:eastAsia="zh-CN"/>
                <w14:textFill>
                  <w14:solidFill>
                    <w14:schemeClr w14:val="tx1"/>
                  </w14:solidFill>
                </w14:textFill>
              </w:rPr>
              <w:t>为13.5m×2.2m×3.31m</w:t>
            </w:r>
            <w:r>
              <w:rPr>
                <w:rFonts w:hint="default" w:ascii="Times New Roman" w:hAnsi="Times New Roman" w:eastAsia="宋体" w:cs="Times New Roman"/>
                <w:color w:val="000000" w:themeColor="text1"/>
                <w:sz w:val="21"/>
                <w:szCs w:val="21"/>
                <w14:textFill>
                  <w14:solidFill>
                    <w14:schemeClr w14:val="tx1"/>
                  </w14:solidFill>
                </w14:textFill>
              </w:rPr>
              <w:t>）、冷却池（</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1座、</w:t>
            </w:r>
            <w:r>
              <w:rPr>
                <w:rFonts w:hint="default" w:ascii="Times New Roman" w:hAnsi="Times New Roman" w:eastAsia="宋体" w:cs="Times New Roman"/>
                <w:color w:val="000000" w:themeColor="text1"/>
                <w:sz w:val="21"/>
                <w:szCs w:val="21"/>
                <w14:textFill>
                  <w14:solidFill>
                    <w14:schemeClr w14:val="tx1"/>
                  </w14:solidFill>
                </w14:textFill>
              </w:rPr>
              <w:t>规格13.8m×2.5m×3.31m）、钝化池（</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2座，</w:t>
            </w:r>
            <w:r>
              <w:rPr>
                <w:rFonts w:hint="default" w:ascii="Times New Roman" w:hAnsi="Times New Roman" w:eastAsia="宋体" w:cs="Times New Roman"/>
                <w:color w:val="000000" w:themeColor="text1"/>
                <w:sz w:val="21"/>
                <w:szCs w:val="21"/>
                <w14:textFill>
                  <w14:solidFill>
                    <w14:schemeClr w14:val="tx1"/>
                  </w14:solidFill>
                </w14:textFill>
              </w:rPr>
              <w:t>规格13.8m×2.5m×3.31m）等</w:t>
            </w:r>
            <w:r>
              <w:rPr>
                <w:rFonts w:hint="default" w:ascii="Times New Roman" w:hAnsi="Times New Roman" w:eastAsia="宋体" w:cs="Times New Roman"/>
                <w:color w:val="000000" w:themeColor="text1"/>
                <w:sz w:val="21"/>
                <w:szCs w:val="21"/>
                <w:lang w:eastAsia="zh-CN"/>
                <w14:textFill>
                  <w14:solidFill>
                    <w14:schemeClr w14:val="tx1"/>
                  </w14:solidFill>
                </w14:textFill>
              </w:rPr>
              <w:t>，建成后年处理</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10万吨金属结构件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70" w:type="pct"/>
            <w:vMerge w:val="continue"/>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620" w:type="pct"/>
            <w:tcBorders>
              <w:tl2br w:val="nil"/>
              <w:tr2bl w:val="nil"/>
            </w:tcBorders>
            <w:vAlign w:val="center"/>
          </w:tcPr>
          <w:p>
            <w:pPr>
              <w:pStyle w:val="38"/>
              <w:adjustRightIn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2#车间</w:t>
            </w:r>
          </w:p>
        </w:tc>
        <w:tc>
          <w:tcPr>
            <w:tcW w:w="2120" w:type="pct"/>
            <w:tcBorders>
              <w:tl2br w:val="nil"/>
              <w:tr2bl w:val="nil"/>
            </w:tcBorders>
            <w:vAlign w:val="center"/>
          </w:tcPr>
          <w:p>
            <w:pPr>
              <w:pStyle w:val="38"/>
              <w:adjustRightIn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暂未规划，后期规划完成后另行环评</w:t>
            </w:r>
          </w:p>
        </w:tc>
        <w:tc>
          <w:tcPr>
            <w:tcW w:w="188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val="en-US" w:eastAsia="zh-CN"/>
              </w:rPr>
            </w:pPr>
            <w:r>
              <w:rPr>
                <w:rFonts w:hint="eastAsia"/>
                <w:lang w:eastAsia="zh-CN"/>
              </w:rPr>
              <w:t>未建设，不属于本次验收范围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 w:hRule="atLeast"/>
        </w:trPr>
        <w:tc>
          <w:tcPr>
            <w:tcW w:w="370"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辅助工程</w:t>
            </w:r>
          </w:p>
        </w:tc>
        <w:tc>
          <w:tcPr>
            <w:tcW w:w="620" w:type="pct"/>
            <w:tcBorders>
              <w:tl2br w:val="nil"/>
              <w:tr2bl w:val="nil"/>
            </w:tcBorders>
            <w:vAlign w:val="center"/>
          </w:tcPr>
          <w:p>
            <w:pPr>
              <w:pStyle w:val="38"/>
              <w:adjustRightInd/>
              <w:spacing w:line="240" w:lineRule="auto"/>
              <w:ind w:firstLine="0" w:firstLineChars="0"/>
              <w:jc w:val="center"/>
              <w:rPr>
                <w:rFonts w:hint="default" w:ascii="Times New Roman" w:hAnsi="Times New Roman" w:eastAsia="宋体" w:cs="Times New Roman"/>
                <w:color w:val="000000" w:themeColor="text1"/>
                <w:kern w:val="0"/>
                <w:sz w:val="21"/>
                <w:szCs w:val="21"/>
                <w:lang w:val="zh-CN"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综合楼</w:t>
            </w:r>
          </w:p>
        </w:tc>
        <w:tc>
          <w:tcPr>
            <w:tcW w:w="2120" w:type="pct"/>
            <w:tcBorders>
              <w:tl2br w:val="nil"/>
              <w:tr2bl w:val="nil"/>
            </w:tcBorders>
            <w:vAlign w:val="center"/>
          </w:tcPr>
          <w:p>
            <w:pPr>
              <w:pStyle w:val="38"/>
              <w:adjustRightInd/>
              <w:spacing w:line="240" w:lineRule="auto"/>
              <w:ind w:firstLine="0" w:firstLineChars="0"/>
              <w:jc w:val="center"/>
              <w:rPr>
                <w:rFonts w:hint="default" w:ascii="Times New Roman" w:hAnsi="Times New Roman" w:eastAsia="宋体" w:cs="Times New Roman"/>
                <w:color w:val="000000" w:themeColor="text1"/>
                <w:kern w:val="0"/>
                <w:sz w:val="21"/>
                <w:szCs w:val="21"/>
                <w:lang w:val="zh-CN"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3F，建筑面积1150m</w:t>
            </w:r>
            <w:r>
              <w:rPr>
                <w:rFonts w:hint="default" w:ascii="Times New Roman" w:hAnsi="Times New Roman" w:eastAsia="宋体" w:cs="Times New Roman"/>
                <w:color w:val="000000" w:themeColor="text1"/>
                <w:kern w:val="0"/>
                <w:sz w:val="21"/>
                <w:szCs w:val="21"/>
                <w:vertAlign w:val="superscript"/>
                <w:lang w:val="en-US" w:eastAsia="zh-CN" w:bidi="ar-SA"/>
                <w14:textFill>
                  <w14:solidFill>
                    <w14:schemeClr w14:val="tx1"/>
                  </w14:solidFill>
                </w14:textFill>
              </w:rPr>
              <w:t>2</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，用于员工办公使用，厂区不住宿</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eastAsia="宋体" w:cs="Times New Roman"/>
                <w:kern w:val="2"/>
                <w:sz w:val="21"/>
                <w:szCs w:val="24"/>
                <w:lang w:val="en-US" w:eastAsia="zh-CN" w:bidi="ar-SA"/>
              </w:rPr>
            </w:pPr>
            <w:r>
              <w:rPr>
                <w:rFonts w:hint="eastAsia" w:ascii="Times New Roman" w:hAnsi="Times New Roman" w:cs="Times New Roman"/>
                <w:kern w:val="2"/>
                <w:sz w:val="21"/>
                <w:szCs w:val="24"/>
                <w:lang w:val="en-US" w:eastAsia="zh-CN" w:bidi="ar-SA"/>
              </w:rPr>
              <w:t>与环评内容一致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370" w:type="pct"/>
            <w:vMerge w:val="restar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r>
              <w:rPr>
                <w:rFonts w:hint="eastAsia" w:eastAsia="宋体"/>
                <w:lang w:eastAsia="zh-CN"/>
              </w:rPr>
              <w:t>储运工程</w:t>
            </w:r>
          </w:p>
        </w:tc>
        <w:tc>
          <w:tcPr>
            <w:tcW w:w="620" w:type="pct"/>
            <w:tcBorders>
              <w:tl2br w:val="nil"/>
              <w:tr2bl w:val="nil"/>
            </w:tcBorders>
            <w:vAlign w:val="center"/>
          </w:tcPr>
          <w:p>
            <w:pPr>
              <w:jc w:val="center"/>
              <w:rPr>
                <w:rFonts w:hint="eastAsia" w:eastAsia="宋体"/>
                <w:lang w:eastAsia="zh-CN"/>
              </w:rPr>
            </w:pPr>
            <w:r>
              <w:rPr>
                <w:rFonts w:hint="default" w:ascii="Times New Roman" w:hAnsi="Times New Roman" w:eastAsia="宋体" w:cs="Times New Roman"/>
                <w:color w:val="000000" w:themeColor="text1"/>
                <w:sz w:val="21"/>
                <w:szCs w:val="21"/>
                <w14:textFill>
                  <w14:solidFill>
                    <w14:schemeClr w14:val="tx1"/>
                  </w14:solidFill>
                </w14:textFill>
              </w:rPr>
              <w:t>原料</w:t>
            </w:r>
            <w:r>
              <w:rPr>
                <w:rFonts w:hint="default" w:ascii="Times New Roman" w:hAnsi="Times New Roman" w:eastAsia="宋体" w:cs="Times New Roman"/>
                <w:color w:val="000000" w:themeColor="text1"/>
                <w:sz w:val="21"/>
                <w:szCs w:val="21"/>
                <w:lang w:eastAsia="zh-CN"/>
                <w14:textFill>
                  <w14:solidFill>
                    <w14:schemeClr w14:val="tx1"/>
                  </w14:solidFill>
                </w14:textFill>
              </w:rPr>
              <w:t>堆放区</w:t>
            </w:r>
          </w:p>
        </w:tc>
        <w:tc>
          <w:tcPr>
            <w:tcW w:w="2120" w:type="pct"/>
            <w:tcBorders>
              <w:tl2br w:val="nil"/>
              <w:tr2bl w:val="nil"/>
            </w:tcBorders>
            <w:vAlign w:val="center"/>
          </w:tcPr>
          <w:p>
            <w:pPr>
              <w:pStyle w:val="38"/>
              <w:adjustRightInd/>
              <w:spacing w:line="240" w:lineRule="auto"/>
              <w:ind w:left="0" w:leftChars="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位于1#车间内北侧，占地面积2000m</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14:textFill>
                  <w14:solidFill>
                    <w14:schemeClr w14:val="tx1"/>
                  </w14:solidFill>
                </w14:textFill>
              </w:rPr>
              <w:t>，用于</w:t>
            </w:r>
            <w:r>
              <w:rPr>
                <w:rFonts w:hint="default" w:ascii="Times New Roman" w:hAnsi="Times New Roman" w:eastAsia="宋体" w:cs="Times New Roman"/>
                <w:color w:val="000000" w:themeColor="text1"/>
                <w:sz w:val="21"/>
                <w:szCs w:val="21"/>
                <w:lang w:eastAsia="zh-CN"/>
                <w14:textFill>
                  <w14:solidFill>
                    <w14:schemeClr w14:val="tx1"/>
                  </w14:solidFill>
                </w14:textFill>
              </w:rPr>
              <w:t>待</w:t>
            </w:r>
            <w:r>
              <w:rPr>
                <w:rFonts w:hint="default" w:ascii="Times New Roman" w:hAnsi="Times New Roman" w:eastAsia="宋体" w:cs="Times New Roman"/>
                <w:color w:val="000000" w:themeColor="text1"/>
                <w:sz w:val="21"/>
                <w:szCs w:val="21"/>
                <w14:textFill>
                  <w14:solidFill>
                    <w14:schemeClr w14:val="tx1"/>
                  </w14:solidFill>
                </w14:textFill>
              </w:rPr>
              <w:t>镀锌</w:t>
            </w:r>
            <w:r>
              <w:rPr>
                <w:rFonts w:hint="default" w:ascii="Times New Roman" w:hAnsi="Times New Roman" w:eastAsia="宋体" w:cs="Times New Roman"/>
                <w:color w:val="000000" w:themeColor="text1"/>
                <w:sz w:val="21"/>
                <w:szCs w:val="21"/>
                <w:lang w:eastAsia="zh-CN"/>
                <w14:textFill>
                  <w14:solidFill>
                    <w14:schemeClr w14:val="tx1"/>
                  </w14:solidFill>
                </w14:textFill>
              </w:rPr>
              <w:t>件的存放</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eastAsiaTheme="minorEastAsia"/>
                <w:color w:val="000000"/>
                <w:spacing w:val="0"/>
                <w:w w:val="100"/>
                <w:kern w:val="2"/>
                <w:position w:val="0"/>
                <w:sz w:val="21"/>
                <w:szCs w:val="21"/>
                <w:lang w:val="en-US" w:eastAsia="zh-CN" w:bidi="zh-CN"/>
              </w:rPr>
            </w:pPr>
            <w:r>
              <w:rPr>
                <w:rFonts w:hint="eastAsia" w:ascii="Times New Roman" w:hAnsi="Times New Roman" w:cs="Times New Roman"/>
                <w:kern w:val="2"/>
                <w:sz w:val="21"/>
                <w:szCs w:val="24"/>
                <w:lang w:val="en-US" w:eastAsia="zh-CN" w:bidi="ar-SA"/>
              </w:rPr>
              <w:t>与环评内容一致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70" w:type="pct"/>
            <w:vMerge w:val="continue"/>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p>
        </w:tc>
        <w:tc>
          <w:tcPr>
            <w:tcW w:w="620" w:type="pct"/>
            <w:tcBorders>
              <w:tl2br w:val="nil"/>
              <w:tr2bl w:val="nil"/>
            </w:tcBorders>
            <w:vAlign w:val="center"/>
          </w:tcPr>
          <w:p>
            <w:pPr>
              <w:jc w:val="center"/>
              <w:rPr>
                <w:rFonts w:hint="eastAsia" w:eastAsia="宋体"/>
                <w:lang w:eastAsia="zh-CN"/>
              </w:rPr>
            </w:pPr>
            <w:r>
              <w:rPr>
                <w:rFonts w:hint="default" w:ascii="Times New Roman" w:hAnsi="Times New Roman" w:eastAsia="宋体" w:cs="Times New Roman"/>
                <w:color w:val="000000" w:themeColor="text1"/>
                <w:sz w:val="21"/>
                <w:szCs w:val="21"/>
                <w14:textFill>
                  <w14:solidFill>
                    <w14:schemeClr w14:val="tx1"/>
                  </w14:solidFill>
                </w14:textFill>
              </w:rPr>
              <w:t>成品/半成品</w:t>
            </w:r>
            <w:r>
              <w:rPr>
                <w:rFonts w:hint="default" w:ascii="Times New Roman" w:hAnsi="Times New Roman" w:eastAsia="宋体" w:cs="Times New Roman"/>
                <w:color w:val="000000" w:themeColor="text1"/>
                <w:sz w:val="21"/>
                <w:szCs w:val="21"/>
                <w:lang w:eastAsia="zh-CN"/>
                <w14:textFill>
                  <w14:solidFill>
                    <w14:schemeClr w14:val="tx1"/>
                  </w14:solidFill>
                </w14:textFill>
              </w:rPr>
              <w:t>堆放区</w:t>
            </w:r>
          </w:p>
        </w:tc>
        <w:tc>
          <w:tcPr>
            <w:tcW w:w="2120" w:type="pct"/>
            <w:tcBorders>
              <w:tl2br w:val="nil"/>
              <w:tr2bl w:val="nil"/>
            </w:tcBorders>
            <w:vAlign w:val="center"/>
          </w:tcPr>
          <w:p>
            <w:pPr>
              <w:pStyle w:val="38"/>
              <w:adjustRightInd/>
              <w:spacing w:line="240" w:lineRule="auto"/>
              <w:ind w:left="0" w:leftChars="0" w:firstLine="0" w:firstLineChars="0"/>
              <w:jc w:val="center"/>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用于镀锌完成的工件（白件）堆放，位于</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1#车间南侧，占地面积2000m</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cs="Times New Roman" w:eastAsiaTheme="minorEastAsia"/>
                <w:color w:val="000000"/>
                <w:spacing w:val="0"/>
                <w:w w:val="100"/>
                <w:kern w:val="2"/>
                <w:position w:val="0"/>
                <w:sz w:val="21"/>
                <w:szCs w:val="21"/>
                <w:lang w:val="zh-CN" w:eastAsia="zh-CN" w:bidi="zh-CN"/>
              </w:rPr>
            </w:pPr>
            <w:r>
              <w:rPr>
                <w:rFonts w:hint="eastAsia" w:ascii="Times New Roman" w:hAnsi="Times New Roman" w:cs="Times New Roman"/>
                <w:kern w:val="2"/>
                <w:sz w:val="21"/>
                <w:szCs w:val="24"/>
                <w:lang w:val="en-US" w:eastAsia="zh-CN" w:bidi="ar-SA"/>
              </w:rPr>
              <w:t>与环评内容一致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370" w:type="pct"/>
            <w:vMerge w:val="continue"/>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p>
        </w:tc>
        <w:tc>
          <w:tcPr>
            <w:tcW w:w="620" w:type="pct"/>
            <w:tcBorders>
              <w:tl2br w:val="nil"/>
              <w:tr2bl w:val="nil"/>
            </w:tcBorders>
            <w:vAlign w:val="center"/>
          </w:tcPr>
          <w:p>
            <w:pPr>
              <w:jc w:val="center"/>
              <w:rPr>
                <w:rFonts w:hint="eastAsia" w:eastAsia="宋体"/>
                <w:lang w:eastAsia="zh-CN"/>
              </w:rPr>
            </w:pPr>
            <w:r>
              <w:rPr>
                <w:rFonts w:hint="default" w:ascii="Times New Roman" w:hAnsi="Times New Roman" w:eastAsia="宋体" w:cs="Times New Roman"/>
                <w:color w:val="000000" w:themeColor="text1"/>
                <w:sz w:val="21"/>
                <w:szCs w:val="21"/>
                <w14:textFill>
                  <w14:solidFill>
                    <w14:schemeClr w14:val="tx1"/>
                  </w14:solidFill>
                </w14:textFill>
              </w:rPr>
              <w:t>仓库</w:t>
            </w:r>
          </w:p>
        </w:tc>
        <w:tc>
          <w:tcPr>
            <w:tcW w:w="2120" w:type="pct"/>
            <w:tcBorders>
              <w:tl2br w:val="nil"/>
              <w:tr2bl w:val="nil"/>
            </w:tcBorders>
            <w:vAlign w:val="center"/>
          </w:tcPr>
          <w:p>
            <w:pPr>
              <w:pStyle w:val="38"/>
              <w:adjustRightInd/>
              <w:spacing w:line="240" w:lineRule="auto"/>
              <w:ind w:left="0" w:leftChars="0" w:firstLine="0" w:firstLineChars="0"/>
              <w:jc w:val="center"/>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包括热镀锌需要使用的辅材仓库（</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2处，1#车间北侧、占地面积均为330m</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eastAsia="zh-CN"/>
                <w14:textFill>
                  <w14:solidFill>
                    <w14:schemeClr w14:val="tx1"/>
                  </w14:solidFill>
                </w14:textFill>
              </w:rPr>
              <w:t>）和设备维修需要的零配件仓库（</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1处，位于</w:t>
            </w:r>
            <w:r>
              <w:rPr>
                <w:rFonts w:hint="default" w:ascii="Times New Roman" w:hAnsi="Times New Roman" w:eastAsia="宋体" w:cs="Times New Roman"/>
                <w:color w:val="000000" w:themeColor="text1"/>
                <w:sz w:val="21"/>
                <w:szCs w:val="21"/>
                <w:lang w:eastAsia="zh-CN"/>
                <w14:textFill>
                  <w14:solidFill>
                    <w14:schemeClr w14:val="tx1"/>
                  </w14:solidFill>
                </w14:textFill>
              </w:rPr>
              <w:t>热镀锌需要使用的辅材仓库西侧，占地面积为</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400m</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cs="Times New Roman" w:eastAsiaTheme="minorEastAsia"/>
                <w:color w:val="000000"/>
                <w:spacing w:val="0"/>
                <w:w w:val="100"/>
                <w:kern w:val="2"/>
                <w:position w:val="0"/>
                <w:sz w:val="21"/>
                <w:szCs w:val="21"/>
                <w:lang w:val="zh-CN" w:eastAsia="zh-CN" w:bidi="zh-CN"/>
              </w:rPr>
            </w:pPr>
            <w:r>
              <w:rPr>
                <w:rFonts w:hint="default" w:ascii="Times New Roman" w:hAnsi="Times New Roman" w:eastAsia="宋体" w:cs="Times New Roman"/>
                <w:color w:val="000000" w:themeColor="text1"/>
                <w:sz w:val="21"/>
                <w:szCs w:val="21"/>
                <w:lang w:eastAsia="zh-CN"/>
                <w14:textFill>
                  <w14:solidFill>
                    <w14:schemeClr w14:val="tx1"/>
                  </w14:solidFill>
                </w14:textFill>
              </w:rPr>
              <w:t>包括热镀锌需要使用的辅材仓库（</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2处，1#车间北侧、占地面积均为330m</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eastAsia="zh-CN"/>
                <w14:textFill>
                  <w14:solidFill>
                    <w14:schemeClr w14:val="tx1"/>
                  </w14:solidFill>
                </w14:textFill>
              </w:rPr>
              <w:t>）和设备维修需要的零配件仓库（</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1处，位于</w:t>
            </w:r>
            <w:r>
              <w:rPr>
                <w:rFonts w:hint="default" w:ascii="Times New Roman" w:hAnsi="Times New Roman" w:eastAsia="宋体" w:cs="Times New Roman"/>
                <w:color w:val="000000" w:themeColor="text1"/>
                <w:sz w:val="21"/>
                <w:szCs w:val="21"/>
                <w:lang w:eastAsia="zh-CN"/>
                <w14:textFill>
                  <w14:solidFill>
                    <w14:schemeClr w14:val="tx1"/>
                  </w14:solidFill>
                </w14:textFill>
              </w:rPr>
              <w:t>热镀锌需要使用的辅材仓库西侧，占地面积为</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400m</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70" w:type="pct"/>
            <w:vMerge w:val="continue"/>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lang w:eastAsia="zh-CN"/>
              </w:rPr>
            </w:pPr>
          </w:p>
        </w:tc>
        <w:tc>
          <w:tcPr>
            <w:tcW w:w="620" w:type="pct"/>
            <w:tcBorders>
              <w:tl2br w:val="nil"/>
              <w:tr2bl w:val="nil"/>
            </w:tcBorders>
            <w:vAlign w:val="center"/>
          </w:tcPr>
          <w:p>
            <w:pPr>
              <w:jc w:val="center"/>
              <w:rPr>
                <w:rFonts w:hint="eastAsia" w:eastAsia="宋体"/>
                <w:lang w:eastAsia="zh-CN"/>
              </w:rPr>
            </w:pPr>
            <w:r>
              <w:rPr>
                <w:rFonts w:hint="default" w:ascii="Times New Roman" w:hAnsi="Times New Roman" w:eastAsia="宋体" w:cs="Times New Roman"/>
                <w:color w:val="000000" w:themeColor="text1"/>
                <w:sz w:val="21"/>
                <w:szCs w:val="21"/>
                <w:lang w:eastAsia="zh-CN"/>
                <w14:textFill>
                  <w14:solidFill>
                    <w14:schemeClr w14:val="tx1"/>
                  </w14:solidFill>
                </w14:textFill>
              </w:rPr>
              <w:t>整修区</w:t>
            </w:r>
          </w:p>
        </w:tc>
        <w:tc>
          <w:tcPr>
            <w:tcW w:w="2120" w:type="pct"/>
            <w:tcBorders>
              <w:tl2br w:val="nil"/>
              <w:tr2bl w:val="nil"/>
            </w:tcBorders>
            <w:vAlign w:val="center"/>
          </w:tcPr>
          <w:p>
            <w:pPr>
              <w:pStyle w:val="38"/>
              <w:adjustRightInd/>
              <w:spacing w:line="240" w:lineRule="auto"/>
              <w:ind w:left="0" w:leftChars="0" w:firstLine="0" w:firstLineChars="0"/>
              <w:jc w:val="center"/>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位于</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1#车间内地磅东北侧，占地面积400m</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，用于对使用过程中设备进行维修维护</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cs="Times New Roman" w:eastAsiaTheme="minorEastAsia"/>
                <w:color w:val="000000"/>
                <w:spacing w:val="0"/>
                <w:w w:val="100"/>
                <w:kern w:val="2"/>
                <w:position w:val="0"/>
                <w:sz w:val="21"/>
                <w:szCs w:val="21"/>
                <w:lang w:val="zh-CN" w:eastAsia="zh-CN" w:bidi="zh-CN"/>
              </w:rPr>
            </w:pPr>
            <w:r>
              <w:rPr>
                <w:rFonts w:hint="default" w:ascii="Times New Roman" w:hAnsi="Times New Roman" w:eastAsia="宋体" w:cs="Times New Roman"/>
                <w:color w:val="000000" w:themeColor="text1"/>
                <w:sz w:val="21"/>
                <w:szCs w:val="21"/>
                <w:lang w:eastAsia="zh-CN"/>
                <w14:textFill>
                  <w14:solidFill>
                    <w14:schemeClr w14:val="tx1"/>
                  </w14:solidFill>
                </w14:textFill>
              </w:rPr>
              <w:t>位于</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1#车间内地磅</w:t>
            </w:r>
            <w:r>
              <w:rPr>
                <w:rFonts w:hint="eastAsia" w:ascii="Times New Roman" w:hAnsi="Times New Roman" w:cs="Times New Roman"/>
                <w:color w:val="000000" w:themeColor="text1"/>
                <w:sz w:val="21"/>
                <w:szCs w:val="21"/>
                <w:lang w:val="en-US" w:eastAsia="zh-CN"/>
                <w14:textFill>
                  <w14:solidFill>
                    <w14:schemeClr w14:val="tx1"/>
                  </w14:solidFill>
                </w14:textFill>
              </w:rPr>
              <w:t>东</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侧，占地面积400m</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，用于对使用过程中设备进行维修维护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 w:hRule="atLeast"/>
        </w:trPr>
        <w:tc>
          <w:tcPr>
            <w:tcW w:w="370" w:type="pct"/>
            <w:vMerge w:val="restar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r>
              <w:rPr>
                <w:rFonts w:hint="eastAsia" w:eastAsia="宋体"/>
                <w:lang w:eastAsia="zh-CN"/>
              </w:rPr>
              <w:t>公用工程</w:t>
            </w:r>
          </w:p>
        </w:tc>
        <w:tc>
          <w:tcPr>
            <w:tcW w:w="620" w:type="pct"/>
            <w:tcBorders>
              <w:tl2br w:val="nil"/>
              <w:tr2bl w:val="nil"/>
            </w:tcBorders>
            <w:vAlign w:val="center"/>
          </w:tcPr>
          <w:p>
            <w:pPr>
              <w:pStyle w:val="38"/>
              <w:adjustRightInd/>
              <w:spacing w:line="240" w:lineRule="auto"/>
              <w:ind w:left="0" w:leftChars="0"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给排水</w:t>
            </w:r>
          </w:p>
        </w:tc>
        <w:tc>
          <w:tcPr>
            <w:tcW w:w="2120" w:type="pct"/>
            <w:tcBorders>
              <w:tl2br w:val="nil"/>
              <w:tr2bl w:val="nil"/>
            </w:tcBorders>
            <w:vAlign w:val="center"/>
          </w:tcPr>
          <w:p>
            <w:pPr>
              <w:pStyle w:val="38"/>
              <w:adjustRightInd/>
              <w:spacing w:line="240" w:lineRule="auto"/>
              <w:ind w:left="0" w:leftChars="0"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取水来自市政供水，排水实行雨污分流；雨水排至市政雨水管网；生产废水经厂区自建污水处理站（</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处理工艺：中和曝气+氧化+压滤，处理规模：50t/d</w:t>
            </w:r>
            <w:r>
              <w:rPr>
                <w:rFonts w:hint="default" w:ascii="Times New Roman" w:hAnsi="Times New Roman" w:eastAsia="宋体" w:cs="Times New Roman"/>
                <w:color w:val="000000" w:themeColor="text1"/>
                <w:sz w:val="21"/>
                <w:szCs w:val="21"/>
                <w:lang w:eastAsia="zh-CN"/>
                <w14:textFill>
                  <w14:solidFill>
                    <w14:schemeClr w14:val="tx1"/>
                  </w14:solidFill>
                </w14:textFill>
              </w:rPr>
              <w:t>）处理后回用不外排；生活污水经厂区化粪池预处理后排至市政污水管网进平桥污水处理厂处理达标排放</w:t>
            </w:r>
          </w:p>
        </w:tc>
        <w:tc>
          <w:tcPr>
            <w:tcW w:w="188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lang w:eastAsia="zh-CN"/>
              </w:rPr>
            </w:pPr>
            <w:r>
              <w:rPr>
                <w:rFonts w:hint="eastAsia" w:ascii="Times New Roman" w:hAnsi="Times New Roman" w:cs="Times New Roman"/>
                <w:kern w:val="2"/>
                <w:sz w:val="21"/>
                <w:szCs w:val="24"/>
                <w:lang w:val="en-US" w:eastAsia="zh-CN" w:bidi="ar-SA"/>
              </w:rPr>
              <w:t>与环评内容一致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70" w:type="pct"/>
            <w:vMerge w:val="continue"/>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620" w:type="pct"/>
            <w:tcBorders>
              <w:tl2br w:val="nil"/>
              <w:tr2bl w:val="nil"/>
            </w:tcBorders>
            <w:vAlign w:val="center"/>
          </w:tcPr>
          <w:p>
            <w:pPr>
              <w:pStyle w:val="38"/>
              <w:adjustRightInd/>
              <w:spacing w:line="240" w:lineRule="auto"/>
              <w:ind w:left="0" w:leftChars="0"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供电</w:t>
            </w:r>
          </w:p>
        </w:tc>
        <w:tc>
          <w:tcPr>
            <w:tcW w:w="2120" w:type="pct"/>
            <w:tcBorders>
              <w:tl2br w:val="nil"/>
              <w:tr2bl w:val="nil"/>
            </w:tcBorders>
            <w:vAlign w:val="center"/>
          </w:tcPr>
          <w:p>
            <w:pPr>
              <w:pStyle w:val="38"/>
              <w:adjustRightInd/>
              <w:spacing w:line="240" w:lineRule="auto"/>
              <w:ind w:left="0" w:leftChars="0"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市政供电，年供电500万度</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eastAsia" w:asciiTheme="minorEastAsia" w:hAnsiTheme="minorEastAsia" w:eastAsiaTheme="minorEastAsia" w:cstheme="minorEastAsia"/>
                <w:color w:val="000000"/>
                <w:spacing w:val="0"/>
                <w:w w:val="100"/>
                <w:kern w:val="2"/>
                <w:position w:val="0"/>
                <w:sz w:val="21"/>
                <w:szCs w:val="21"/>
                <w:lang w:val="zh-CN" w:eastAsia="zh-CN" w:bidi="zh-CN"/>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70" w:type="pct"/>
            <w:vMerge w:val="continue"/>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620" w:type="pct"/>
            <w:tcBorders>
              <w:tl2br w:val="nil"/>
              <w:tr2bl w:val="nil"/>
            </w:tcBorders>
            <w:vAlign w:val="center"/>
          </w:tcPr>
          <w:p>
            <w:pPr>
              <w:pStyle w:val="38"/>
              <w:adjustRightInd/>
              <w:spacing w:line="240" w:lineRule="auto"/>
              <w:ind w:left="0" w:leftChars="0" w:firstLine="0" w:firstLineChars="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冷却系统</w:t>
            </w:r>
          </w:p>
        </w:tc>
        <w:tc>
          <w:tcPr>
            <w:tcW w:w="2120" w:type="pct"/>
            <w:tcBorders>
              <w:tl2br w:val="nil"/>
              <w:tr2bl w:val="nil"/>
            </w:tcBorders>
            <w:vAlign w:val="center"/>
          </w:tcPr>
          <w:p>
            <w:pPr>
              <w:pStyle w:val="38"/>
              <w:adjustRightInd/>
              <w:spacing w:line="240" w:lineRule="auto"/>
              <w:ind w:left="0" w:leftChars="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为水冷，自建循环水喷淋塔</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sz w:val="21"/>
                <w:lang w:eastAsia="zh-CN"/>
              </w:rPr>
            </w:pPr>
            <w:r>
              <w:rPr>
                <w:rFonts w:hint="eastAsia" w:asciiTheme="minorEastAsia" w:hAnsiTheme="minorEastAsia" w:eastAsiaTheme="minorEastAsia" w:cstheme="minorEastAsia"/>
                <w:color w:val="000000"/>
                <w:spacing w:val="0"/>
                <w:w w:val="100"/>
                <w:kern w:val="2"/>
                <w:position w:val="0"/>
                <w:sz w:val="21"/>
                <w:szCs w:val="21"/>
                <w:lang w:val="zh-CN" w:eastAsia="zh-CN" w:bidi="zh-CN"/>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70" w:type="pct"/>
            <w:vMerge w:val="continue"/>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620" w:type="pct"/>
            <w:tcBorders>
              <w:tl2br w:val="nil"/>
              <w:tr2bl w:val="nil"/>
            </w:tcBorders>
            <w:vAlign w:val="center"/>
          </w:tcPr>
          <w:p>
            <w:pPr>
              <w:pStyle w:val="38"/>
              <w:adjustRightInd/>
              <w:spacing w:line="240" w:lineRule="auto"/>
              <w:ind w:left="0" w:leftChars="0" w:firstLine="0" w:firstLineChars="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供气</w:t>
            </w:r>
          </w:p>
        </w:tc>
        <w:tc>
          <w:tcPr>
            <w:tcW w:w="2120" w:type="pct"/>
            <w:tcBorders>
              <w:tl2br w:val="nil"/>
              <w:tr2bl w:val="nil"/>
            </w:tcBorders>
            <w:vAlign w:val="center"/>
          </w:tcPr>
          <w:p>
            <w:pPr>
              <w:pStyle w:val="38"/>
              <w:adjustRightInd/>
              <w:spacing w:line="240" w:lineRule="auto"/>
              <w:ind w:left="0" w:leftChars="0" w:firstLine="0" w:firstLineChars="0"/>
              <w:jc w:val="center"/>
              <w:rPr>
                <w:rFonts w:hint="eastAsia" w:ascii="Times New Roman" w:hAnsi="Times New Roman" w:eastAsia="宋体" w:cs="Times New Roman"/>
                <w:color w:val="000000" w:themeColor="text1"/>
                <w:sz w:val="21"/>
                <w:szCs w:val="21"/>
                <w:lang w:val="zh-CN"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平桥园区集中供气，年供气</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150</w:t>
            </w:r>
            <w:r>
              <w:rPr>
                <w:rFonts w:hint="default" w:ascii="Times New Roman" w:hAnsi="Times New Roman" w:eastAsia="宋体" w:cs="Times New Roman"/>
                <w:color w:val="000000" w:themeColor="text1"/>
                <w:sz w:val="21"/>
                <w:szCs w:val="21"/>
                <w:lang w:eastAsia="zh-CN"/>
                <w14:textFill>
                  <w14:solidFill>
                    <w14:schemeClr w14:val="tx1"/>
                  </w14:solidFill>
                </w14:textFill>
              </w:rPr>
              <w:t>万Nm</w:t>
            </w:r>
            <w:r>
              <w:rPr>
                <w:rFonts w:hint="default" w:ascii="Times New Roman" w:hAnsi="Times New Roman" w:eastAsia="宋体" w:cs="Times New Roman"/>
                <w:color w:val="000000" w:themeColor="text1"/>
                <w:sz w:val="21"/>
                <w:szCs w:val="21"/>
                <w:vertAlign w:val="superscript"/>
                <w:lang w:eastAsia="zh-CN"/>
                <w14:textFill>
                  <w14:solidFill>
                    <w14:schemeClr w14:val="tx1"/>
                  </w14:solidFill>
                </w14:textFill>
              </w:rPr>
              <w:t>3</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heme="minorEastAsia" w:hAnsiTheme="minorEastAsia" w:eastAsiaTheme="minorEastAsia" w:cstheme="minorEastAsia"/>
                <w:color w:val="000000"/>
                <w:spacing w:val="0"/>
                <w:w w:val="100"/>
                <w:kern w:val="2"/>
                <w:position w:val="0"/>
                <w:sz w:val="21"/>
                <w:szCs w:val="21"/>
                <w:lang w:val="zh-CN" w:eastAsia="zh-CN" w:bidi="zh-CN"/>
              </w:rPr>
            </w:pPr>
            <w:r>
              <w:rPr>
                <w:rFonts w:hint="eastAsia" w:asciiTheme="minorEastAsia" w:hAnsiTheme="minorEastAsia" w:eastAsiaTheme="minorEastAsia" w:cstheme="minorEastAsia"/>
                <w:color w:val="000000"/>
                <w:spacing w:val="0"/>
                <w:w w:val="100"/>
                <w:kern w:val="2"/>
                <w:position w:val="0"/>
                <w:sz w:val="21"/>
                <w:szCs w:val="21"/>
                <w:lang w:val="zh-CN" w:eastAsia="zh-CN" w:bidi="zh-CN"/>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70" w:type="pct"/>
            <w:vMerge w:val="restar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rPr>
              <w:t>环保工程</w:t>
            </w:r>
          </w:p>
        </w:tc>
        <w:tc>
          <w:tcPr>
            <w:tcW w:w="620" w:type="pct"/>
            <w:tcBorders>
              <w:tl2br w:val="nil"/>
              <w:tr2bl w:val="nil"/>
            </w:tcBorders>
            <w:vAlign w:val="center"/>
          </w:tcPr>
          <w:p>
            <w:pPr>
              <w:pStyle w:val="38"/>
              <w:adjustRightInd/>
              <w:spacing w:line="240" w:lineRule="auto"/>
              <w:ind w:left="0" w:leftChars="0"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废水治理</w:t>
            </w:r>
          </w:p>
        </w:tc>
        <w:tc>
          <w:tcPr>
            <w:tcW w:w="2120" w:type="pct"/>
            <w:tcBorders>
              <w:tl2br w:val="nil"/>
              <w:tr2bl w:val="nil"/>
            </w:tcBorders>
            <w:vAlign w:val="center"/>
          </w:tcPr>
          <w:p>
            <w:pPr>
              <w:pStyle w:val="38"/>
              <w:adjustRightInd/>
              <w:spacing w:line="240" w:lineRule="auto"/>
              <w:ind w:left="0" w:leftChars="0"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生产废水经场内自建的废水处理站处理后回用生产不外排，废水处理站处理工艺为：曝气+氧化+压滤；</w:t>
            </w:r>
          </w:p>
          <w:p>
            <w:pPr>
              <w:pStyle w:val="38"/>
              <w:adjustRightInd/>
              <w:spacing w:line="240" w:lineRule="auto"/>
              <w:ind w:left="0" w:leftChars="0" w:firstLine="0" w:firstLineChars="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生活污水经隔油池、化粪池预处理后排至平桥污水处理厂处理达标排放</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lang w:val="en-US" w:eastAsia="zh-CN"/>
              </w:rPr>
            </w:pPr>
            <w:r>
              <w:rPr>
                <w:rFonts w:hint="eastAsia" w:asciiTheme="minorEastAsia" w:hAnsiTheme="minorEastAsia" w:eastAsiaTheme="minorEastAsia" w:cstheme="minorEastAsia"/>
                <w:color w:val="000000"/>
                <w:spacing w:val="0"/>
                <w:w w:val="100"/>
                <w:kern w:val="2"/>
                <w:position w:val="0"/>
                <w:sz w:val="21"/>
                <w:szCs w:val="21"/>
                <w:lang w:val="zh-CN" w:eastAsia="zh-CN" w:bidi="zh-CN"/>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370" w:type="pct"/>
            <w:vMerge w:val="continue"/>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620" w:type="pct"/>
            <w:vMerge w:val="restart"/>
            <w:tcBorders>
              <w:tl2br w:val="nil"/>
              <w:tr2bl w:val="nil"/>
            </w:tcBorders>
            <w:vAlign w:val="center"/>
          </w:tcPr>
          <w:p>
            <w:pPr>
              <w:pStyle w:val="38"/>
              <w:adjustRightInd/>
              <w:spacing w:line="240" w:lineRule="auto"/>
              <w:ind w:left="0" w:leftChars="0"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废气治理</w:t>
            </w:r>
          </w:p>
        </w:tc>
        <w:tc>
          <w:tcPr>
            <w:tcW w:w="2120" w:type="pct"/>
            <w:tcBorders>
              <w:tl2br w:val="nil"/>
              <w:tr2bl w:val="nil"/>
            </w:tcBorders>
            <w:vAlign w:val="center"/>
          </w:tcPr>
          <w:p>
            <w:pPr>
              <w:pStyle w:val="38"/>
              <w:adjustRightInd/>
              <w:spacing w:line="240" w:lineRule="auto"/>
              <w:ind w:left="0" w:leftChars="0"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酸洗池、助镀池废气：转换坑至助镀池全部封闭形成负压系统，产生的废气经负压收集管道收集至</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2套碱液喷淋塔内后集中经1根18m高排气筒（DA001）排放</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r>
              <w:rPr>
                <w:rFonts w:hint="default" w:ascii="Times New Roman" w:hAnsi="Times New Roman" w:eastAsia="宋体" w:cs="Times New Roman"/>
                <w:color w:val="000000" w:themeColor="text1"/>
                <w:sz w:val="21"/>
                <w:szCs w:val="21"/>
                <w:lang w:eastAsia="zh-CN"/>
                <w14:textFill>
                  <w14:solidFill>
                    <w14:schemeClr w14:val="tx1"/>
                  </w14:solidFill>
                </w14:textFill>
              </w:rPr>
              <w:t>酸洗池、助镀池废气：转换坑至助镀池全部封闭形成负压系统，产生的废气经负压收集管道收集至</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2套碱液喷淋塔内后集中经1根18m高排气筒（DA001）排放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1" w:hRule="atLeast"/>
        </w:trPr>
        <w:tc>
          <w:tcPr>
            <w:tcW w:w="370" w:type="pct"/>
            <w:vMerge w:val="continue"/>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620" w:type="pct"/>
            <w:vMerge w:val="continue"/>
            <w:tcBorders>
              <w:tl2br w:val="nil"/>
              <w:tr2bl w:val="nil"/>
            </w:tcBorders>
            <w:vAlign w:val="center"/>
          </w:tcPr>
          <w:p>
            <w:pPr>
              <w:pStyle w:val="38"/>
              <w:adjustRightInd/>
              <w:spacing w:line="240" w:lineRule="auto"/>
              <w:ind w:left="0" w:leftChars="0"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p>
        </w:tc>
        <w:tc>
          <w:tcPr>
            <w:tcW w:w="2120" w:type="pct"/>
            <w:tcBorders>
              <w:tl2br w:val="nil"/>
              <w:tr2bl w:val="nil"/>
            </w:tcBorders>
            <w:vAlign w:val="center"/>
          </w:tcPr>
          <w:p>
            <w:pPr>
              <w:pStyle w:val="38"/>
              <w:adjustRightInd/>
              <w:spacing w:line="240" w:lineRule="auto"/>
              <w:ind w:left="0" w:leftChars="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锌锅顶部两侧安装负压吸风口及弧形板，同时，使用过程中锌锅上方使用滑动式耐高温幕布封闭，产生的锌烟经负压吸风口收集至布袋除尘器，经布袋除尘器处理后通过1根18m高排气筒（DA002）排放</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Theme="minorEastAsia"/>
                <w:lang w:val="en-US" w:eastAsia="zh-CN"/>
              </w:rPr>
            </w:pPr>
            <w:r>
              <w:rPr>
                <w:rFonts w:hint="default" w:ascii="Times New Roman" w:hAnsi="Times New Roman" w:eastAsia="宋体" w:cs="Times New Roman"/>
                <w:color w:val="000000" w:themeColor="text1"/>
                <w:sz w:val="21"/>
                <w:szCs w:val="21"/>
                <w:lang w:eastAsia="zh-CN"/>
                <w14:textFill>
                  <w14:solidFill>
                    <w14:schemeClr w14:val="tx1"/>
                  </w14:solidFill>
                </w14:textFill>
              </w:rPr>
              <w:t>锌锅顶部两侧安装负压吸风口及弧形板，产生的锌烟经负压吸风口收集至布袋除尘器，经布袋除尘器处理后通过1根18m高排气筒（DA002）排放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70" w:type="pct"/>
            <w:vMerge w:val="continue"/>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620" w:type="pct"/>
            <w:vMerge w:val="continue"/>
            <w:tcBorders>
              <w:tl2br w:val="nil"/>
              <w:tr2bl w:val="nil"/>
            </w:tcBorders>
            <w:vAlign w:val="center"/>
          </w:tcPr>
          <w:p>
            <w:pPr>
              <w:pStyle w:val="38"/>
              <w:adjustRightInd/>
              <w:spacing w:line="240" w:lineRule="auto"/>
              <w:ind w:left="0" w:leftChars="0"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p>
        </w:tc>
        <w:tc>
          <w:tcPr>
            <w:tcW w:w="2120" w:type="pct"/>
            <w:tcBorders>
              <w:tl2br w:val="nil"/>
              <w:tr2bl w:val="nil"/>
            </w:tcBorders>
            <w:vAlign w:val="center"/>
          </w:tcPr>
          <w:p>
            <w:pPr>
              <w:pStyle w:val="38"/>
              <w:adjustRightInd/>
              <w:spacing w:line="240" w:lineRule="auto"/>
              <w:ind w:left="0" w:leftChars="0"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天然气废气经低氮燃烧后通过1根</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lang w:eastAsia="zh-CN"/>
                <w14:textFill>
                  <w14:solidFill>
                    <w14:schemeClr w14:val="tx1"/>
                  </w14:solidFill>
                </w14:textFill>
              </w:rPr>
              <w:t>8m高排气筒（DA00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lang w:eastAsia="zh-CN"/>
                <w14:textFill>
                  <w14:solidFill>
                    <w14:schemeClr w14:val="tx1"/>
                  </w14:solidFill>
                </w14:textFill>
              </w:rPr>
              <w:t>）排放</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lang w:val="en-US" w:eastAsia="zh-CN"/>
              </w:rPr>
            </w:pPr>
            <w:r>
              <w:rPr>
                <w:rFonts w:hint="default" w:ascii="Times New Roman" w:hAnsi="Times New Roman" w:eastAsia="宋体" w:cs="Times New Roman"/>
                <w:color w:val="000000" w:themeColor="text1"/>
                <w:sz w:val="21"/>
                <w:szCs w:val="21"/>
                <w:lang w:eastAsia="zh-CN"/>
                <w14:textFill>
                  <w14:solidFill>
                    <w14:schemeClr w14:val="tx1"/>
                  </w14:solidFill>
                </w14:textFill>
              </w:rPr>
              <w:t>天然气废气经低氮燃烧后通过1根</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lang w:eastAsia="zh-CN"/>
                <w14:textFill>
                  <w14:solidFill>
                    <w14:schemeClr w14:val="tx1"/>
                  </w14:solidFill>
                </w14:textFill>
              </w:rPr>
              <w:t>8m高排气筒（DA00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lang w:eastAsia="zh-CN"/>
                <w14:textFill>
                  <w14:solidFill>
                    <w14:schemeClr w14:val="tx1"/>
                  </w14:solidFill>
                </w14:textFill>
              </w:rPr>
              <w:t>）排放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 w:hRule="atLeast"/>
        </w:trPr>
        <w:tc>
          <w:tcPr>
            <w:tcW w:w="370" w:type="pct"/>
            <w:vMerge w:val="continue"/>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rPr>
            </w:pPr>
          </w:p>
        </w:tc>
        <w:tc>
          <w:tcPr>
            <w:tcW w:w="620" w:type="pct"/>
            <w:tcBorders>
              <w:tl2br w:val="nil"/>
              <w:tr2bl w:val="nil"/>
            </w:tcBorders>
            <w:vAlign w:val="center"/>
          </w:tcPr>
          <w:p>
            <w:pPr>
              <w:pStyle w:val="38"/>
              <w:adjustRightInd/>
              <w:spacing w:line="240" w:lineRule="auto"/>
              <w:ind w:left="0" w:leftChars="0"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噪声治理</w:t>
            </w:r>
          </w:p>
        </w:tc>
        <w:tc>
          <w:tcPr>
            <w:tcW w:w="2120" w:type="pct"/>
            <w:tcBorders>
              <w:tl2br w:val="nil"/>
              <w:tr2bl w:val="nil"/>
            </w:tcBorders>
            <w:vAlign w:val="center"/>
          </w:tcPr>
          <w:p>
            <w:pPr>
              <w:pStyle w:val="38"/>
              <w:adjustRightInd/>
              <w:spacing w:line="240" w:lineRule="auto"/>
              <w:ind w:left="0" w:leftChars="0"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选取低噪声设备，厂房隔声，基础减震</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lang w:eastAsia="zh-CN"/>
              </w:rPr>
            </w:pPr>
            <w:r>
              <w:rPr>
                <w:rFonts w:hint="eastAsia" w:ascii="Times New Roman" w:hAnsi="Times New Roman" w:cs="Times New Roman"/>
                <w:kern w:val="2"/>
                <w:sz w:val="21"/>
                <w:szCs w:val="24"/>
                <w:lang w:val="en-US" w:eastAsia="zh-CN" w:bidi="ar-SA"/>
              </w:rPr>
              <w:t>与环评内容一致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5" w:hRule="atLeast"/>
        </w:trPr>
        <w:tc>
          <w:tcPr>
            <w:tcW w:w="370" w:type="pct"/>
            <w:vMerge w:val="continue"/>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620" w:type="pct"/>
            <w:vMerge w:val="restart"/>
            <w:tcBorders>
              <w:tl2br w:val="nil"/>
              <w:tr2bl w:val="nil"/>
            </w:tcBorders>
            <w:vAlign w:val="center"/>
          </w:tcPr>
          <w:p>
            <w:pPr>
              <w:pStyle w:val="38"/>
              <w:adjustRightInd/>
              <w:spacing w:line="240" w:lineRule="auto"/>
              <w:ind w:left="0" w:leftChars="0"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固废治理</w:t>
            </w:r>
          </w:p>
        </w:tc>
        <w:tc>
          <w:tcPr>
            <w:tcW w:w="2120" w:type="pct"/>
            <w:tcBorders>
              <w:tl2br w:val="nil"/>
              <w:tr2bl w:val="nil"/>
            </w:tcBorders>
            <w:vAlign w:val="center"/>
          </w:tcPr>
          <w:p>
            <w:pPr>
              <w:pStyle w:val="38"/>
              <w:adjustRightInd/>
              <w:spacing w:line="240" w:lineRule="auto"/>
              <w:ind w:left="0" w:leftChars="0"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一般工业固体废物：</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建设1处一般工业固体废物暂存间，位于1#车间外东北侧，占地面积100m</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，用于存放生产过程中产生的一般工业固体废物</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宋体" w:hAnsi="宋体"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一般工业固体废物：</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建设1处一般工业固体废物暂存间，位于1#车间外东北侧，占地面积100m</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，用于存放生产过程中产生的一般工业固体废物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5" w:hRule="atLeast"/>
        </w:trPr>
        <w:tc>
          <w:tcPr>
            <w:tcW w:w="370" w:type="pct"/>
            <w:vMerge w:val="continue"/>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bookmarkStart w:id="133" w:name="_Toc12623"/>
          </w:p>
        </w:tc>
        <w:tc>
          <w:tcPr>
            <w:tcW w:w="620" w:type="pct"/>
            <w:vMerge w:val="continue"/>
            <w:tcBorders>
              <w:tl2br w:val="nil"/>
              <w:tr2bl w:val="nil"/>
            </w:tcBorders>
            <w:vAlign w:val="center"/>
          </w:tcPr>
          <w:p>
            <w:pPr>
              <w:pStyle w:val="38"/>
              <w:adjustRightInd/>
              <w:spacing w:line="240" w:lineRule="auto"/>
              <w:ind w:left="0" w:leftChars="0" w:firstLine="0" w:firstLineChars="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p>
        </w:tc>
        <w:tc>
          <w:tcPr>
            <w:tcW w:w="2120" w:type="pct"/>
            <w:tcBorders>
              <w:tl2br w:val="nil"/>
              <w:tr2bl w:val="nil"/>
            </w:tcBorders>
            <w:vAlign w:val="center"/>
          </w:tcPr>
          <w:p>
            <w:pPr>
              <w:pStyle w:val="38"/>
              <w:adjustRightInd/>
              <w:spacing w:line="240" w:lineRule="auto"/>
              <w:ind w:left="0" w:leftChars="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危险废物：</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建有1处危废贮存库，</w:t>
            </w:r>
            <w:r>
              <w:rPr>
                <w:rFonts w:hint="default" w:ascii="Times New Roman" w:hAnsi="Times New Roman" w:eastAsia="宋体" w:cs="Times New Roman"/>
                <w:color w:val="000000" w:themeColor="text1"/>
                <w:sz w:val="21"/>
                <w:szCs w:val="21"/>
                <w:lang w:eastAsia="zh-CN"/>
                <w14:textFill>
                  <w14:solidFill>
                    <w14:schemeClr w14:val="tx1"/>
                  </w14:solidFill>
                </w14:textFill>
              </w:rPr>
              <w:t>位于</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1#车间外</w:t>
            </w:r>
            <w:r>
              <w:rPr>
                <w:rFonts w:hint="default" w:ascii="Times New Roman" w:hAnsi="Times New Roman" w:eastAsia="宋体" w:cs="Times New Roman"/>
                <w:color w:val="000000" w:themeColor="text1"/>
                <w:sz w:val="21"/>
                <w:szCs w:val="21"/>
                <w:lang w:eastAsia="zh-CN"/>
                <w14:textFill>
                  <w14:solidFill>
                    <w14:schemeClr w14:val="tx1"/>
                  </w14:solidFill>
                </w14:textFill>
              </w:rPr>
              <w:t>东南侧，占地面积约</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360</w:t>
            </w:r>
            <w:r>
              <w:rPr>
                <w:rFonts w:hint="eastAsia" w:cs="Times New Roman"/>
                <w:color w:val="000000" w:themeColor="text1"/>
                <w:sz w:val="21"/>
                <w:szCs w:val="21"/>
                <w:lang w:val="en-US" w:eastAsia="zh-CN"/>
                <w14:textFill>
                  <w14:solidFill>
                    <w14:schemeClr w14:val="tx1"/>
                  </w14:solidFill>
                </w14:textFill>
              </w:rPr>
              <w:t>m</w:t>
            </w:r>
            <w:r>
              <w:rPr>
                <w:rFonts w:hint="eastAsia"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eastAsia="zh-CN"/>
                <w14:textFill>
                  <w14:solidFill>
                    <w14:schemeClr w14:val="tx1"/>
                  </w14:solidFill>
                </w14:textFill>
              </w:rPr>
              <w:t>，用于存放生产加工过程中产生的危险废物</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宋体" w:hAnsi="宋体"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建设</w:t>
            </w:r>
            <w:r>
              <w:rPr>
                <w:rFonts w:hint="eastAsia"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lang w:val="en-US" w:eastAsia="zh-CN"/>
                <w14:textFill>
                  <w14:solidFill>
                    <w14:schemeClr w14:val="tx1"/>
                  </w14:solidFill>
                </w14:textFill>
              </w:rPr>
              <w:t>间危废贮存库，</w:t>
            </w:r>
            <w:r>
              <w:rPr>
                <w:rFonts w:hint="eastAsia" w:ascii="Times New Roman" w:hAnsi="Times New Roman" w:cs="Times New Roman"/>
                <w:color w:val="000000" w:themeColor="text1"/>
                <w:sz w:val="21"/>
                <w:szCs w:val="21"/>
                <w:lang w:val="en-US" w:eastAsia="zh-CN"/>
                <w14:textFill>
                  <w14:solidFill>
                    <w14:schemeClr w14:val="tx1"/>
                  </w14:solidFill>
                </w14:textFill>
              </w:rPr>
              <w:t>位于1#车间外东南侧，</w:t>
            </w:r>
            <w:r>
              <w:rPr>
                <w:rFonts w:hint="default" w:ascii="Times New Roman" w:hAnsi="Times New Roman" w:cs="Times New Roman"/>
                <w:color w:val="000000" w:themeColor="text1"/>
                <w:sz w:val="21"/>
                <w:szCs w:val="21"/>
                <w:lang w:val="en-US" w:eastAsia="zh-CN"/>
                <w14:textFill>
                  <w14:solidFill>
                    <w14:schemeClr w14:val="tx1"/>
                  </w14:solidFill>
                </w14:textFill>
              </w:rPr>
              <w:t>总建筑面积约</w:t>
            </w:r>
            <w:r>
              <w:rPr>
                <w:rFonts w:hint="eastAsia" w:ascii="Times New Roman" w:hAnsi="Times New Roman" w:cs="Times New Roman"/>
                <w:color w:val="000000" w:themeColor="text1"/>
                <w:sz w:val="21"/>
                <w:szCs w:val="21"/>
                <w:lang w:val="en-US" w:eastAsia="zh-CN"/>
                <w14:textFill>
                  <w14:solidFill>
                    <w14:schemeClr w14:val="tx1"/>
                  </w14:solidFill>
                </w14:textFill>
              </w:rPr>
              <w:t>120</w:t>
            </w:r>
            <w:r>
              <w:rPr>
                <w:rFonts w:hint="default" w:ascii="Times New Roman" w:hAnsi="Times New Roman" w:cs="Times New Roman"/>
                <w:color w:val="000000" w:themeColor="text1"/>
                <w:sz w:val="21"/>
                <w:szCs w:val="21"/>
                <w:lang w:val="en-US" w:eastAsia="zh-CN"/>
                <w14:textFill>
                  <w14:solidFill>
                    <w14:schemeClr w14:val="tx1"/>
                  </w14:solidFill>
                </w14:textFill>
              </w:rPr>
              <w:t>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lang w:val="en-US" w:eastAsia="zh-CN"/>
                <w14:textFill>
                  <w14:solidFill>
                    <w14:schemeClr w14:val="tx1"/>
                  </w14:solidFill>
                </w14:textFill>
              </w:rPr>
              <w:t>，用于</w:t>
            </w:r>
            <w:r>
              <w:rPr>
                <w:rFonts w:hint="default" w:ascii="Times New Roman" w:hAnsi="Times New Roman" w:eastAsia="宋体" w:cs="Times New Roman"/>
                <w:color w:val="000000" w:themeColor="text1"/>
                <w:sz w:val="21"/>
                <w:szCs w:val="21"/>
                <w:lang w:eastAsia="zh-CN"/>
                <w14:textFill>
                  <w14:solidFill>
                    <w14:schemeClr w14:val="tx1"/>
                  </w14:solidFill>
                </w14:textFill>
              </w:rPr>
              <w:t>存放生产加工过程中产生的危险废物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5" w:hRule="atLeast"/>
        </w:trPr>
        <w:tc>
          <w:tcPr>
            <w:tcW w:w="370" w:type="pct"/>
            <w:vMerge w:val="continue"/>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620" w:type="pct"/>
            <w:vMerge w:val="continue"/>
            <w:tcBorders>
              <w:tl2br w:val="nil"/>
              <w:tr2bl w:val="nil"/>
            </w:tcBorders>
            <w:vAlign w:val="center"/>
          </w:tcPr>
          <w:p>
            <w:pPr>
              <w:pStyle w:val="38"/>
              <w:adjustRightInd/>
              <w:spacing w:line="240" w:lineRule="auto"/>
              <w:ind w:left="0" w:leftChars="0" w:firstLine="0" w:firstLineChars="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p>
        </w:tc>
        <w:tc>
          <w:tcPr>
            <w:tcW w:w="2120" w:type="pct"/>
            <w:tcBorders>
              <w:tl2br w:val="nil"/>
              <w:tr2bl w:val="nil"/>
            </w:tcBorders>
            <w:vAlign w:val="center"/>
          </w:tcPr>
          <w:p>
            <w:pPr>
              <w:pStyle w:val="38"/>
              <w:adjustRightInd/>
              <w:spacing w:line="240" w:lineRule="auto"/>
              <w:ind w:left="0" w:leftChars="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生活垃圾：废弃的劳保用品、含油抹布混入生活垃圾中；生活垃圾集中收集，交由环卫部门统一清运。</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生活垃圾：生活垃圾集中收集，交由环卫部门统一清运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2" w:hRule="atLeast"/>
        </w:trPr>
        <w:tc>
          <w:tcPr>
            <w:tcW w:w="370" w:type="pct"/>
            <w:vMerge w:val="continue"/>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620" w:type="pct"/>
            <w:tcBorders>
              <w:tl2br w:val="nil"/>
              <w:tr2bl w:val="nil"/>
            </w:tcBorders>
            <w:vAlign w:val="center"/>
          </w:tcPr>
          <w:p>
            <w:pPr>
              <w:pStyle w:val="38"/>
              <w:adjustRightInd/>
              <w:spacing w:line="240" w:lineRule="auto"/>
              <w:ind w:left="0" w:leftChars="0" w:firstLine="0" w:firstLineChars="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环境风险</w:t>
            </w:r>
          </w:p>
        </w:tc>
        <w:tc>
          <w:tcPr>
            <w:tcW w:w="2120" w:type="pct"/>
            <w:tcBorders>
              <w:tl2br w:val="nil"/>
              <w:tr2bl w:val="nil"/>
            </w:tcBorders>
            <w:vAlign w:val="center"/>
          </w:tcPr>
          <w:p>
            <w:pPr>
              <w:pStyle w:val="38"/>
              <w:adjustRightInd/>
              <w:spacing w:line="240" w:lineRule="auto"/>
              <w:ind w:left="0" w:leftChars="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按要求设置危废暂存间、原辅材料仓库、厂区设置分区防渗，设置事故池（容积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400m</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eastAsia="zh-CN"/>
                <w14:textFill>
                  <w14:solidFill>
                    <w14:schemeClr w14:val="tx1"/>
                  </w14:solidFill>
                </w14:textFill>
              </w:rPr>
              <w:t>；建立健全有毒气体中毒事故应急救援预案；加强安全教育培训和宣传；配备完善的消防措施，编制突发环境事件应急预案</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已</w:t>
            </w:r>
            <w:r>
              <w:rPr>
                <w:rFonts w:hint="default" w:ascii="Times New Roman" w:hAnsi="Times New Roman" w:eastAsia="宋体" w:cs="Times New Roman"/>
                <w:color w:val="000000" w:themeColor="text1"/>
                <w:sz w:val="21"/>
                <w:szCs w:val="21"/>
                <w:lang w:eastAsia="zh-CN"/>
                <w14:textFill>
                  <w14:solidFill>
                    <w14:schemeClr w14:val="tx1"/>
                  </w14:solidFill>
                </w14:textFill>
              </w:rPr>
              <w:t>按要求设置危废暂存间、原辅材料仓库、厂区设置分区防渗</w:t>
            </w:r>
            <w:r>
              <w:rPr>
                <w:rFonts w:hint="eastAsia" w:ascii="Times New Roman" w:hAnsi="Times New Roman" w:cs="Times New Roman"/>
                <w:color w:val="000000" w:themeColor="text1"/>
                <w:sz w:val="21"/>
                <w:szCs w:val="21"/>
                <w:lang w:eastAsia="zh-CN"/>
                <w14:textFill>
                  <w14:solidFill>
                    <w14:schemeClr w14:val="tx1"/>
                  </w14:solidFill>
                </w14:textFill>
              </w:rPr>
              <w:t>；已编制应急预案并取得备案（备案号：</w:t>
            </w:r>
            <w:r>
              <w:rPr>
                <w:rFonts w:hint="eastAsia" w:ascii="Times New Roman" w:hAnsi="Times New Roman" w:cs="Times New Roman"/>
                <w:color w:val="000000" w:themeColor="text1"/>
                <w:sz w:val="21"/>
                <w:szCs w:val="21"/>
                <w:lang w:val="en-US" w:eastAsia="zh-CN"/>
                <w14:textFill>
                  <w14:solidFill>
                    <w14:schemeClr w14:val="tx1"/>
                  </w14:solidFill>
                </w14:textFill>
              </w:rPr>
              <w:t>341503-2023-051-M</w:t>
            </w:r>
            <w:r>
              <w:rPr>
                <w:rFonts w:hint="eastAsia" w:ascii="Times New Roman" w:hAnsi="Times New Roman" w:cs="Times New Roman"/>
                <w:color w:val="000000" w:themeColor="text1"/>
                <w:sz w:val="21"/>
                <w:szCs w:val="21"/>
                <w:lang w:eastAsia="zh-CN"/>
                <w14:textFill>
                  <w14:solidFill>
                    <w14:schemeClr w14:val="tx1"/>
                  </w14:solidFill>
                </w14:textFill>
              </w:rPr>
              <w:t>）；新建</w:t>
            </w:r>
            <w:r>
              <w:rPr>
                <w:rFonts w:hint="eastAsia" w:ascii="Times New Roman" w:hAnsi="Times New Roman" w:cs="Times New Roman"/>
                <w:color w:val="000000" w:themeColor="text1"/>
                <w:sz w:val="21"/>
                <w:szCs w:val="21"/>
                <w:lang w:val="en-US" w:eastAsia="zh-CN"/>
                <w14:textFill>
                  <w14:solidFill>
                    <w14:schemeClr w14:val="tx1"/>
                  </w14:solidFill>
                </w14:textFill>
              </w:rPr>
              <w:t>2座应急事故池，其中1座120m</w:t>
            </w:r>
            <w:r>
              <w:rPr>
                <w:rFonts w:hint="eastAsia" w:ascii="Times New Roman" w:hAnsi="Times New Roman" w:cs="Times New Roman"/>
                <w:color w:val="000000" w:themeColor="text1"/>
                <w:sz w:val="21"/>
                <w:szCs w:val="21"/>
                <w:vertAlign w:val="superscript"/>
                <w:lang w:val="en-US" w:eastAsia="zh-CN"/>
                <w14:textFill>
                  <w14:solidFill>
                    <w14:schemeClr w14:val="tx1"/>
                  </w14:solidFill>
                </w14:textFill>
              </w:rPr>
              <w:t>3</w:t>
            </w:r>
            <w:r>
              <w:rPr>
                <w:rFonts w:hint="eastAsia" w:ascii="Times New Roman" w:hAnsi="Times New Roman" w:cs="Times New Roman"/>
                <w:color w:val="000000" w:themeColor="text1"/>
                <w:sz w:val="21"/>
                <w:szCs w:val="21"/>
                <w:lang w:val="en-US" w:eastAsia="zh-CN"/>
                <w14:textFill>
                  <w14:solidFill>
                    <w14:schemeClr w14:val="tx1"/>
                  </w14:solidFill>
                </w14:textFill>
              </w:rPr>
              <w:t>、1座110m</w:t>
            </w:r>
            <w:r>
              <w:rPr>
                <w:rFonts w:hint="eastAsia" w:ascii="Times New Roman" w:hAnsi="Times New Roman" w:cs="Times New Roman"/>
                <w:color w:val="000000" w:themeColor="text1"/>
                <w:sz w:val="21"/>
                <w:szCs w:val="21"/>
                <w:vertAlign w:val="superscript"/>
                <w:lang w:val="en-US" w:eastAsia="zh-CN"/>
                <w14:textFill>
                  <w14:solidFill>
                    <w14:schemeClr w14:val="tx1"/>
                  </w14:solidFill>
                </w14:textFill>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70" w:type="pct"/>
            <w:vMerge w:val="continue"/>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620" w:type="pct"/>
            <w:tcBorders>
              <w:tl2br w:val="nil"/>
              <w:tr2bl w:val="nil"/>
            </w:tcBorders>
            <w:vAlign w:val="center"/>
          </w:tcPr>
          <w:p>
            <w:pPr>
              <w:pStyle w:val="38"/>
              <w:adjustRightInd/>
              <w:spacing w:line="240" w:lineRule="auto"/>
              <w:ind w:left="0" w:leftChars="0" w:firstLine="0" w:firstLineChars="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土壤地下水防治措施</w:t>
            </w:r>
          </w:p>
        </w:tc>
        <w:tc>
          <w:tcPr>
            <w:tcW w:w="2120" w:type="pct"/>
            <w:tcBorders>
              <w:tl2br w:val="nil"/>
              <w:tr2bl w:val="nil"/>
            </w:tcBorders>
            <w:vAlign w:val="center"/>
          </w:tcPr>
          <w:p>
            <w:pPr>
              <w:pStyle w:val="38"/>
              <w:adjustRightInd/>
              <w:spacing w:line="240" w:lineRule="auto"/>
              <w:ind w:left="0" w:leftChars="0"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1）按照分区防渗要求，进行重点防渗区和一般防渗区防腐防渗建设。</w:t>
            </w:r>
          </w:p>
          <w:p>
            <w:pPr>
              <w:pStyle w:val="38"/>
              <w:adjustRightInd/>
              <w:spacing w:line="240" w:lineRule="auto"/>
              <w:ind w:left="0" w:leftChars="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2）</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1#车间镀锌辅材仓库、危废暂存间、镀锌生产线</w:t>
            </w:r>
            <w:r>
              <w:rPr>
                <w:rFonts w:hint="default" w:ascii="Times New Roman" w:hAnsi="Times New Roman" w:eastAsia="宋体" w:cs="Times New Roman"/>
                <w:color w:val="000000" w:themeColor="text1"/>
                <w:sz w:val="21"/>
                <w:szCs w:val="21"/>
                <w:lang w:eastAsia="zh-CN"/>
                <w14:textFill>
                  <w14:solidFill>
                    <w14:schemeClr w14:val="tx1"/>
                  </w14:solidFill>
                </w14:textFill>
              </w:rPr>
              <w:t>、污水处理站以及废水收集管沟设置为重点防渗区，要求防渗层M≥6.0m，K≤10-7cm/s；3）厂内运输道路、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2#车间</w:t>
            </w:r>
            <w:r>
              <w:rPr>
                <w:rFonts w:hint="default" w:ascii="Times New Roman" w:hAnsi="Times New Roman" w:eastAsia="宋体" w:cs="Times New Roman"/>
                <w:color w:val="000000" w:themeColor="text1"/>
                <w:sz w:val="21"/>
                <w:szCs w:val="21"/>
                <w:lang w:eastAsia="zh-CN"/>
                <w14:textFill>
                  <w14:solidFill>
                    <w14:schemeClr w14:val="tx1"/>
                  </w14:solidFill>
                </w14:textFill>
              </w:rPr>
              <w:t>设置为一般防渗区，要求防渗层M≥1.0m，K≤10-7cm/s。</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70" w:type="pct"/>
            <w:vMerge w:val="continue"/>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pPr>
          </w:p>
        </w:tc>
        <w:tc>
          <w:tcPr>
            <w:tcW w:w="620" w:type="pct"/>
            <w:tcBorders>
              <w:tl2br w:val="nil"/>
              <w:tr2bl w:val="nil"/>
            </w:tcBorders>
            <w:vAlign w:val="top"/>
          </w:tcPr>
          <w:p>
            <w:pPr>
              <w:pStyle w:val="38"/>
              <w:adjustRightInd/>
              <w:spacing w:line="240" w:lineRule="auto"/>
              <w:ind w:left="0" w:leftChars="0" w:firstLine="0" w:firstLineChars="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生态环境</w:t>
            </w:r>
          </w:p>
        </w:tc>
        <w:tc>
          <w:tcPr>
            <w:tcW w:w="2120" w:type="pct"/>
            <w:tcBorders>
              <w:tl2br w:val="nil"/>
              <w:tr2bl w:val="nil"/>
            </w:tcBorders>
            <w:vAlign w:val="top"/>
          </w:tcPr>
          <w:p>
            <w:pPr>
              <w:pStyle w:val="38"/>
              <w:adjustRightInd/>
              <w:spacing w:line="240" w:lineRule="auto"/>
              <w:ind w:left="0" w:leftChars="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场区内部加强绿化</w:t>
            </w:r>
          </w:p>
        </w:tc>
        <w:tc>
          <w:tcPr>
            <w:tcW w:w="1887" w:type="pct"/>
            <w:tcBorders>
              <w:tl2br w:val="nil"/>
              <w:tr2bl w:val="nil"/>
            </w:tcBorders>
            <w:vAlign w:val="center"/>
          </w:tcPr>
          <w:p>
            <w:pPr>
              <w:pStyle w:val="113"/>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场区内部种植绿化</w:t>
            </w:r>
          </w:p>
        </w:tc>
      </w:tr>
    </w:tbl>
    <w:p>
      <w:pPr>
        <w:spacing w:line="360" w:lineRule="auto"/>
        <w:jc w:val="left"/>
        <w:outlineLvl w:val="1"/>
        <w:rPr>
          <w:rFonts w:hint="eastAsia"/>
          <w:b/>
          <w:sz w:val="28"/>
          <w:szCs w:val="28"/>
        </w:rPr>
      </w:pPr>
    </w:p>
    <w:p>
      <w:pPr>
        <w:spacing w:line="360" w:lineRule="auto"/>
        <w:jc w:val="left"/>
        <w:outlineLvl w:val="1"/>
        <w:rPr>
          <w:rFonts w:hint="eastAsia"/>
          <w:b/>
          <w:sz w:val="28"/>
          <w:szCs w:val="28"/>
        </w:rPr>
      </w:pPr>
    </w:p>
    <w:p>
      <w:pPr>
        <w:spacing w:line="360" w:lineRule="auto"/>
        <w:jc w:val="left"/>
        <w:outlineLvl w:val="1"/>
        <w:rPr>
          <w:rFonts w:hint="eastAsia"/>
          <w:b/>
          <w:sz w:val="28"/>
          <w:szCs w:val="28"/>
        </w:rPr>
      </w:pPr>
    </w:p>
    <w:p>
      <w:pPr>
        <w:spacing w:line="360" w:lineRule="auto"/>
        <w:jc w:val="left"/>
        <w:outlineLvl w:val="1"/>
        <w:rPr>
          <w:rFonts w:hint="eastAsia"/>
          <w:b/>
          <w:sz w:val="28"/>
          <w:szCs w:val="28"/>
        </w:rPr>
      </w:pPr>
    </w:p>
    <w:p>
      <w:pPr>
        <w:spacing w:line="360" w:lineRule="auto"/>
        <w:jc w:val="left"/>
        <w:outlineLvl w:val="1"/>
        <w:rPr>
          <w:rFonts w:hint="eastAsia"/>
          <w:b/>
          <w:sz w:val="28"/>
          <w:szCs w:val="28"/>
        </w:rPr>
      </w:pPr>
    </w:p>
    <w:p>
      <w:pPr>
        <w:spacing w:line="360" w:lineRule="auto"/>
        <w:jc w:val="left"/>
        <w:outlineLvl w:val="1"/>
        <w:rPr>
          <w:rFonts w:hint="eastAsia"/>
          <w:b/>
          <w:sz w:val="28"/>
          <w:szCs w:val="28"/>
        </w:rPr>
      </w:pPr>
    </w:p>
    <w:p>
      <w:pPr>
        <w:spacing w:line="360" w:lineRule="auto"/>
        <w:jc w:val="left"/>
        <w:outlineLvl w:val="1"/>
        <w:rPr>
          <w:rFonts w:hint="eastAsia"/>
          <w:b/>
          <w:sz w:val="28"/>
          <w:szCs w:val="28"/>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0" w:num="1"/>
          <w:titlePg/>
          <w:rtlGutter w:val="0"/>
          <w:docGrid w:type="lines" w:linePitch="319" w:charSpace="0"/>
        </w:sectPr>
      </w:pPr>
    </w:p>
    <w:p>
      <w:pPr>
        <w:spacing w:line="360" w:lineRule="auto"/>
        <w:jc w:val="left"/>
        <w:outlineLvl w:val="1"/>
        <w:rPr>
          <w:b/>
          <w:sz w:val="28"/>
          <w:szCs w:val="28"/>
        </w:rPr>
      </w:pPr>
      <w:r>
        <w:rPr>
          <w:rFonts w:hint="eastAsia"/>
          <w:b/>
          <w:sz w:val="28"/>
          <w:szCs w:val="28"/>
        </w:rPr>
        <w:t>3.3</w:t>
      </w:r>
      <w:r>
        <w:rPr>
          <w:b/>
          <w:sz w:val="28"/>
          <w:szCs w:val="28"/>
        </w:rPr>
        <w:t>主要原辅材料</w:t>
      </w:r>
      <w:bookmarkEnd w:id="131"/>
      <w:bookmarkEnd w:id="132"/>
      <w:bookmarkEnd w:id="133"/>
    </w:p>
    <w:p>
      <w:pPr>
        <w:pStyle w:val="40"/>
        <w:ind w:firstLine="0" w:firstLineChars="0"/>
      </w:pPr>
      <w:bookmarkStart w:id="134" w:name="_Toc515360521"/>
      <w:bookmarkStart w:id="135" w:name="_Toc515359547"/>
      <w:bookmarkStart w:id="136" w:name="_Toc515366308"/>
      <w:r>
        <w:rPr>
          <w:rFonts w:hint="eastAsia"/>
        </w:rPr>
        <w:t>主要原辅材料及能源消耗详见下表：</w:t>
      </w:r>
      <w:bookmarkEnd w:id="134"/>
      <w:bookmarkEnd w:id="135"/>
      <w:bookmarkEnd w:id="136"/>
    </w:p>
    <w:p>
      <w:pPr>
        <w:spacing w:line="360" w:lineRule="auto"/>
        <w:jc w:val="center"/>
        <w:rPr>
          <w:rFonts w:hAnsi="宋体"/>
          <w:b/>
          <w:color w:val="000000"/>
          <w:sz w:val="24"/>
        </w:rPr>
      </w:pPr>
      <w:bookmarkStart w:id="137" w:name="_Toc515360522"/>
      <w:bookmarkStart w:id="138" w:name="_Toc515366309"/>
      <w:bookmarkStart w:id="139" w:name="_Toc515359548"/>
      <w:r>
        <w:rPr>
          <w:rFonts w:hint="eastAsia" w:hAnsi="宋体"/>
          <w:b/>
          <w:color w:val="000000"/>
          <w:sz w:val="24"/>
        </w:rPr>
        <w:t>表3.2主要原辅材料消耗一览表</w:t>
      </w:r>
      <w:bookmarkEnd w:id="137"/>
      <w:bookmarkEnd w:id="138"/>
      <w:bookmarkEnd w:id="139"/>
    </w:p>
    <w:tbl>
      <w:tblPr>
        <w:tblStyle w:val="31"/>
        <w:tblW w:w="5004"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0" w:type="dxa"/>
          <w:bottom w:w="0" w:type="dxa"/>
          <w:right w:w="0" w:type="dxa"/>
        </w:tblCellMar>
      </w:tblPr>
      <w:tblGrid>
        <w:gridCol w:w="872"/>
        <w:gridCol w:w="1201"/>
        <w:gridCol w:w="3281"/>
        <w:gridCol w:w="1481"/>
        <w:gridCol w:w="1482"/>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7" w:hRule="atLeast"/>
          <w:jc w:val="center"/>
        </w:trPr>
        <w:tc>
          <w:tcPr>
            <w:tcW w:w="1246" w:type="pct"/>
            <w:gridSpan w:val="2"/>
            <w:tcBorders>
              <w:top w:val="single" w:color="000000" w:sz="4" w:space="0"/>
              <w:left w:val="single" w:color="000000" w:sz="4" w:space="0"/>
            </w:tcBorders>
            <w:vAlign w:val="center"/>
          </w:tcPr>
          <w:p>
            <w:pPr>
              <w:jc w:val="center"/>
              <w:rPr>
                <w:rFonts w:hint="default" w:ascii="Times New Roman" w:hAnsi="Times New Roman" w:eastAsia="宋体" w:cs="Times New Roman"/>
                <w:b/>
                <w:bCs/>
                <w:color w:val="000000" w:themeColor="text1"/>
                <w:szCs w:val="21"/>
                <w14:textFill>
                  <w14:solidFill>
                    <w14:schemeClr w14:val="tx1"/>
                  </w14:solidFill>
                </w14:textFill>
              </w:rPr>
            </w:pPr>
            <w:bookmarkStart w:id="140" w:name="_Toc515359569"/>
            <w:bookmarkStart w:id="141" w:name="_Toc515366330"/>
            <w:bookmarkStart w:id="142" w:name="_Toc515360543"/>
            <w:r>
              <w:rPr>
                <w:rFonts w:hint="default" w:ascii="Times New Roman" w:hAnsi="Times New Roman" w:eastAsia="宋体" w:cs="Times New Roman"/>
                <w:b/>
                <w:bCs/>
                <w:color w:val="000000" w:themeColor="text1"/>
                <w:szCs w:val="21"/>
                <w14:textFill>
                  <w14:solidFill>
                    <w14:schemeClr w14:val="tx1"/>
                  </w14:solidFill>
                </w14:textFill>
              </w:rPr>
              <w:t>原辅材料</w:t>
            </w:r>
          </w:p>
        </w:tc>
        <w:tc>
          <w:tcPr>
            <w:tcW w:w="1972" w:type="pct"/>
            <w:tcBorders>
              <w:top w:val="single" w:color="000000" w:sz="4" w:space="0"/>
            </w:tcBorders>
            <w:vAlign w:val="center"/>
          </w:tcPr>
          <w:p>
            <w:pPr>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14:textFill>
                  <w14:solidFill>
                    <w14:schemeClr w14:val="tx1"/>
                  </w14:solidFill>
                </w14:textFill>
              </w:rPr>
              <w:t>成分</w:t>
            </w:r>
          </w:p>
        </w:tc>
        <w:tc>
          <w:tcPr>
            <w:tcW w:w="890" w:type="pct"/>
            <w:tcBorders>
              <w:top w:val="single" w:color="000000" w:sz="4" w:space="0"/>
            </w:tcBorders>
            <w:vAlign w:val="center"/>
          </w:tcPr>
          <w:p>
            <w:pPr>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eastAsia" w:ascii="Times New Roman" w:hAnsi="Times New Roman" w:eastAsia="宋体" w:cs="Times New Roman"/>
                <w:b/>
                <w:bCs/>
                <w:color w:val="000000" w:themeColor="text1"/>
                <w:szCs w:val="21"/>
                <w:lang w:eastAsia="zh-CN"/>
                <w14:textFill>
                  <w14:solidFill>
                    <w14:schemeClr w14:val="tx1"/>
                  </w14:solidFill>
                </w14:textFill>
              </w:rPr>
              <w:t>环评申报</w:t>
            </w:r>
            <w:r>
              <w:rPr>
                <w:rFonts w:hint="default" w:ascii="Times New Roman" w:hAnsi="Times New Roman" w:eastAsia="宋体" w:cs="Times New Roman"/>
                <w:b/>
                <w:bCs/>
                <w:color w:val="000000" w:themeColor="text1"/>
                <w:szCs w:val="21"/>
                <w14:textFill>
                  <w14:solidFill>
                    <w14:schemeClr w14:val="tx1"/>
                  </w14:solidFill>
                </w14:textFill>
              </w:rPr>
              <w:t>用量（</w:t>
            </w:r>
            <w:r>
              <w:rPr>
                <w:rFonts w:hint="default" w:ascii="Times New Roman" w:hAnsi="Times New Roman" w:eastAsia="宋体" w:cs="Times New Roman"/>
                <w:b/>
                <w:bCs/>
                <w:color w:val="000000" w:themeColor="text1"/>
                <w:szCs w:val="21"/>
                <w:lang w:val="en-US" w:eastAsia="zh-CN"/>
                <w14:textFill>
                  <w14:solidFill>
                    <w14:schemeClr w14:val="tx1"/>
                  </w14:solidFill>
                </w14:textFill>
              </w:rPr>
              <w:t>t/a</w:t>
            </w:r>
            <w:r>
              <w:rPr>
                <w:rFonts w:hint="default" w:ascii="Times New Roman" w:hAnsi="Times New Roman" w:eastAsia="宋体" w:cs="Times New Roman"/>
                <w:b/>
                <w:bCs/>
                <w:color w:val="000000" w:themeColor="text1"/>
                <w:szCs w:val="21"/>
                <w14:textFill>
                  <w14:solidFill>
                    <w14:schemeClr w14:val="tx1"/>
                  </w14:solidFill>
                </w14:textFill>
              </w:rPr>
              <w:t>）</w:t>
            </w:r>
          </w:p>
        </w:tc>
        <w:tc>
          <w:tcPr>
            <w:tcW w:w="890" w:type="pct"/>
            <w:tcBorders>
              <w:top w:val="single" w:color="000000" w:sz="4" w:space="0"/>
              <w:right w:val="single" w:color="000000" w:sz="4" w:space="0"/>
            </w:tcBorders>
            <w:vAlign w:val="center"/>
          </w:tcPr>
          <w:p>
            <w:pPr>
              <w:jc w:val="center"/>
              <w:rPr>
                <w:rFonts w:hint="default" w:ascii="Times New Roman" w:hAnsi="Times New Roman" w:eastAsia="宋体" w:cs="Times New Roman"/>
                <w:b/>
                <w:bCs/>
                <w:color w:val="000000" w:themeColor="text1"/>
                <w:szCs w:val="21"/>
                <w:lang w:eastAsia="zh-CN"/>
                <w14:textFill>
                  <w14:solidFill>
                    <w14:schemeClr w14:val="tx1"/>
                  </w14:solidFill>
                </w14:textFill>
              </w:rPr>
            </w:pPr>
            <w:r>
              <w:rPr>
                <w:rFonts w:hint="eastAsia" w:ascii="Times New Roman" w:hAnsi="Times New Roman" w:eastAsia="宋体" w:cs="Times New Roman"/>
                <w:b/>
                <w:bCs/>
                <w:color w:val="000000" w:themeColor="text1"/>
                <w:szCs w:val="21"/>
                <w:lang w:eastAsia="zh-CN"/>
                <w14:textFill>
                  <w14:solidFill>
                    <w14:schemeClr w14:val="tx1"/>
                  </w14:solidFill>
                </w14:textFill>
              </w:rPr>
              <w:t>实际用量（</w:t>
            </w:r>
            <w:r>
              <w:rPr>
                <w:rFonts w:hint="eastAsia" w:ascii="Times New Roman" w:hAnsi="Times New Roman" w:eastAsia="宋体" w:cs="Times New Roman"/>
                <w:b/>
                <w:bCs/>
                <w:color w:val="000000" w:themeColor="text1"/>
                <w:szCs w:val="21"/>
                <w:lang w:val="en-US" w:eastAsia="zh-CN"/>
                <w14:textFill>
                  <w14:solidFill>
                    <w14:schemeClr w14:val="tx1"/>
                  </w14:solidFill>
                </w14:textFill>
              </w:rPr>
              <w:t>t/a</w:t>
            </w:r>
            <w:r>
              <w:rPr>
                <w:rFonts w:hint="eastAsia" w:ascii="Times New Roman" w:hAnsi="Times New Roman" w:eastAsia="宋体" w:cs="Times New Roman"/>
                <w:b/>
                <w:bCs/>
                <w:color w:val="000000" w:themeColor="text1"/>
                <w:szCs w:val="21"/>
                <w:lang w:eastAsia="zh-CN"/>
                <w14:textFill>
                  <w14:solidFill>
                    <w14:schemeClr w14:val="tx1"/>
                  </w14:solidFill>
                </w14:textFill>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246" w:type="pct"/>
            <w:gridSpan w:val="2"/>
            <w:tcBorders>
              <w:left w:val="single" w:color="000000" w:sz="4" w:space="0"/>
            </w:tcBorders>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钢材</w:t>
            </w:r>
          </w:p>
        </w:tc>
        <w:tc>
          <w:tcPr>
            <w:tcW w:w="1972" w:type="pct"/>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圆钢、钢管等</w:t>
            </w:r>
          </w:p>
        </w:tc>
        <w:tc>
          <w:tcPr>
            <w:tcW w:w="890" w:type="pct"/>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100000</w:t>
            </w:r>
          </w:p>
        </w:tc>
        <w:tc>
          <w:tcPr>
            <w:tcW w:w="890" w:type="pct"/>
            <w:tcBorders>
              <w:right w:val="single" w:color="000000" w:sz="4" w:space="0"/>
            </w:tcBorders>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100000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pct"/>
            <w:vMerge w:val="restart"/>
            <w:tcBorders>
              <w:left w:val="single" w:color="000000" w:sz="4" w:space="0"/>
            </w:tcBorders>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热镀锌</w:t>
            </w:r>
          </w:p>
        </w:tc>
        <w:tc>
          <w:tcPr>
            <w:tcW w:w="722" w:type="pct"/>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盐酸（31%）</w:t>
            </w:r>
          </w:p>
        </w:tc>
        <w:tc>
          <w:tcPr>
            <w:tcW w:w="1972" w:type="pct"/>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eastAsia="zh-CN"/>
                <w14:textFill>
                  <w14:solidFill>
                    <w14:schemeClr w14:val="tx1"/>
                  </w14:solidFill>
                </w14:textFill>
              </w:rPr>
              <w:t>罐车直接运至酸洗池内，加水调配</w:t>
            </w:r>
            <w:r>
              <w:rPr>
                <w:rFonts w:hint="default" w:ascii="Times New Roman" w:hAnsi="Times New Roman" w:eastAsia="宋体" w:cs="Times New Roman"/>
                <w:color w:val="000000" w:themeColor="text1"/>
                <w:szCs w:val="21"/>
                <w14:textFill>
                  <w14:solidFill>
                    <w14:schemeClr w14:val="tx1"/>
                  </w14:solidFill>
                </w14:textFill>
              </w:rPr>
              <w:t>厂区内不暂存</w:t>
            </w:r>
          </w:p>
        </w:tc>
        <w:tc>
          <w:tcPr>
            <w:tcW w:w="890" w:type="pct"/>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700</w:t>
            </w:r>
          </w:p>
        </w:tc>
        <w:tc>
          <w:tcPr>
            <w:tcW w:w="890" w:type="pct"/>
            <w:tcBorders>
              <w:right w:val="single" w:color="000000" w:sz="4" w:space="0"/>
            </w:tcBorders>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700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pct"/>
            <w:vMerge w:val="continue"/>
            <w:tcBorders>
              <w:left w:val="single" w:color="000000" w:sz="4" w:space="0"/>
            </w:tcBorders>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p>
        </w:tc>
        <w:tc>
          <w:tcPr>
            <w:tcW w:w="722" w:type="pct"/>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盐酸抑制剂</w:t>
            </w:r>
          </w:p>
        </w:tc>
        <w:tc>
          <w:tcPr>
            <w:tcW w:w="1972" w:type="pct"/>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桶装，25kg/桶</w:t>
            </w:r>
          </w:p>
        </w:tc>
        <w:tc>
          <w:tcPr>
            <w:tcW w:w="890" w:type="pct"/>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15</w:t>
            </w:r>
          </w:p>
        </w:tc>
        <w:tc>
          <w:tcPr>
            <w:tcW w:w="890" w:type="pct"/>
            <w:tcBorders>
              <w:right w:val="single" w:color="000000" w:sz="4" w:space="0"/>
            </w:tcBorders>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15</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pct"/>
            <w:vMerge w:val="continue"/>
            <w:tcBorders>
              <w:left w:val="single" w:color="000000" w:sz="4" w:space="0"/>
            </w:tcBorders>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p>
        </w:tc>
        <w:tc>
          <w:tcPr>
            <w:tcW w:w="722" w:type="pct"/>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新型除锈剂</w:t>
            </w:r>
          </w:p>
        </w:tc>
        <w:tc>
          <w:tcPr>
            <w:tcW w:w="1972" w:type="pct"/>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桶装，25kg/桶</w:t>
            </w:r>
          </w:p>
        </w:tc>
        <w:tc>
          <w:tcPr>
            <w:tcW w:w="890" w:type="pct"/>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10</w:t>
            </w:r>
          </w:p>
        </w:tc>
        <w:tc>
          <w:tcPr>
            <w:tcW w:w="890" w:type="pct"/>
            <w:tcBorders>
              <w:right w:val="single" w:color="000000" w:sz="4" w:space="0"/>
            </w:tcBorders>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pct"/>
            <w:vMerge w:val="continue"/>
            <w:tcBorders>
              <w:left w:val="single" w:color="000000" w:sz="4" w:space="0"/>
            </w:tcBorders>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p>
        </w:tc>
        <w:tc>
          <w:tcPr>
            <w:tcW w:w="722" w:type="pct"/>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氯化锌（99%）</w:t>
            </w:r>
          </w:p>
        </w:tc>
        <w:tc>
          <w:tcPr>
            <w:tcW w:w="1972" w:type="pct"/>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袋装，50kg/袋</w:t>
            </w:r>
          </w:p>
        </w:tc>
        <w:tc>
          <w:tcPr>
            <w:tcW w:w="890" w:type="pct"/>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15</w:t>
            </w:r>
          </w:p>
        </w:tc>
        <w:tc>
          <w:tcPr>
            <w:tcW w:w="890" w:type="pct"/>
            <w:tcBorders>
              <w:right w:val="single" w:color="000000" w:sz="4" w:space="0"/>
            </w:tcBorders>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15</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pct"/>
            <w:vMerge w:val="continue"/>
            <w:tcBorders>
              <w:left w:val="single" w:color="000000" w:sz="4" w:space="0"/>
            </w:tcBorders>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p>
        </w:tc>
        <w:tc>
          <w:tcPr>
            <w:tcW w:w="722" w:type="pct"/>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氯化铵（99%）</w:t>
            </w:r>
          </w:p>
        </w:tc>
        <w:tc>
          <w:tcPr>
            <w:tcW w:w="1972" w:type="pct"/>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袋装，50kg/袋</w:t>
            </w:r>
          </w:p>
        </w:tc>
        <w:tc>
          <w:tcPr>
            <w:tcW w:w="890" w:type="pct"/>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35</w:t>
            </w:r>
          </w:p>
        </w:tc>
        <w:tc>
          <w:tcPr>
            <w:tcW w:w="890" w:type="pct"/>
            <w:tcBorders>
              <w:right w:val="single" w:color="000000" w:sz="4" w:space="0"/>
            </w:tcBorders>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35</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524" w:type="pct"/>
            <w:vMerge w:val="continue"/>
            <w:tcBorders>
              <w:left w:val="single" w:color="000000" w:sz="4" w:space="0"/>
            </w:tcBorders>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p>
        </w:tc>
        <w:tc>
          <w:tcPr>
            <w:tcW w:w="722" w:type="pct"/>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防爆剂</w:t>
            </w:r>
          </w:p>
        </w:tc>
        <w:tc>
          <w:tcPr>
            <w:tcW w:w="1972" w:type="pct"/>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表面活性剂，桶装，25kg/桶</w:t>
            </w:r>
          </w:p>
        </w:tc>
        <w:tc>
          <w:tcPr>
            <w:tcW w:w="890" w:type="pct"/>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5</w:t>
            </w:r>
          </w:p>
        </w:tc>
        <w:tc>
          <w:tcPr>
            <w:tcW w:w="890" w:type="pct"/>
            <w:tcBorders>
              <w:right w:val="single" w:color="000000" w:sz="4" w:space="0"/>
            </w:tcBorders>
            <w:vAlign w:val="center"/>
          </w:tcPr>
          <w:p>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5</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pct"/>
            <w:vMerge w:val="continue"/>
            <w:tcBorders>
              <w:left w:val="single" w:color="000000" w:sz="4" w:space="0"/>
            </w:tcBorders>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p>
        </w:tc>
        <w:tc>
          <w:tcPr>
            <w:tcW w:w="722" w:type="pct"/>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锌锭</w:t>
            </w:r>
          </w:p>
        </w:tc>
        <w:tc>
          <w:tcPr>
            <w:tcW w:w="1972" w:type="pct"/>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锌铝合金，锌含量超</w:t>
            </w:r>
            <w:r>
              <w:rPr>
                <w:rFonts w:hint="default" w:ascii="Times New Roman" w:hAnsi="Times New Roman" w:eastAsia="宋体" w:cs="Times New Roman"/>
                <w:color w:val="000000" w:themeColor="text1"/>
                <w:szCs w:val="21"/>
                <w14:textFill>
                  <w14:solidFill>
                    <w14:schemeClr w14:val="tx1"/>
                  </w14:solidFill>
                </w14:textFill>
              </w:rPr>
              <w:t>99.9%，外购</w:t>
            </w:r>
          </w:p>
        </w:tc>
        <w:tc>
          <w:tcPr>
            <w:tcW w:w="890" w:type="pct"/>
            <w:vAlign w:val="center"/>
          </w:tcPr>
          <w:p>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5000</w:t>
            </w:r>
          </w:p>
        </w:tc>
        <w:tc>
          <w:tcPr>
            <w:tcW w:w="890" w:type="pct"/>
            <w:tcBorders>
              <w:right w:val="single" w:color="000000" w:sz="4" w:space="0"/>
            </w:tcBorders>
            <w:vAlign w:val="center"/>
          </w:tcPr>
          <w:p>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5000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pct"/>
            <w:vMerge w:val="continue"/>
            <w:tcBorders>
              <w:left w:val="single" w:color="000000" w:sz="4" w:space="0"/>
            </w:tcBorders>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p>
        </w:tc>
        <w:tc>
          <w:tcPr>
            <w:tcW w:w="722" w:type="pct"/>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氢氧化钠</w:t>
            </w:r>
          </w:p>
        </w:tc>
        <w:tc>
          <w:tcPr>
            <w:tcW w:w="1972" w:type="pct"/>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98%，外购</w:t>
            </w:r>
          </w:p>
        </w:tc>
        <w:tc>
          <w:tcPr>
            <w:tcW w:w="890" w:type="pct"/>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20</w:t>
            </w:r>
          </w:p>
        </w:tc>
        <w:tc>
          <w:tcPr>
            <w:tcW w:w="890" w:type="pct"/>
            <w:tcBorders>
              <w:right w:val="single" w:color="000000" w:sz="4" w:space="0"/>
            </w:tcBorders>
            <w:vAlign w:val="center"/>
          </w:tcPr>
          <w:p>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20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pct"/>
            <w:vMerge w:val="continue"/>
            <w:tcBorders>
              <w:left w:val="single" w:color="000000" w:sz="4" w:space="0"/>
            </w:tcBorders>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p>
        </w:tc>
        <w:tc>
          <w:tcPr>
            <w:tcW w:w="722" w:type="pct"/>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含铬钝化剂</w:t>
            </w:r>
          </w:p>
        </w:tc>
        <w:tc>
          <w:tcPr>
            <w:tcW w:w="1972" w:type="pct"/>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桶装，25kg/桶，最大储存量0.25t</w:t>
            </w:r>
          </w:p>
        </w:tc>
        <w:tc>
          <w:tcPr>
            <w:tcW w:w="890" w:type="pct"/>
            <w:vAlign w:val="center"/>
          </w:tcPr>
          <w:p>
            <w:pPr>
              <w:widowControl/>
              <w:jc w:val="center"/>
              <w:textAlignment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4</w:t>
            </w:r>
          </w:p>
        </w:tc>
        <w:tc>
          <w:tcPr>
            <w:tcW w:w="890" w:type="pct"/>
            <w:tcBorders>
              <w:right w:val="single" w:color="000000" w:sz="4" w:space="0"/>
            </w:tcBorders>
            <w:vAlign w:val="center"/>
          </w:tcPr>
          <w:p>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4</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pct"/>
            <w:vMerge w:val="restart"/>
            <w:tcBorders>
              <w:left w:val="single" w:color="000000" w:sz="4" w:space="0"/>
            </w:tcBorders>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在线除铁</w:t>
            </w:r>
          </w:p>
        </w:tc>
        <w:tc>
          <w:tcPr>
            <w:tcW w:w="722" w:type="pct"/>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双氧水（35%）</w:t>
            </w:r>
          </w:p>
        </w:tc>
        <w:tc>
          <w:tcPr>
            <w:tcW w:w="1972" w:type="pct"/>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桶装，25kg/桶</w:t>
            </w:r>
          </w:p>
        </w:tc>
        <w:tc>
          <w:tcPr>
            <w:tcW w:w="890" w:type="pct"/>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0.75</w:t>
            </w:r>
          </w:p>
        </w:tc>
        <w:tc>
          <w:tcPr>
            <w:tcW w:w="890" w:type="pct"/>
            <w:tcBorders>
              <w:right w:val="single" w:color="000000" w:sz="4" w:space="0"/>
            </w:tcBorders>
            <w:vAlign w:val="center"/>
          </w:tcPr>
          <w:p>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0.75</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pct"/>
            <w:vMerge w:val="continue"/>
            <w:tcBorders>
              <w:left w:val="single" w:color="000000" w:sz="4" w:space="0"/>
            </w:tcBorders>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p>
        </w:tc>
        <w:tc>
          <w:tcPr>
            <w:tcW w:w="722" w:type="pct"/>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氨水（30%）</w:t>
            </w:r>
          </w:p>
        </w:tc>
        <w:tc>
          <w:tcPr>
            <w:tcW w:w="1972" w:type="pct"/>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桶装，25kg/桶</w:t>
            </w:r>
          </w:p>
        </w:tc>
        <w:tc>
          <w:tcPr>
            <w:tcW w:w="890" w:type="pct"/>
            <w:vAlign w:val="center"/>
          </w:tcPr>
          <w:p>
            <w:pPr>
              <w:widowControl/>
              <w:jc w:val="center"/>
              <w:textAlignment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0.75</w:t>
            </w:r>
          </w:p>
        </w:tc>
        <w:tc>
          <w:tcPr>
            <w:tcW w:w="890" w:type="pct"/>
            <w:tcBorders>
              <w:right w:val="single" w:color="000000" w:sz="4" w:space="0"/>
            </w:tcBorders>
            <w:vAlign w:val="center"/>
          </w:tcPr>
          <w:p>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0.75</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524" w:type="pct"/>
            <w:vMerge w:val="restart"/>
            <w:tcBorders>
              <w:left w:val="single" w:color="000000" w:sz="4" w:space="0"/>
            </w:tcBorders>
            <w:vAlign w:val="center"/>
          </w:tcPr>
          <w:p>
            <w:pPr>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eastAsia="宋体" w:cs="Times New Roman"/>
                <w:color w:val="000000" w:themeColor="text1"/>
                <w:szCs w:val="21"/>
                <w:lang w:eastAsia="zh-CN"/>
                <w14:textFill>
                  <w14:solidFill>
                    <w14:schemeClr w14:val="tx1"/>
                  </w14:solidFill>
                </w14:textFill>
              </w:rPr>
              <w:t>能源</w:t>
            </w:r>
          </w:p>
        </w:tc>
        <w:tc>
          <w:tcPr>
            <w:tcW w:w="722" w:type="pct"/>
            <w:vAlign w:val="center"/>
          </w:tcPr>
          <w:p>
            <w:pPr>
              <w:widowControl/>
              <w:jc w:val="center"/>
              <w:textAlignment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eastAsia="宋体" w:cs="Times New Roman"/>
                <w:color w:val="000000" w:themeColor="text1"/>
                <w:szCs w:val="21"/>
                <w:lang w:eastAsia="zh-CN"/>
                <w14:textFill>
                  <w14:solidFill>
                    <w14:schemeClr w14:val="tx1"/>
                  </w14:solidFill>
                </w14:textFill>
              </w:rPr>
              <w:t>水</w:t>
            </w:r>
          </w:p>
        </w:tc>
        <w:tc>
          <w:tcPr>
            <w:tcW w:w="1972" w:type="pct"/>
            <w:vAlign w:val="center"/>
          </w:tcPr>
          <w:p>
            <w:pPr>
              <w:widowControl/>
              <w:jc w:val="center"/>
              <w:textAlignment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w:t>
            </w:r>
          </w:p>
        </w:tc>
        <w:tc>
          <w:tcPr>
            <w:tcW w:w="890" w:type="pct"/>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7068m</w:t>
            </w:r>
            <w:r>
              <w:rPr>
                <w:rFonts w:hint="eastAsia" w:cs="Times New Roman"/>
                <w:color w:val="000000" w:themeColor="text1"/>
                <w:szCs w:val="21"/>
                <w:vertAlign w:val="superscript"/>
                <w:lang w:val="en-US" w:eastAsia="zh-CN"/>
                <w14:textFill>
                  <w14:solidFill>
                    <w14:schemeClr w14:val="tx1"/>
                  </w14:solidFill>
                </w14:textFill>
              </w:rPr>
              <w:t>3</w:t>
            </w:r>
            <w:r>
              <w:rPr>
                <w:rFonts w:hint="eastAsia" w:cs="Times New Roman"/>
                <w:color w:val="000000" w:themeColor="text1"/>
                <w:szCs w:val="21"/>
                <w:lang w:val="en-US" w:eastAsia="zh-CN"/>
                <w14:textFill>
                  <w14:solidFill>
                    <w14:schemeClr w14:val="tx1"/>
                  </w14:solidFill>
                </w14:textFill>
              </w:rPr>
              <w:t>/a</w:t>
            </w:r>
          </w:p>
        </w:tc>
        <w:tc>
          <w:tcPr>
            <w:tcW w:w="890" w:type="pct"/>
            <w:tcBorders>
              <w:right w:val="single" w:color="000000" w:sz="4" w:space="0"/>
            </w:tcBorders>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7068m</w:t>
            </w:r>
            <w:r>
              <w:rPr>
                <w:rFonts w:hint="eastAsia" w:cs="Times New Roman"/>
                <w:color w:val="000000" w:themeColor="text1"/>
                <w:szCs w:val="21"/>
                <w:vertAlign w:val="superscript"/>
                <w:lang w:val="en-US" w:eastAsia="zh-CN"/>
                <w14:textFill>
                  <w14:solidFill>
                    <w14:schemeClr w14:val="tx1"/>
                  </w14:solidFill>
                </w14:textFill>
              </w:rPr>
              <w:t>3</w:t>
            </w:r>
            <w:r>
              <w:rPr>
                <w:rFonts w:hint="eastAsia" w:cs="Times New Roman"/>
                <w:color w:val="000000" w:themeColor="text1"/>
                <w:szCs w:val="21"/>
                <w:lang w:val="en-US" w:eastAsia="zh-CN"/>
                <w14:textFill>
                  <w14:solidFill>
                    <w14:schemeClr w14:val="tx1"/>
                  </w14:solidFill>
                </w14:textFill>
              </w:rPr>
              <w:t>/a</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196" w:hRule="atLeast"/>
          <w:jc w:val="center"/>
        </w:trPr>
        <w:tc>
          <w:tcPr>
            <w:tcW w:w="524" w:type="pct"/>
            <w:vMerge w:val="continue"/>
            <w:tcBorders>
              <w:left w:val="single" w:color="000000" w:sz="4" w:space="0"/>
            </w:tcBorders>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p>
        </w:tc>
        <w:tc>
          <w:tcPr>
            <w:tcW w:w="722" w:type="pct"/>
            <w:vAlign w:val="center"/>
          </w:tcPr>
          <w:p>
            <w:pPr>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eastAsia="宋体" w:cs="Times New Roman"/>
                <w:color w:val="000000" w:themeColor="text1"/>
                <w:szCs w:val="21"/>
                <w:lang w:eastAsia="zh-CN"/>
                <w14:textFill>
                  <w14:solidFill>
                    <w14:schemeClr w14:val="tx1"/>
                  </w14:solidFill>
                </w14:textFill>
              </w:rPr>
              <w:t>电</w:t>
            </w:r>
          </w:p>
        </w:tc>
        <w:tc>
          <w:tcPr>
            <w:tcW w:w="1972" w:type="pct"/>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市政供给</w:t>
            </w:r>
          </w:p>
        </w:tc>
        <w:tc>
          <w:tcPr>
            <w:tcW w:w="89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500万度</w:t>
            </w:r>
          </w:p>
        </w:tc>
        <w:tc>
          <w:tcPr>
            <w:tcW w:w="890" w:type="pct"/>
            <w:tcBorders>
              <w:right w:val="single" w:color="000000" w:sz="4" w:space="0"/>
            </w:tcBorders>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500万度</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524" w:type="pct"/>
            <w:vMerge w:val="continue"/>
            <w:tcBorders>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p>
        </w:tc>
        <w:tc>
          <w:tcPr>
            <w:tcW w:w="722" w:type="pct"/>
            <w:tcBorders>
              <w:bottom w:val="single" w:color="000000" w:sz="4" w:space="0"/>
            </w:tcBorders>
            <w:vAlign w:val="center"/>
          </w:tcPr>
          <w:p>
            <w:pPr>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eastAsia="宋体" w:cs="Times New Roman"/>
                <w:color w:val="000000" w:themeColor="text1"/>
                <w:szCs w:val="21"/>
                <w:lang w:eastAsia="zh-CN"/>
                <w14:textFill>
                  <w14:solidFill>
                    <w14:schemeClr w14:val="tx1"/>
                  </w14:solidFill>
                </w14:textFill>
              </w:rPr>
              <w:t>天然气</w:t>
            </w:r>
          </w:p>
        </w:tc>
        <w:tc>
          <w:tcPr>
            <w:tcW w:w="1972" w:type="pct"/>
            <w:tcBorders>
              <w:bottom w:val="single" w:color="000000" w:sz="4" w:space="0"/>
            </w:tcBorders>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开发区集中供气</w:t>
            </w:r>
          </w:p>
        </w:tc>
        <w:tc>
          <w:tcPr>
            <w:tcW w:w="890" w:type="pct"/>
            <w:tcBorders>
              <w:bottom w:val="single" w:color="000000" w:sz="4" w:space="0"/>
            </w:tcBorders>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150万m</w:t>
            </w:r>
            <w:r>
              <w:rPr>
                <w:rFonts w:hint="default" w:ascii="Times New Roman" w:hAnsi="Times New Roman" w:eastAsia="宋体" w:cs="Times New Roman"/>
                <w:color w:val="000000" w:themeColor="text1"/>
                <w:szCs w:val="21"/>
                <w:vertAlign w:val="superscript"/>
                <w:lang w:val="en-US" w:eastAsia="zh-CN"/>
                <w14:textFill>
                  <w14:solidFill>
                    <w14:schemeClr w14:val="tx1"/>
                  </w14:solidFill>
                </w14:textFill>
              </w:rPr>
              <w:t>3</w:t>
            </w:r>
          </w:p>
        </w:tc>
        <w:tc>
          <w:tcPr>
            <w:tcW w:w="890" w:type="pct"/>
            <w:tcBorders>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150万m</w:t>
            </w:r>
            <w:r>
              <w:rPr>
                <w:rFonts w:hint="default" w:ascii="Times New Roman" w:hAnsi="Times New Roman" w:eastAsia="宋体" w:cs="Times New Roman"/>
                <w:color w:val="000000" w:themeColor="text1"/>
                <w:szCs w:val="21"/>
                <w:vertAlign w:val="superscript"/>
                <w:lang w:val="en-US" w:eastAsia="zh-CN"/>
                <w14:textFill>
                  <w14:solidFill>
                    <w14:schemeClr w14:val="tx1"/>
                  </w14:solidFill>
                </w14:textFill>
              </w:rPr>
              <w:t>3</w:t>
            </w:r>
          </w:p>
        </w:tc>
      </w:tr>
    </w:tbl>
    <w:p>
      <w:pPr>
        <w:spacing w:line="360" w:lineRule="auto"/>
        <w:rPr>
          <w:rFonts w:hAnsi="宋体"/>
          <w:b/>
          <w:color w:val="000000"/>
          <w:sz w:val="24"/>
        </w:rPr>
      </w:pPr>
      <w:r>
        <w:rPr>
          <w:bCs/>
          <w:sz w:val="24"/>
        </w:rPr>
        <w:t>主要生产设备详见表3.3：</w:t>
      </w:r>
    </w:p>
    <w:p>
      <w:pPr>
        <w:spacing w:line="360" w:lineRule="auto"/>
        <w:jc w:val="center"/>
        <w:rPr>
          <w:rFonts w:hint="eastAsia"/>
          <w:b/>
          <w:sz w:val="24"/>
        </w:rPr>
      </w:pPr>
      <w:r>
        <w:rPr>
          <w:rFonts w:hint="eastAsia"/>
          <w:b/>
          <w:sz w:val="24"/>
        </w:rPr>
        <w:t>表3.3</w:t>
      </w:r>
      <w:bookmarkEnd w:id="140"/>
      <w:bookmarkEnd w:id="141"/>
      <w:bookmarkEnd w:id="142"/>
      <w:r>
        <w:rPr>
          <w:rFonts w:hint="eastAsia"/>
          <w:b/>
          <w:sz w:val="24"/>
        </w:rPr>
        <w:t>主要生产设备一览表</w:t>
      </w:r>
    </w:p>
    <w:tbl>
      <w:tblPr>
        <w:tblStyle w:val="31"/>
        <w:tblW w:w="5000" w:type="pct"/>
        <w:tblInd w:w="0" w:type="dxa"/>
        <w:tblLayout w:type="fixed"/>
        <w:tblCellMar>
          <w:top w:w="0" w:type="dxa"/>
          <w:left w:w="108" w:type="dxa"/>
          <w:bottom w:w="0" w:type="dxa"/>
          <w:right w:w="108" w:type="dxa"/>
        </w:tblCellMar>
      </w:tblPr>
      <w:tblGrid>
        <w:gridCol w:w="635"/>
        <w:gridCol w:w="1473"/>
        <w:gridCol w:w="2486"/>
        <w:gridCol w:w="719"/>
        <w:gridCol w:w="1609"/>
        <w:gridCol w:w="1594"/>
      </w:tblGrid>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b/>
                <w:bCs/>
                <w:color w:val="000000" w:themeColor="text1"/>
                <w:sz w:val="21"/>
                <w:szCs w:val="21"/>
                <w14:textFill>
                  <w14:solidFill>
                    <w14:schemeClr w14:val="tx1"/>
                  </w14:solidFill>
                </w14:textFill>
              </w:rPr>
            </w:pPr>
            <w:bookmarkStart w:id="143" w:name="_Toc515359821"/>
            <w:bookmarkStart w:id="144" w:name="_Toc515360795"/>
            <w:r>
              <w:rPr>
                <w:rFonts w:hint="default" w:ascii="Times New Roman" w:hAnsi="Times New Roman" w:eastAsia="宋体" w:cs="Times New Roman"/>
                <w:b/>
                <w:bCs/>
                <w:color w:val="000000" w:themeColor="text1"/>
                <w:kern w:val="0"/>
                <w:sz w:val="21"/>
                <w:szCs w:val="21"/>
                <w:lang w:bidi="ar"/>
                <w14:textFill>
                  <w14:solidFill>
                    <w14:schemeClr w14:val="tx1"/>
                  </w14:solidFill>
                </w14:textFill>
              </w:rPr>
              <w:t>序号</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lang w:bidi="ar"/>
                <w14:textFill>
                  <w14:solidFill>
                    <w14:schemeClr w14:val="tx1"/>
                  </w14:solidFill>
                </w14:textFill>
              </w:rPr>
              <w:t>设备名称</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lang w:bidi="ar"/>
                <w14:textFill>
                  <w14:solidFill>
                    <w14:schemeClr w14:val="tx1"/>
                  </w14:solidFill>
                </w14:textFill>
              </w:rPr>
              <w:t>规格</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lang w:bidi="ar"/>
                <w14:textFill>
                  <w14:solidFill>
                    <w14:schemeClr w14:val="tx1"/>
                  </w14:solidFill>
                </w14:textFill>
              </w:rPr>
              <w:t>单位</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eastAsia" w:ascii="Times New Roman" w:hAnsi="Times New Roman" w:eastAsia="宋体" w:cs="Times New Roman"/>
                <w:b/>
                <w:bCs/>
                <w:color w:val="000000" w:themeColor="text1"/>
                <w:kern w:val="0"/>
                <w:sz w:val="21"/>
                <w:szCs w:val="21"/>
                <w:lang w:eastAsia="zh-CN" w:bidi="ar"/>
                <w14:textFill>
                  <w14:solidFill>
                    <w14:schemeClr w14:val="tx1"/>
                  </w14:solidFill>
                </w14:textFill>
              </w:rPr>
              <w:t>环评申报</w:t>
            </w:r>
            <w:r>
              <w:rPr>
                <w:rFonts w:hint="default" w:ascii="Times New Roman" w:hAnsi="Times New Roman" w:eastAsia="宋体" w:cs="Times New Roman"/>
                <w:b/>
                <w:bCs/>
                <w:color w:val="000000" w:themeColor="text1"/>
                <w:kern w:val="0"/>
                <w:sz w:val="21"/>
                <w:szCs w:val="21"/>
                <w:lang w:bidi="ar"/>
                <w14:textFill>
                  <w14:solidFill>
                    <w14:schemeClr w14:val="tx1"/>
                  </w14:solidFill>
                </w14:textFill>
              </w:rPr>
              <w:t>数量</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b/>
                <w:bCs/>
                <w:color w:val="000000" w:themeColor="text1"/>
                <w:kern w:val="0"/>
                <w:sz w:val="21"/>
                <w:szCs w:val="21"/>
                <w:lang w:eastAsia="zh-CN" w:bidi="ar"/>
                <w14:textFill>
                  <w14:solidFill>
                    <w14:schemeClr w14:val="tx1"/>
                  </w14:solidFill>
                </w14:textFill>
              </w:rPr>
            </w:pPr>
            <w:r>
              <w:rPr>
                <w:rFonts w:hint="eastAsia" w:ascii="Times New Roman" w:hAnsi="Times New Roman" w:eastAsia="宋体" w:cs="Times New Roman"/>
                <w:b/>
                <w:bCs/>
                <w:color w:val="000000" w:themeColor="text1"/>
                <w:kern w:val="0"/>
                <w:sz w:val="21"/>
                <w:szCs w:val="21"/>
                <w:lang w:eastAsia="zh-CN" w:bidi="ar"/>
                <w14:textFill>
                  <w14:solidFill>
                    <w14:schemeClr w14:val="tx1"/>
                  </w14:solidFill>
                </w14:textFill>
              </w:rPr>
              <w:t>实际投入数量</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锌锅</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13.5m×2.2m×3.31m</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个</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2</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天然气加热炉</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台</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3</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助镀剂处理系统</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套</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4</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酸雾喷淋处理系统</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套</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5</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锌烟除尘系统</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套</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6</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冷却塔</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个</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7</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行车</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10T+10T</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台</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17</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17</w:t>
            </w:r>
          </w:p>
        </w:tc>
      </w:tr>
      <w:tr>
        <w:tblPrEx>
          <w:tblCellMar>
            <w:top w:w="0" w:type="dxa"/>
            <w:left w:w="108" w:type="dxa"/>
            <w:bottom w:w="0" w:type="dxa"/>
            <w:right w:w="108" w:type="dxa"/>
          </w:tblCellMar>
        </w:tblPrEx>
        <w:trPr>
          <w:trHeight w:val="265"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8</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工具夹</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套</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20</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20</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9</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地轨车</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辆</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3</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3</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10</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叉车</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3T</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辆</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2</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2</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11</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地磅</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台</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r>
      <w:tr>
        <w:tblPrEx>
          <w:tblCellMar>
            <w:top w:w="0" w:type="dxa"/>
            <w:left w:w="108" w:type="dxa"/>
            <w:bottom w:w="0" w:type="dxa"/>
            <w:right w:w="108" w:type="dxa"/>
          </w:tblCellMar>
        </w:tblPrEx>
        <w:trPr>
          <w:trHeight w:val="462"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12</w:t>
            </w:r>
          </w:p>
        </w:tc>
        <w:tc>
          <w:tcPr>
            <w:tcW w:w="864" w:type="pct"/>
            <w:vMerge w:val="restart"/>
            <w:tcBorders>
              <w:top w:val="single" w:color="000000" w:sz="4" w:space="0"/>
              <w:left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转换池</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14.9m×12m×5.65m出料</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个</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13</w:t>
            </w:r>
          </w:p>
        </w:tc>
        <w:tc>
          <w:tcPr>
            <w:tcW w:w="864" w:type="pct"/>
            <w:vMerge w:val="continue"/>
            <w:tcBorders>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14.9m×8.5m×5.65m进料</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个</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14</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碱洗池</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t>14.7m×2.2m×3.31m</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个</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15</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漂洗池</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t>14.7m×2.2m×3.31m</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个</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3</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3</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16</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返镀池</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t>14.7m×2.2m×3.31m</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个</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17</w:t>
            </w:r>
          </w:p>
        </w:tc>
        <w:tc>
          <w:tcPr>
            <w:tcW w:w="86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酸洗池</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14.7m×2.2m×3.31m</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个</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6</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6</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18</w:t>
            </w:r>
          </w:p>
        </w:tc>
        <w:tc>
          <w:tcPr>
            <w:tcW w:w="8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14.7m×4.4m×3.31m</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个</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2</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2</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19</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助镀池</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t>14.7m×2.2m×3.31m</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个</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20</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锌锅</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t>13.5m×2.2m×3.31m</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个</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21</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冷却池</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t>14.7m×2.2m×3.31m</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个</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r>
      <w:tr>
        <w:tblPrEx>
          <w:tblCellMar>
            <w:top w:w="0" w:type="dxa"/>
            <w:left w:w="108" w:type="dxa"/>
            <w:bottom w:w="0" w:type="dxa"/>
            <w:right w:w="108" w:type="dxa"/>
          </w:tblCellMar>
        </w:tblPrEx>
        <w:trPr>
          <w:trHeight w:val="90"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22</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钝化池</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t>14.7m×2.2m×3.31m</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个</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2</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2</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23</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t>空压机</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t>台</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3</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3</w:t>
            </w:r>
          </w:p>
        </w:tc>
      </w:tr>
      <w:tr>
        <w:tblPrEx>
          <w:tblCellMar>
            <w:top w:w="0" w:type="dxa"/>
            <w:left w:w="108" w:type="dxa"/>
            <w:bottom w:w="0" w:type="dxa"/>
            <w:right w:w="108" w:type="dxa"/>
          </w:tblCellMar>
        </w:tblPrEx>
        <w:trPr>
          <w:trHeight w:val="288"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24</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t>风机</w:t>
            </w:r>
          </w:p>
        </w:tc>
        <w:tc>
          <w:tcPr>
            <w:tcW w:w="1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t>台</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3</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3</w:t>
            </w:r>
          </w:p>
        </w:tc>
      </w:tr>
    </w:tbl>
    <w:p>
      <w:pPr>
        <w:spacing w:line="360" w:lineRule="auto"/>
        <w:rPr>
          <w:bCs/>
          <w:sz w:val="24"/>
        </w:rPr>
      </w:pPr>
      <w:r>
        <w:rPr>
          <w:bCs/>
          <w:sz w:val="24"/>
        </w:rPr>
        <w:t>主要产品方案详见表3.4：</w:t>
      </w:r>
    </w:p>
    <w:p>
      <w:pPr>
        <w:spacing w:line="360" w:lineRule="auto"/>
        <w:ind w:firstLine="482" w:firstLineChars="200"/>
        <w:jc w:val="center"/>
        <w:rPr>
          <w:b/>
          <w:bCs/>
          <w:sz w:val="24"/>
        </w:rPr>
      </w:pPr>
      <w:bookmarkStart w:id="145" w:name="_Toc514855223"/>
      <w:r>
        <w:rPr>
          <w:b/>
          <w:bCs/>
          <w:sz w:val="24"/>
        </w:rPr>
        <w:t>表3.4主要产品方案一览表</w:t>
      </w:r>
      <w:bookmarkEnd w:id="145"/>
    </w:p>
    <w:tbl>
      <w:tblPr>
        <w:tblStyle w:val="119"/>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64"/>
        <w:gridCol w:w="1261"/>
        <w:gridCol w:w="2533"/>
        <w:gridCol w:w="2024"/>
        <w:gridCol w:w="202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b/>
                <w:bCs/>
                <w:color w:val="000000" w:themeColor="text1"/>
                <w:sz w:val="21"/>
                <w:szCs w:val="21"/>
                <w14:textFill>
                  <w14:solidFill>
                    <w14:schemeClr w14:val="tx1"/>
                  </w14:solidFill>
                </w14:textFill>
              </w:rPr>
            </w:pPr>
            <w:bookmarkStart w:id="146" w:name="_Toc22513"/>
            <w:bookmarkStart w:id="147" w:name="_Toc521491314"/>
            <w:bookmarkStart w:id="148" w:name="_Toc1553"/>
            <w:bookmarkStart w:id="149" w:name="_Toc1577"/>
            <w:bookmarkStart w:id="150" w:name="_Toc31253"/>
            <w:bookmarkStart w:id="151" w:name="_Toc7045"/>
            <w:bookmarkStart w:id="152" w:name="_Toc521501396"/>
            <w:bookmarkStart w:id="153" w:name="_Toc8621"/>
            <w:r>
              <w:rPr>
                <w:rFonts w:hint="default" w:ascii="Times New Roman" w:hAnsi="Times New Roman" w:eastAsia="宋体" w:cs="Times New Roman"/>
                <w:b/>
                <w:bCs/>
                <w:color w:val="000000" w:themeColor="text1"/>
                <w:sz w:val="21"/>
                <w:szCs w:val="21"/>
                <w14:textFill>
                  <w14:solidFill>
                    <w14:schemeClr w14:val="tx1"/>
                  </w14:solidFill>
                </w14:textFill>
              </w:rPr>
              <w:t>序号</w:t>
            </w:r>
          </w:p>
        </w:tc>
        <w:tc>
          <w:tcPr>
            <w:tcW w:w="75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产品名称</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型号长（m）×直径（m）</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b/>
                <w:bCs/>
                <w:color w:val="000000" w:themeColor="text1"/>
                <w:sz w:val="21"/>
                <w:szCs w:val="21"/>
                <w14:textFill>
                  <w14:solidFill>
                    <w14:schemeClr w14:val="tx1"/>
                  </w14:solidFill>
                </w14:textFill>
              </w:rPr>
            </w:pPr>
            <w:r>
              <w:rPr>
                <w:rFonts w:hint="eastAsia" w:ascii="Times New Roman" w:hAnsi="Times New Roman" w:eastAsia="宋体" w:cs="Times New Roman"/>
                <w:b/>
                <w:bCs/>
                <w:color w:val="000000" w:themeColor="text1"/>
                <w:sz w:val="21"/>
                <w:szCs w:val="21"/>
                <w:lang w:eastAsia="zh-CN"/>
                <w14:textFill>
                  <w14:solidFill>
                    <w14:schemeClr w14:val="tx1"/>
                  </w14:solidFill>
                </w14:textFill>
              </w:rPr>
              <w:t>环评申报</w:t>
            </w:r>
            <w:r>
              <w:rPr>
                <w:rFonts w:hint="default" w:ascii="Times New Roman" w:hAnsi="Times New Roman" w:eastAsia="宋体" w:cs="Times New Roman"/>
                <w:b/>
                <w:bCs/>
                <w:color w:val="000000" w:themeColor="text1"/>
                <w:sz w:val="21"/>
                <w:szCs w:val="21"/>
                <w14:textFill>
                  <w14:solidFill>
                    <w14:schemeClr w14:val="tx1"/>
                  </w14:solidFill>
                </w14:textFill>
              </w:rPr>
              <w:t>产能 （万t/a）</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eastAsia" w:ascii="Times New Roman" w:hAnsi="Times New Roman" w:eastAsia="宋体" w:cs="Times New Roman"/>
                <w:b/>
                <w:bCs/>
                <w:color w:val="000000" w:themeColor="text1"/>
                <w:sz w:val="21"/>
                <w:szCs w:val="21"/>
                <w:lang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eastAsia="zh-CN"/>
                <w14:textFill>
                  <w14:solidFill>
                    <w14:schemeClr w14:val="tx1"/>
                  </w14:solidFill>
                </w14:textFill>
              </w:rPr>
              <w:t>实际建设产能（万</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t/a</w:t>
            </w:r>
            <w:r>
              <w:rPr>
                <w:rFonts w:hint="eastAsia" w:ascii="Times New Roman" w:hAnsi="Times New Roman" w:eastAsia="宋体" w:cs="Times New Roman"/>
                <w:b/>
                <w:bCs/>
                <w:color w:val="000000" w:themeColor="text1"/>
                <w:sz w:val="21"/>
                <w:szCs w:val="21"/>
                <w:lang w:eastAsia="zh-CN"/>
                <w14:textFill>
                  <w14:solidFill>
                    <w14:schemeClr w14:val="tx1"/>
                  </w14:solidFill>
                </w14:textFill>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75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4×0.5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0.2</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75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4×1.0</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0.2</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w:t>
            </w:r>
          </w:p>
        </w:tc>
        <w:tc>
          <w:tcPr>
            <w:tcW w:w="75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4×1.25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0.3</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w:t>
            </w:r>
          </w:p>
        </w:tc>
        <w:tc>
          <w:tcPr>
            <w:tcW w:w="75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4×1.5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0.3</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75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6×0.5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75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6×1.0</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7</w:t>
            </w:r>
          </w:p>
        </w:tc>
        <w:tc>
          <w:tcPr>
            <w:tcW w:w="75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6×1.25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w:t>
            </w:r>
          </w:p>
        </w:tc>
        <w:tc>
          <w:tcPr>
            <w:tcW w:w="75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6×1.5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9</w:t>
            </w:r>
          </w:p>
        </w:tc>
        <w:tc>
          <w:tcPr>
            <w:tcW w:w="75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8×0.5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w:t>
            </w:r>
          </w:p>
        </w:tc>
        <w:tc>
          <w:tcPr>
            <w:tcW w:w="75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8×1.0</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11</w:t>
            </w:r>
          </w:p>
        </w:tc>
        <w:tc>
          <w:tcPr>
            <w:tcW w:w="75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8×1.25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12</w:t>
            </w:r>
          </w:p>
        </w:tc>
        <w:tc>
          <w:tcPr>
            <w:tcW w:w="75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8×1.5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13</w:t>
            </w:r>
          </w:p>
        </w:tc>
        <w:tc>
          <w:tcPr>
            <w:tcW w:w="75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10×0.5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14</w:t>
            </w:r>
          </w:p>
        </w:tc>
        <w:tc>
          <w:tcPr>
            <w:tcW w:w="75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10×1.0</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15</w:t>
            </w:r>
          </w:p>
        </w:tc>
        <w:tc>
          <w:tcPr>
            <w:tcW w:w="75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10×1.25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16</w:t>
            </w:r>
          </w:p>
        </w:tc>
        <w:tc>
          <w:tcPr>
            <w:tcW w:w="75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10×1.5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17</w:t>
            </w:r>
          </w:p>
        </w:tc>
        <w:tc>
          <w:tcPr>
            <w:tcW w:w="75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12×0.5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0.2</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18</w:t>
            </w:r>
          </w:p>
        </w:tc>
        <w:tc>
          <w:tcPr>
            <w:tcW w:w="75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12×1.0</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0.2</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19</w:t>
            </w:r>
          </w:p>
        </w:tc>
        <w:tc>
          <w:tcPr>
            <w:tcW w:w="75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12×1.25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0.3</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20</w:t>
            </w:r>
          </w:p>
        </w:tc>
        <w:tc>
          <w:tcPr>
            <w:tcW w:w="75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钢管</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12×1.5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0.3</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21</w:t>
            </w:r>
          </w:p>
        </w:tc>
        <w:tc>
          <w:tcPr>
            <w:tcW w:w="75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变电器</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22</w:t>
            </w:r>
          </w:p>
        </w:tc>
        <w:tc>
          <w:tcPr>
            <w:tcW w:w="75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光伏支架</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7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23</w:t>
            </w:r>
          </w:p>
        </w:tc>
        <w:tc>
          <w:tcPr>
            <w:tcW w:w="759"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其他需镀锌的材料</w:t>
            </w:r>
          </w:p>
        </w:tc>
        <w:tc>
          <w:tcPr>
            <w:tcW w:w="1522"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562" w:type="pct"/>
            <w:gridSpan w:val="3"/>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合计</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w:t>
            </w:r>
          </w:p>
        </w:tc>
        <w:tc>
          <w:tcPr>
            <w:tcW w:w="1218" w:type="pct"/>
            <w:tcBorders>
              <w:top w:val="single" w:color="auto" w:sz="4" w:space="0"/>
              <w:left w:val="single" w:color="auto" w:sz="4" w:space="0"/>
              <w:bottom w:val="single" w:color="auto" w:sz="4" w:space="0"/>
              <w:right w:val="single" w:color="auto" w:sz="4" w:space="0"/>
            </w:tcBorders>
            <w:vAlign w:val="center"/>
          </w:tcPr>
          <w:p>
            <w:pPr>
              <w:pStyle w:val="117"/>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10</w:t>
            </w:r>
          </w:p>
        </w:tc>
      </w:tr>
    </w:tbl>
    <w:p>
      <w:pPr>
        <w:spacing w:line="360" w:lineRule="auto"/>
        <w:jc w:val="left"/>
        <w:outlineLvl w:val="1"/>
        <w:rPr>
          <w:b/>
          <w:color w:val="auto"/>
          <w:sz w:val="28"/>
          <w:szCs w:val="28"/>
        </w:rPr>
      </w:pPr>
      <w:r>
        <w:rPr>
          <w:b/>
          <w:color w:val="auto"/>
          <w:sz w:val="28"/>
          <w:szCs w:val="28"/>
        </w:rPr>
        <w:t>3.4水源及水平衡</w:t>
      </w:r>
      <w:bookmarkEnd w:id="146"/>
      <w:bookmarkEnd w:id="147"/>
      <w:bookmarkEnd w:id="148"/>
      <w:bookmarkEnd w:id="149"/>
      <w:bookmarkEnd w:id="150"/>
      <w:bookmarkEnd w:id="151"/>
      <w:bookmarkEnd w:id="152"/>
      <w:bookmarkEnd w:id="153"/>
    </w:p>
    <w:p>
      <w:pPr>
        <w:spacing w:line="360" w:lineRule="auto"/>
        <w:ind w:firstLine="480" w:firstLineChars="200"/>
        <w:jc w:val="both"/>
        <w:rPr>
          <w:rFonts w:hint="default" w:ascii="Times New Roman" w:hAnsi="Times New Roman" w:eastAsia="宋体" w:cs="Times New Roman"/>
          <w:color w:val="000000" w:themeColor="text1"/>
          <w:sz w:val="24"/>
          <w:lang w:eastAsia="zh-CN"/>
          <w14:textFill>
            <w14:solidFill>
              <w14:schemeClr w14:val="tx1"/>
            </w14:solidFill>
          </w14:textFill>
        </w:rPr>
      </w:pPr>
      <w:r>
        <w:rPr>
          <w:rFonts w:hint="eastAsia" w:ascii="Times New Roman" w:hAnsi="Times New Roman" w:eastAsia="宋体" w:cs="Times New Roman"/>
          <w:color w:val="auto"/>
          <w:sz w:val="24"/>
          <w:lang w:eastAsia="zh-CN"/>
        </w:rPr>
        <w:t>实际生产过程中</w:t>
      </w:r>
      <w:r>
        <w:rPr>
          <w:rFonts w:hint="default" w:ascii="Times New Roman" w:hAnsi="Times New Roman" w:eastAsia="宋体" w:cs="Times New Roman"/>
          <w:color w:val="auto"/>
          <w:sz w:val="24"/>
          <w:lang w:eastAsia="zh-CN"/>
        </w:rPr>
        <w:t>用水包括生产用水和生活用水，生产用水包括碱洗池</w:t>
      </w:r>
      <w:r>
        <w:rPr>
          <w:rFonts w:hint="default" w:ascii="Times New Roman" w:hAnsi="Times New Roman" w:eastAsia="宋体" w:cs="Times New Roman"/>
          <w:color w:val="auto"/>
          <w:sz w:val="24"/>
        </w:rPr>
        <w:t>氢氧化钠</w:t>
      </w:r>
      <w:r>
        <w:rPr>
          <w:rFonts w:hint="default" w:ascii="Times New Roman" w:hAnsi="Times New Roman" w:eastAsia="宋体" w:cs="Times New Roman"/>
          <w:color w:val="auto"/>
          <w:sz w:val="24"/>
          <w:lang w:eastAsia="zh-CN"/>
        </w:rPr>
        <w:t>配比</w:t>
      </w:r>
      <w:r>
        <w:rPr>
          <w:rFonts w:hint="default" w:ascii="Times New Roman" w:hAnsi="Times New Roman" w:eastAsia="宋体" w:cs="Times New Roman"/>
          <w:color w:val="auto"/>
          <w:sz w:val="24"/>
        </w:rPr>
        <w:t>用水</w:t>
      </w:r>
      <w:r>
        <w:rPr>
          <w:rFonts w:hint="default" w:ascii="Times New Roman" w:hAnsi="Times New Roman" w:eastAsia="宋体" w:cs="Times New Roman"/>
          <w:color w:val="auto"/>
          <w:sz w:val="24"/>
          <w:lang w:eastAsia="zh-CN"/>
        </w:rPr>
        <w:t>、酸洗池</w:t>
      </w:r>
      <w:r>
        <w:rPr>
          <w:rFonts w:hint="default" w:ascii="Times New Roman" w:hAnsi="Times New Roman" w:eastAsia="宋体" w:cs="Times New Roman"/>
          <w:color w:val="auto"/>
          <w:sz w:val="24"/>
        </w:rPr>
        <w:t>盐酸稀释用水</w:t>
      </w:r>
      <w:r>
        <w:rPr>
          <w:rFonts w:hint="default" w:ascii="Times New Roman" w:hAnsi="Times New Roman" w:eastAsia="宋体" w:cs="Times New Roman"/>
          <w:color w:val="auto"/>
          <w:sz w:val="24"/>
          <w:lang w:eastAsia="zh-CN"/>
        </w:rPr>
        <w:t>、水洗池漂洗用水、助镀池</w:t>
      </w:r>
      <w:r>
        <w:rPr>
          <w:rFonts w:hint="default" w:ascii="Times New Roman" w:hAnsi="Times New Roman" w:eastAsia="宋体" w:cs="Times New Roman"/>
          <w:color w:val="auto"/>
          <w:sz w:val="24"/>
        </w:rPr>
        <w:t>用水</w:t>
      </w:r>
      <w:r>
        <w:rPr>
          <w:rFonts w:hint="default" w:ascii="Times New Roman" w:hAnsi="Times New Roman" w:eastAsia="宋体" w:cs="Times New Roman"/>
          <w:color w:val="auto"/>
          <w:sz w:val="24"/>
          <w:lang w:eastAsia="zh-CN"/>
        </w:rPr>
        <w:t>、冷却池</w:t>
      </w:r>
      <w:r>
        <w:rPr>
          <w:rFonts w:hint="default" w:ascii="Times New Roman" w:hAnsi="Times New Roman" w:eastAsia="宋体" w:cs="Times New Roman"/>
          <w:color w:val="auto"/>
          <w:sz w:val="24"/>
        </w:rPr>
        <w:t>用水</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000000" w:themeColor="text1"/>
          <w:sz w:val="24"/>
          <w:szCs w:val="24"/>
          <w14:textFill>
            <w14:solidFill>
              <w14:schemeClr w14:val="tx1"/>
            </w14:solidFill>
          </w14:textFill>
        </w:rPr>
        <w:t>钝化液配置用水</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盐酸雾处理系统用水</w:t>
      </w:r>
      <w:r>
        <w:rPr>
          <w:rFonts w:hint="default" w:ascii="Times New Roman" w:hAnsi="Times New Roman" w:eastAsia="宋体" w:cs="Times New Roman"/>
          <w:color w:val="000000" w:themeColor="text1"/>
          <w:sz w:val="24"/>
          <w:lang w:eastAsia="zh-CN"/>
          <w14:textFill>
            <w14:solidFill>
              <w14:schemeClr w14:val="tx1"/>
            </w14:solidFill>
          </w14:textFill>
        </w:rPr>
        <w:t>。</w:t>
      </w:r>
    </w:p>
    <w:p>
      <w:pPr>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①</w:t>
      </w:r>
      <w:r>
        <w:rPr>
          <w:rFonts w:hint="default" w:ascii="Times New Roman" w:hAnsi="Times New Roman" w:eastAsia="宋体" w:cs="Times New Roman"/>
          <w:color w:val="000000" w:themeColor="text1"/>
          <w:sz w:val="24"/>
          <w:lang w:eastAsia="zh-CN"/>
          <w14:textFill>
            <w14:solidFill>
              <w14:schemeClr w14:val="tx1"/>
            </w14:solidFill>
          </w14:textFill>
        </w:rPr>
        <w:t>酸洗池</w:t>
      </w:r>
      <w:r>
        <w:rPr>
          <w:rFonts w:hint="default" w:ascii="Times New Roman" w:hAnsi="Times New Roman" w:eastAsia="宋体" w:cs="Times New Roman"/>
          <w:color w:val="000000" w:themeColor="text1"/>
          <w:sz w:val="24"/>
          <w14:textFill>
            <w14:solidFill>
              <w14:schemeClr w14:val="tx1"/>
            </w14:solidFill>
          </w14:textFill>
        </w:rPr>
        <w:t>盐酸稀释用水</w:t>
      </w:r>
    </w:p>
    <w:p>
      <w:pPr>
        <w:spacing w:line="360" w:lineRule="auto"/>
        <w:ind w:firstLine="480" w:firstLineChars="20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eastAsia="zh-CN"/>
          <w14:textFill>
            <w14:solidFill>
              <w14:schemeClr w14:val="tx1"/>
            </w14:solidFill>
          </w14:textFill>
        </w:rPr>
        <w:t>根据建设单位提供资料和现场踏勘，</w:t>
      </w:r>
      <w:r>
        <w:rPr>
          <w:rFonts w:hint="default" w:ascii="Times New Roman" w:hAnsi="Times New Roman" w:eastAsia="宋体" w:cs="Times New Roman"/>
          <w:color w:val="000000" w:themeColor="text1"/>
          <w:sz w:val="24"/>
          <w:lang w:eastAsia="zh-CN"/>
          <w14:textFill>
            <w14:solidFill>
              <w14:schemeClr w14:val="tx1"/>
            </w14:solidFill>
          </w14:textFill>
        </w:rPr>
        <w:t>采购浓度</w:t>
      </w:r>
      <w:r>
        <w:rPr>
          <w:rFonts w:hint="default" w:ascii="Times New Roman" w:hAnsi="Times New Roman" w:eastAsia="宋体" w:cs="Times New Roman"/>
          <w:color w:val="000000" w:themeColor="text1"/>
          <w:sz w:val="24"/>
          <w:lang w:val="en-US" w:eastAsia="zh-CN"/>
          <w14:textFill>
            <w14:solidFill>
              <w14:schemeClr w14:val="tx1"/>
            </w14:solidFill>
          </w14:textFill>
        </w:rPr>
        <w:t>31%的盐酸后在酸洗池内配置成浓度15%的酸洗液进行酸洗，项目年使用盐酸（31%）700t/a，配置成浓度15%的盐酸需加水747t/a、2.49t/d。</w:t>
      </w:r>
    </w:p>
    <w:p>
      <w:pPr>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②</w:t>
      </w:r>
      <w:r>
        <w:rPr>
          <w:rFonts w:hint="default" w:ascii="Times New Roman" w:hAnsi="Times New Roman" w:eastAsia="宋体" w:cs="Times New Roman"/>
          <w:color w:val="000000" w:themeColor="text1"/>
          <w:sz w:val="24"/>
          <w:lang w:eastAsia="zh-CN"/>
          <w14:textFill>
            <w14:solidFill>
              <w14:schemeClr w14:val="tx1"/>
            </w14:solidFill>
          </w14:textFill>
        </w:rPr>
        <w:t>碱洗池</w:t>
      </w:r>
      <w:r>
        <w:rPr>
          <w:rFonts w:hint="default" w:ascii="Times New Roman" w:hAnsi="Times New Roman" w:eastAsia="宋体" w:cs="Times New Roman"/>
          <w:color w:val="000000" w:themeColor="text1"/>
          <w:sz w:val="24"/>
          <w14:textFill>
            <w14:solidFill>
              <w14:schemeClr w14:val="tx1"/>
            </w14:solidFill>
          </w14:textFill>
        </w:rPr>
        <w:t>氢氧化钠稀释用水</w:t>
      </w:r>
    </w:p>
    <w:p>
      <w:pPr>
        <w:spacing w:line="360" w:lineRule="auto"/>
        <w:ind w:firstLine="480" w:firstLineChars="200"/>
        <w:rPr>
          <w:rFonts w:hint="eastAsia" w:ascii="Times New Roman" w:hAnsi="Times New Roman" w:eastAsia="宋体" w:cs="Times New Roman"/>
          <w:color w:val="000000" w:themeColor="text1"/>
          <w:sz w:val="24"/>
          <w:lang w:eastAsia="zh-CN"/>
          <w14:textFill>
            <w14:solidFill>
              <w14:schemeClr w14:val="tx1"/>
            </w14:solidFill>
          </w14:textFill>
        </w:rPr>
      </w:pPr>
      <w:r>
        <w:rPr>
          <w:rFonts w:hint="eastAsia" w:cs="Times New Roman"/>
          <w:color w:val="000000" w:themeColor="text1"/>
          <w:sz w:val="24"/>
          <w:lang w:eastAsia="zh-CN"/>
          <w14:textFill>
            <w14:solidFill>
              <w14:schemeClr w14:val="tx1"/>
            </w14:solidFill>
          </w14:textFill>
        </w:rPr>
        <w:t>根据建设单位提供资料和现场踏勘可知，</w:t>
      </w:r>
      <w:r>
        <w:rPr>
          <w:rFonts w:hint="default" w:ascii="Times New Roman" w:hAnsi="Times New Roman" w:eastAsia="宋体" w:cs="Times New Roman"/>
          <w:color w:val="000000" w:themeColor="text1"/>
          <w:sz w:val="24"/>
          <w14:textFill>
            <w14:solidFill>
              <w14:schemeClr w14:val="tx1"/>
            </w14:solidFill>
          </w14:textFill>
        </w:rPr>
        <w:t>碱液为使用NaOH溶液，与纯净水配比为NaOH溶液：纯净水=1</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20</w:t>
      </w:r>
      <w:r>
        <w:rPr>
          <w:rFonts w:hint="default" w:ascii="Times New Roman" w:hAnsi="Times New Roman" w:eastAsia="宋体" w:cs="Times New Roman"/>
          <w:color w:val="000000" w:themeColor="text1"/>
          <w:sz w:val="24"/>
          <w14:textFill>
            <w14:solidFill>
              <w14:schemeClr w14:val="tx1"/>
            </w14:solidFill>
          </w14:textFill>
        </w:rPr>
        <w:t>，用水量为</w:t>
      </w:r>
      <w:r>
        <w:rPr>
          <w:rFonts w:hint="default" w:ascii="Times New Roman" w:hAnsi="Times New Roman" w:eastAsia="宋体" w:cs="Times New Roman"/>
          <w:color w:val="000000" w:themeColor="text1"/>
          <w:sz w:val="24"/>
          <w:lang w:val="en-US" w:eastAsia="zh-CN"/>
          <w14:textFill>
            <w14:solidFill>
              <w14:schemeClr w14:val="tx1"/>
            </w14:solidFill>
          </w14:textFill>
        </w:rPr>
        <w:t>20</w:t>
      </w:r>
      <w:r>
        <w:rPr>
          <w:rFonts w:hint="default" w:ascii="Times New Roman" w:hAnsi="Times New Roman" w:eastAsia="宋体" w:cs="Times New Roman"/>
          <w:color w:val="000000" w:themeColor="text1"/>
          <w:sz w:val="24"/>
          <w14:textFill>
            <w14:solidFill>
              <w14:schemeClr w14:val="tx1"/>
            </w14:solidFill>
          </w14:textFill>
        </w:rPr>
        <w:t>0t/a</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0.67t/d</w:t>
      </w:r>
      <w:r>
        <w:rPr>
          <w:rFonts w:hint="default" w:ascii="Times New Roman" w:hAnsi="Times New Roman" w:eastAsia="宋体" w:cs="Times New Roman"/>
          <w:color w:val="000000" w:themeColor="text1"/>
          <w:sz w:val="24"/>
          <w14:textFill>
            <w14:solidFill>
              <w14:schemeClr w14:val="tx1"/>
            </w14:solidFill>
          </w14:textFill>
        </w:rPr>
        <w:t>；</w:t>
      </w:r>
      <w:r>
        <w:rPr>
          <w:rFonts w:hint="default" w:ascii="Times New Roman" w:hAnsi="Times New Roman" w:eastAsia="宋体" w:cs="Times New Roman"/>
          <w:color w:val="000000" w:themeColor="text1"/>
          <w:sz w:val="24"/>
          <w:lang w:eastAsia="zh-CN"/>
          <w14:textFill>
            <w14:solidFill>
              <w14:schemeClr w14:val="tx1"/>
            </w14:solidFill>
          </w14:textFill>
        </w:rPr>
        <w:t>碱洗池尺寸为14.7m×2.2m×3.31m，碱液容量为</w:t>
      </w:r>
      <w:r>
        <w:rPr>
          <w:rFonts w:hint="default" w:ascii="Times New Roman" w:hAnsi="Times New Roman" w:eastAsia="宋体" w:cs="Times New Roman"/>
          <w:color w:val="000000" w:themeColor="text1"/>
          <w:sz w:val="24"/>
          <w:lang w:val="en-US" w:eastAsia="zh-CN"/>
          <w14:textFill>
            <w14:solidFill>
              <w14:schemeClr w14:val="tx1"/>
            </w14:solidFill>
          </w14:textFill>
        </w:rPr>
        <w:t>110t/池，每年更换1次，</w:t>
      </w:r>
      <w:r>
        <w:rPr>
          <w:rFonts w:hint="default" w:ascii="Times New Roman" w:hAnsi="Times New Roman" w:eastAsia="宋体" w:cs="Times New Roman"/>
          <w:color w:val="000000" w:themeColor="text1"/>
          <w:sz w:val="24"/>
          <w:lang w:eastAsia="zh-CN"/>
          <w14:textFill>
            <w14:solidFill>
              <w14:schemeClr w14:val="tx1"/>
            </w14:solidFill>
          </w14:textFill>
        </w:rPr>
        <w:t>废水产生量为</w:t>
      </w:r>
      <w:r>
        <w:rPr>
          <w:rFonts w:hint="default" w:ascii="Times New Roman" w:hAnsi="Times New Roman" w:eastAsia="宋体" w:cs="Times New Roman"/>
          <w:color w:val="000000" w:themeColor="text1"/>
          <w:sz w:val="24"/>
          <w:lang w:val="en-US" w:eastAsia="zh-CN"/>
          <w14:textFill>
            <w14:solidFill>
              <w14:schemeClr w14:val="tx1"/>
            </w14:solidFill>
          </w14:textFill>
        </w:rPr>
        <w:t>110t/a、0.37t/d</w:t>
      </w:r>
      <w:r>
        <w:rPr>
          <w:rFonts w:hint="default" w:ascii="Times New Roman" w:hAnsi="Times New Roman" w:eastAsia="宋体" w:cs="Times New Roman"/>
          <w:color w:val="000000" w:themeColor="text1"/>
          <w:sz w:val="24"/>
          <w14:textFill>
            <w14:solidFill>
              <w14:schemeClr w14:val="tx1"/>
            </w14:solidFill>
          </w14:textFill>
        </w:rPr>
        <w:t>；</w:t>
      </w:r>
      <w:r>
        <w:rPr>
          <w:rFonts w:hint="default" w:ascii="Times New Roman" w:hAnsi="Times New Roman" w:eastAsia="宋体" w:cs="Times New Roman"/>
          <w:color w:val="000000" w:themeColor="text1"/>
          <w:sz w:val="24"/>
          <w:lang w:eastAsia="zh-CN"/>
          <w14:textFill>
            <w14:solidFill>
              <w14:schemeClr w14:val="tx1"/>
            </w14:solidFill>
          </w14:textFill>
        </w:rPr>
        <w:t>通过水泵将废碱液送至污水处理站处理后回用于生产不外排</w:t>
      </w:r>
      <w:r>
        <w:rPr>
          <w:rFonts w:hint="eastAsia"/>
          <w:lang w:eastAsia="zh-CN"/>
        </w:rPr>
        <w:t>。</w:t>
      </w:r>
    </w:p>
    <w:p>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③</w:t>
      </w:r>
      <w:r>
        <w:rPr>
          <w:rFonts w:hint="default" w:ascii="Times New Roman" w:hAnsi="Times New Roman" w:eastAsia="宋体" w:cs="Times New Roman"/>
          <w:color w:val="000000" w:themeColor="text1"/>
          <w:sz w:val="24"/>
          <w:lang w:eastAsia="zh-CN"/>
          <w14:textFill>
            <w14:solidFill>
              <w14:schemeClr w14:val="tx1"/>
            </w14:solidFill>
          </w14:textFill>
        </w:rPr>
        <w:t>水洗池漂洗用水</w:t>
      </w:r>
    </w:p>
    <w:p>
      <w:pPr>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eastAsia" w:cs="Times New Roman"/>
          <w:color w:val="000000" w:themeColor="text1"/>
          <w:sz w:val="24"/>
          <w:lang w:eastAsia="zh-CN"/>
          <w14:textFill>
            <w14:solidFill>
              <w14:schemeClr w14:val="tx1"/>
            </w14:solidFill>
          </w14:textFill>
        </w:rPr>
        <w:t>根据建设单位提供资料和现场踏勘可知，</w:t>
      </w:r>
      <w:r>
        <w:rPr>
          <w:rFonts w:hint="default" w:ascii="Times New Roman" w:hAnsi="Times New Roman" w:eastAsia="宋体" w:cs="Times New Roman"/>
          <w:color w:val="000000" w:themeColor="text1"/>
          <w:sz w:val="24"/>
          <w14:textFill>
            <w14:solidFill>
              <w14:schemeClr w14:val="tx1"/>
            </w14:solidFill>
          </w14:textFill>
        </w:rPr>
        <w:t>本工程年新鲜水补水量为</w:t>
      </w:r>
      <w:r>
        <w:rPr>
          <w:rFonts w:hint="default" w:ascii="Times New Roman" w:hAnsi="Times New Roman" w:eastAsia="宋体" w:cs="Times New Roman"/>
          <w:color w:val="000000" w:themeColor="text1"/>
          <w:sz w:val="24"/>
          <w:lang w:val="en-US" w:eastAsia="zh-CN"/>
          <w14:textFill>
            <w14:solidFill>
              <w14:schemeClr w14:val="tx1"/>
            </w14:solidFill>
          </w14:textFill>
        </w:rPr>
        <w:t>16.5t/d（110×3×5%=16.5）、4450t/a（16.5×14×20=4620）</w:t>
      </w:r>
      <w:r>
        <w:rPr>
          <w:rFonts w:hint="default" w:ascii="Times New Roman" w:hAnsi="Times New Roman" w:eastAsia="宋体" w:cs="Times New Roman"/>
          <w:color w:val="000000" w:themeColor="text1"/>
          <w:sz w:val="24"/>
          <w14:textFill>
            <w14:solidFill>
              <w14:schemeClr w14:val="tx1"/>
            </w14:solidFill>
          </w14:textFill>
        </w:rPr>
        <w:t>，蒸发损耗</w:t>
      </w:r>
      <w:r>
        <w:rPr>
          <w:rFonts w:hint="default" w:ascii="Times New Roman" w:hAnsi="Times New Roman" w:eastAsia="宋体" w:cs="Times New Roman"/>
          <w:color w:val="000000" w:themeColor="text1"/>
          <w:sz w:val="24"/>
          <w:lang w:val="en-US" w:eastAsia="zh-CN"/>
          <w14:textFill>
            <w14:solidFill>
              <w14:schemeClr w14:val="tx1"/>
            </w14:solidFill>
          </w14:textFill>
        </w:rPr>
        <w:t>4620t/a</w:t>
      </w:r>
      <w:r>
        <w:rPr>
          <w:rFonts w:hint="default" w:ascii="Times New Roman" w:hAnsi="Times New Roman" w:eastAsia="宋体" w:cs="Times New Roman"/>
          <w:color w:val="000000" w:themeColor="text1"/>
          <w:sz w:val="24"/>
          <w14:textFill>
            <w14:solidFill>
              <w14:schemeClr w14:val="tx1"/>
            </w14:solidFill>
          </w14:textFill>
        </w:rPr>
        <w:t>，本工程</w:t>
      </w:r>
      <w:r>
        <w:rPr>
          <w:rFonts w:hint="default" w:ascii="Times New Roman" w:hAnsi="Times New Roman" w:eastAsia="宋体" w:cs="Times New Roman"/>
          <w:color w:val="000000" w:themeColor="text1"/>
          <w:sz w:val="24"/>
          <w:lang w:eastAsia="zh-CN"/>
          <w14:textFill>
            <w14:solidFill>
              <w14:schemeClr w14:val="tx1"/>
            </w14:solidFill>
          </w14:textFill>
        </w:rPr>
        <w:t>水洗池</w:t>
      </w:r>
      <w:r>
        <w:rPr>
          <w:rFonts w:hint="default" w:ascii="Times New Roman" w:hAnsi="Times New Roman" w:eastAsia="宋体" w:cs="Times New Roman"/>
          <w:color w:val="000000" w:themeColor="text1"/>
          <w:sz w:val="24"/>
          <w14:textFill>
            <w14:solidFill>
              <w14:schemeClr w14:val="tx1"/>
            </w14:solidFill>
          </w14:textFill>
        </w:rPr>
        <w:t>内补充</w:t>
      </w:r>
      <w:r>
        <w:rPr>
          <w:rFonts w:hint="default" w:ascii="Times New Roman" w:hAnsi="Times New Roman" w:eastAsia="宋体" w:cs="Times New Roman"/>
          <w:color w:val="000000" w:themeColor="text1"/>
          <w:sz w:val="24"/>
          <w:lang w:val="en-US" w:eastAsia="zh-CN"/>
          <w14:textFill>
            <w14:solidFill>
              <w14:schemeClr w14:val="tx1"/>
            </w14:solidFill>
          </w14:textFill>
        </w:rPr>
        <w:t>的</w:t>
      </w:r>
      <w:r>
        <w:rPr>
          <w:rFonts w:hint="default" w:ascii="Times New Roman" w:hAnsi="Times New Roman" w:eastAsia="宋体" w:cs="Times New Roman"/>
          <w:color w:val="000000" w:themeColor="text1"/>
          <w:sz w:val="24"/>
          <w14:textFill>
            <w14:solidFill>
              <w14:schemeClr w14:val="tx1"/>
            </w14:solidFill>
          </w14:textFill>
        </w:rPr>
        <w:t>新水量为</w:t>
      </w:r>
      <w:r>
        <w:rPr>
          <w:rFonts w:hint="default" w:ascii="Times New Roman" w:hAnsi="Times New Roman" w:eastAsia="宋体" w:cs="Times New Roman"/>
          <w:color w:val="000000" w:themeColor="text1"/>
          <w:sz w:val="24"/>
          <w:lang w:val="en-US" w:eastAsia="zh-CN"/>
          <w14:textFill>
            <w14:solidFill>
              <w14:schemeClr w14:val="tx1"/>
            </w14:solidFill>
          </w14:textFill>
        </w:rPr>
        <w:t>38.5t/d</w:t>
      </w:r>
      <w:r>
        <w:rPr>
          <w:rFonts w:hint="default" w:ascii="Times New Roman" w:hAnsi="Times New Roman" w:eastAsia="宋体" w:cs="Times New Roman"/>
          <w:color w:val="000000" w:themeColor="text1"/>
          <w:sz w:val="24"/>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11550t/a</w:t>
      </w:r>
      <w:r>
        <w:rPr>
          <w:rFonts w:hint="default" w:ascii="Times New Roman" w:hAnsi="Times New Roman" w:eastAsia="宋体" w:cs="Times New Roman"/>
          <w:color w:val="000000" w:themeColor="text1"/>
          <w:sz w:val="24"/>
          <w14:textFill>
            <w14:solidFill>
              <w14:schemeClr w14:val="tx1"/>
            </w14:solidFill>
          </w14:textFill>
        </w:rPr>
        <w:t>）</w:t>
      </w:r>
      <w:r>
        <w:rPr>
          <w:rFonts w:hint="default" w:ascii="Times New Roman" w:hAnsi="Times New Roman" w:eastAsia="宋体" w:cs="Times New Roman"/>
          <w:color w:val="000000" w:themeColor="text1"/>
          <w:sz w:val="24"/>
          <w:lang w:eastAsia="zh-CN"/>
          <w14:textFill>
            <w14:solidFill>
              <w14:schemeClr w14:val="tx1"/>
            </w14:solidFill>
          </w14:textFill>
        </w:rPr>
        <w:t>，其中</w:t>
      </w:r>
      <w:r>
        <w:rPr>
          <w:rFonts w:hint="default" w:ascii="Times New Roman" w:hAnsi="Times New Roman" w:eastAsia="宋体" w:cs="Times New Roman"/>
          <w:color w:val="000000" w:themeColor="text1"/>
          <w:sz w:val="24"/>
          <w:lang w:val="en-US" w:eastAsia="zh-CN"/>
          <w14:textFill>
            <w14:solidFill>
              <w14:schemeClr w14:val="tx1"/>
            </w14:solidFill>
          </w14:textFill>
        </w:rPr>
        <w:t>23.1t/d、6930t/a来源于污水处理站处理</w:t>
      </w:r>
      <w:r>
        <w:rPr>
          <w:rFonts w:hint="eastAsia" w:ascii="Times New Roman" w:hAnsi="Times New Roman" w:eastAsia="宋体" w:cs="Times New Roman"/>
          <w:color w:val="000000" w:themeColor="text1"/>
          <w:sz w:val="24"/>
          <w:lang w:val="en-US" w:eastAsia="zh-CN"/>
          <w14:textFill>
            <w14:solidFill>
              <w14:schemeClr w14:val="tx1"/>
            </w14:solidFill>
          </w14:textFill>
        </w:rPr>
        <w:t>回</w:t>
      </w:r>
      <w:r>
        <w:rPr>
          <w:rFonts w:hint="default" w:ascii="Times New Roman" w:hAnsi="Times New Roman" w:eastAsia="宋体" w:cs="Times New Roman"/>
          <w:color w:val="000000" w:themeColor="text1"/>
          <w:sz w:val="24"/>
          <w:lang w:val="en-US" w:eastAsia="zh-CN"/>
          <w14:textFill>
            <w14:solidFill>
              <w14:schemeClr w14:val="tx1"/>
            </w14:solidFill>
          </w14:textFill>
        </w:rPr>
        <w:t>用水，4620t/a、15.4t/d来源于自来水补充</w:t>
      </w:r>
      <w:r>
        <w:rPr>
          <w:rFonts w:hint="default" w:ascii="Times New Roman" w:hAnsi="Times New Roman" w:eastAsia="宋体" w:cs="Times New Roman"/>
          <w:color w:val="000000" w:themeColor="text1"/>
          <w:sz w:val="24"/>
          <w14:textFill>
            <w14:solidFill>
              <w14:schemeClr w14:val="tx1"/>
            </w14:solidFill>
          </w14:textFill>
        </w:rPr>
        <w:t>，废水</w:t>
      </w:r>
      <w:r>
        <w:rPr>
          <w:rFonts w:hint="default" w:ascii="Times New Roman" w:hAnsi="Times New Roman" w:eastAsia="宋体" w:cs="Times New Roman"/>
          <w:color w:val="000000" w:themeColor="text1"/>
          <w:sz w:val="24"/>
          <w:lang w:eastAsia="zh-CN"/>
          <w14:textFill>
            <w14:solidFill>
              <w14:schemeClr w14:val="tx1"/>
            </w14:solidFill>
          </w14:textFill>
        </w:rPr>
        <w:t>产生量</w:t>
      </w:r>
      <w:r>
        <w:rPr>
          <w:rFonts w:hint="default" w:ascii="Times New Roman" w:hAnsi="Times New Roman" w:eastAsia="宋体" w:cs="Times New Roman"/>
          <w:color w:val="000000" w:themeColor="text1"/>
          <w:sz w:val="24"/>
          <w14:textFill>
            <w14:solidFill>
              <w14:schemeClr w14:val="tx1"/>
            </w14:solidFill>
          </w14:textFill>
        </w:rPr>
        <w:t>为</w:t>
      </w:r>
      <w:r>
        <w:rPr>
          <w:rFonts w:hint="default" w:ascii="Times New Roman" w:hAnsi="Times New Roman" w:eastAsia="宋体" w:cs="Times New Roman"/>
          <w:color w:val="000000" w:themeColor="text1"/>
          <w:sz w:val="24"/>
          <w:lang w:val="en-US" w:eastAsia="zh-CN"/>
          <w14:textFill>
            <w14:solidFill>
              <w14:schemeClr w14:val="tx1"/>
            </w14:solidFill>
          </w14:textFill>
        </w:rPr>
        <w:t>6600t/a、22t/d</w:t>
      </w:r>
      <w:r>
        <w:rPr>
          <w:rFonts w:hint="default" w:ascii="Times New Roman" w:hAnsi="Times New Roman" w:eastAsia="宋体" w:cs="Times New Roman"/>
          <w:color w:val="000000" w:themeColor="text1"/>
          <w:sz w:val="24"/>
          <w14:textFill>
            <w14:solidFill>
              <w14:schemeClr w14:val="tx1"/>
            </w14:solidFill>
          </w14:textFill>
        </w:rPr>
        <w:t>，该部分废水经厂区污水处理站处理后用于</w:t>
      </w:r>
      <w:r>
        <w:rPr>
          <w:rFonts w:hint="default" w:ascii="Times New Roman" w:hAnsi="Times New Roman" w:eastAsia="宋体" w:cs="Times New Roman"/>
          <w:color w:val="000000" w:themeColor="text1"/>
          <w:sz w:val="24"/>
          <w:lang w:eastAsia="zh-CN"/>
          <w14:textFill>
            <w14:solidFill>
              <w14:schemeClr w14:val="tx1"/>
            </w14:solidFill>
          </w14:textFill>
        </w:rPr>
        <w:t>水洗池</w:t>
      </w:r>
      <w:r>
        <w:rPr>
          <w:rFonts w:hint="default" w:ascii="Times New Roman" w:hAnsi="Times New Roman" w:eastAsia="宋体" w:cs="Times New Roman"/>
          <w:color w:val="000000" w:themeColor="text1"/>
          <w:sz w:val="24"/>
          <w14:textFill>
            <w14:solidFill>
              <w14:schemeClr w14:val="tx1"/>
            </w14:solidFill>
          </w14:textFill>
        </w:rPr>
        <w:t>补水。</w:t>
      </w:r>
    </w:p>
    <w:p>
      <w:pPr>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④</w:t>
      </w:r>
      <w:r>
        <w:rPr>
          <w:rFonts w:hint="default" w:ascii="Times New Roman" w:hAnsi="Times New Roman" w:eastAsia="宋体" w:cs="Times New Roman"/>
          <w:color w:val="000000" w:themeColor="text1"/>
          <w:sz w:val="24"/>
          <w:lang w:eastAsia="zh-CN"/>
          <w14:textFill>
            <w14:solidFill>
              <w14:schemeClr w14:val="tx1"/>
            </w14:solidFill>
          </w14:textFill>
        </w:rPr>
        <w:t>助镀池</w:t>
      </w:r>
      <w:r>
        <w:rPr>
          <w:rFonts w:hint="default" w:ascii="Times New Roman" w:hAnsi="Times New Roman" w:eastAsia="宋体" w:cs="Times New Roman"/>
          <w:color w:val="000000" w:themeColor="text1"/>
          <w:sz w:val="24"/>
          <w14:textFill>
            <w14:solidFill>
              <w14:schemeClr w14:val="tx1"/>
            </w14:solidFill>
          </w14:textFill>
        </w:rPr>
        <w:t>用水</w:t>
      </w:r>
    </w:p>
    <w:p>
      <w:pPr>
        <w:spacing w:line="360" w:lineRule="auto"/>
        <w:ind w:firstLine="480" w:firstLineChars="20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eastAsia="zh-CN"/>
          <w14:textFill>
            <w14:solidFill>
              <w14:schemeClr w14:val="tx1"/>
            </w14:solidFill>
          </w14:textFill>
        </w:rPr>
        <w:t>根据生产厂家提供的资料，单个助镀槽每日损耗水量约为6-10cm（本次取10cm计），则共需补充的水量为</w:t>
      </w:r>
      <w:r>
        <w:rPr>
          <w:rFonts w:hint="default" w:ascii="Times New Roman" w:hAnsi="Times New Roman" w:eastAsia="宋体" w:cs="Times New Roman"/>
          <w:color w:val="000000" w:themeColor="text1"/>
          <w:sz w:val="24"/>
          <w:lang w:val="en-US" w:eastAsia="zh-CN"/>
          <w14:textFill>
            <w14:solidFill>
              <w14:schemeClr w14:val="tx1"/>
            </w14:solidFill>
          </w14:textFill>
        </w:rPr>
        <w:t>970.2</w:t>
      </w:r>
      <w:r>
        <w:rPr>
          <w:rFonts w:hint="default" w:ascii="Times New Roman" w:hAnsi="Times New Roman" w:eastAsia="宋体" w:cs="Times New Roman"/>
          <w:color w:val="000000" w:themeColor="text1"/>
          <w:sz w:val="24"/>
          <w:lang w:eastAsia="zh-CN"/>
          <w14:textFill>
            <w14:solidFill>
              <w14:schemeClr w14:val="tx1"/>
            </w14:solidFill>
          </w14:textFill>
        </w:rPr>
        <w:t>t/a（</w:t>
      </w:r>
      <w:r>
        <w:rPr>
          <w:rFonts w:hint="default" w:ascii="Times New Roman" w:hAnsi="Times New Roman" w:eastAsia="宋体" w:cs="Times New Roman"/>
          <w:color w:val="000000" w:themeColor="text1"/>
          <w:sz w:val="24"/>
          <w:lang w:val="en-US" w:eastAsia="zh-CN"/>
          <w14:textFill>
            <w14:solidFill>
              <w14:schemeClr w14:val="tx1"/>
            </w14:solidFill>
          </w14:textFill>
        </w:rPr>
        <w:t>14.7m×2.2m×0.1m×300d=970.2</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3.23t/d</w:t>
      </w:r>
      <w:r>
        <w:rPr>
          <w:rFonts w:hint="default" w:ascii="Times New Roman" w:hAnsi="Times New Roman" w:eastAsia="宋体" w:cs="Times New Roman"/>
          <w:color w:val="000000" w:themeColor="text1"/>
          <w:sz w:val="24"/>
          <w:lang w:eastAsia="zh-CN"/>
          <w14:textFill>
            <w14:solidFill>
              <w14:schemeClr w14:val="tx1"/>
            </w14:solidFill>
          </w14:textFill>
        </w:rPr>
        <w:t>。废助镀剂</w:t>
      </w:r>
      <w:r>
        <w:rPr>
          <w:rFonts w:hint="default" w:ascii="Times New Roman" w:hAnsi="Times New Roman" w:eastAsia="宋体" w:cs="Times New Roman"/>
          <w:color w:val="000000" w:themeColor="text1"/>
          <w:sz w:val="24"/>
          <w:lang w:val="en-US" w:eastAsia="zh-CN"/>
          <w14:textFill>
            <w14:solidFill>
              <w14:schemeClr w14:val="tx1"/>
            </w14:solidFill>
          </w14:textFill>
        </w:rPr>
        <w:t>经厂区助镀除铁设施处理后回用于生产，不外排。</w:t>
      </w:r>
    </w:p>
    <w:p>
      <w:pPr>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⑤</w:t>
      </w:r>
      <w:r>
        <w:rPr>
          <w:rFonts w:hint="default" w:ascii="Times New Roman" w:hAnsi="Times New Roman" w:eastAsia="宋体" w:cs="Times New Roman"/>
          <w:color w:val="000000" w:themeColor="text1"/>
          <w:sz w:val="24"/>
          <w:lang w:eastAsia="zh-CN"/>
          <w14:textFill>
            <w14:solidFill>
              <w14:schemeClr w14:val="tx1"/>
            </w14:solidFill>
          </w14:textFill>
        </w:rPr>
        <w:t>冷却池</w:t>
      </w:r>
      <w:r>
        <w:rPr>
          <w:rFonts w:hint="default" w:ascii="Times New Roman" w:hAnsi="Times New Roman" w:eastAsia="宋体" w:cs="Times New Roman"/>
          <w:color w:val="000000" w:themeColor="text1"/>
          <w:sz w:val="24"/>
          <w14:textFill>
            <w14:solidFill>
              <w14:schemeClr w14:val="tx1"/>
            </w14:solidFill>
          </w14:textFill>
        </w:rPr>
        <w:t>用水</w:t>
      </w:r>
    </w:p>
    <w:p>
      <w:pPr>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经过热浸镀锌后的加工件放入水冷槽中用水冷却，水温在30~70</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，时间为 10</w:t>
      </w:r>
      <w:r>
        <w:rPr>
          <w:rFonts w:hint="default" w:ascii="Times New Roman" w:hAnsi="Times New Roman" w:eastAsia="宋体" w:cs="Times New Roman"/>
          <w:color w:val="000000" w:themeColor="text1"/>
          <w:sz w:val="24"/>
          <w:lang w:val="en-US" w:eastAsia="zh-CN"/>
          <w14:textFill>
            <w14:solidFill>
              <w14:schemeClr w14:val="tx1"/>
            </w14:solidFill>
          </w14:textFill>
        </w:rPr>
        <w:t>s</w:t>
      </w:r>
      <w:r>
        <w:rPr>
          <w:rFonts w:hint="default" w:ascii="Times New Roman" w:hAnsi="Times New Roman" w:eastAsia="宋体" w:cs="Times New Roman"/>
          <w:color w:val="000000" w:themeColor="text1"/>
          <w:sz w:val="24"/>
          <w14:textFill>
            <w14:solidFill>
              <w14:schemeClr w14:val="tx1"/>
            </w14:solidFill>
          </w14:textFill>
        </w:rPr>
        <w:t>左右，</w:t>
      </w:r>
      <w:r>
        <w:rPr>
          <w:rFonts w:hint="default" w:ascii="Times New Roman" w:hAnsi="Times New Roman" w:eastAsia="宋体" w:cs="Times New Roman"/>
          <w:color w:val="000000" w:themeColor="text1"/>
          <w:sz w:val="24"/>
          <w:lang w:val="en-US" w:eastAsia="zh-CN"/>
          <w14:textFill>
            <w14:solidFill>
              <w14:schemeClr w14:val="tx1"/>
            </w14:solidFill>
          </w14:textFill>
        </w:rPr>
        <w:t>冷却池水量容积约为100m</w:t>
      </w:r>
      <w:r>
        <w:rPr>
          <w:rFonts w:hint="default" w:ascii="Times New Roman" w:hAnsi="Times New Roman" w:eastAsia="宋体"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冷却水循环使用，定期补充，无废水产生</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补充量为冷却池水量的5%</w:t>
      </w:r>
      <w:r>
        <w:rPr>
          <w:rFonts w:hint="default" w:ascii="Times New Roman" w:hAnsi="Times New Roman" w:eastAsia="宋体" w:cs="Times New Roman"/>
          <w:color w:val="000000" w:themeColor="text1"/>
          <w:sz w:val="24"/>
          <w14:textFill>
            <w14:solidFill>
              <w14:schemeClr w14:val="tx1"/>
            </w14:solidFill>
          </w14:textFill>
        </w:rPr>
        <w:t>。根据生产厂家提供的资料，水冷槽需补充的水量为</w:t>
      </w:r>
      <w:r>
        <w:rPr>
          <w:rFonts w:hint="default" w:ascii="Times New Roman" w:hAnsi="Times New Roman" w:eastAsia="宋体" w:cs="Times New Roman"/>
          <w:color w:val="000000" w:themeColor="text1"/>
          <w:sz w:val="24"/>
          <w:lang w:val="en-US" w:eastAsia="zh-CN"/>
          <w14:textFill>
            <w14:solidFill>
              <w14:schemeClr w14:val="tx1"/>
            </w14:solidFill>
          </w14:textFill>
        </w:rPr>
        <w:t>1500</w:t>
      </w:r>
      <w:r>
        <w:rPr>
          <w:rFonts w:hint="default" w:ascii="Times New Roman" w:hAnsi="Times New Roman" w:eastAsia="宋体" w:cs="Times New Roman"/>
          <w:color w:val="000000" w:themeColor="text1"/>
          <w:sz w:val="24"/>
          <w14:textFill>
            <w14:solidFill>
              <w14:schemeClr w14:val="tx1"/>
            </w14:solidFill>
          </w14:textFill>
        </w:rPr>
        <w:t>t/a</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5t/d</w:t>
      </w:r>
      <w:r>
        <w:rPr>
          <w:rFonts w:hint="default" w:ascii="Times New Roman" w:hAnsi="Times New Roman" w:eastAsia="宋体" w:cs="Times New Roman"/>
          <w:color w:val="000000" w:themeColor="text1"/>
          <w:sz w:val="24"/>
          <w14:textFill>
            <w14:solidFill>
              <w14:schemeClr w14:val="tx1"/>
            </w14:solidFill>
          </w14:textFill>
        </w:rPr>
        <w:t>。</w:t>
      </w:r>
    </w:p>
    <w:p>
      <w:pPr>
        <w:pStyle w:val="38"/>
        <w:adjustRightInd/>
        <w:spacing w:line="360" w:lineRule="auto"/>
        <w:ind w:left="0" w:leftChars="0"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⑥</w:t>
      </w:r>
      <w:r>
        <w:rPr>
          <w:rFonts w:hint="default" w:ascii="Times New Roman" w:hAnsi="Times New Roman" w:eastAsia="宋体" w:cs="Times New Roman"/>
          <w:color w:val="000000" w:themeColor="text1"/>
          <w:sz w:val="24"/>
          <w:szCs w:val="24"/>
          <w14:textFill>
            <w14:solidFill>
              <w14:schemeClr w14:val="tx1"/>
            </w14:solidFill>
          </w14:textFill>
        </w:rPr>
        <w:t>钝化液配置用水</w:t>
      </w:r>
    </w:p>
    <w:p>
      <w:pPr>
        <w:pStyle w:val="38"/>
        <w:adjustRightInd/>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本项目</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部分产品根据客户要求需进行钝化，使用三价铬钝化剂与水配制成钝化液，</w:t>
      </w:r>
      <w:r>
        <w:rPr>
          <w:rFonts w:hint="default" w:ascii="Times New Roman" w:hAnsi="Times New Roman" w:eastAsia="宋体" w:cs="Times New Roman"/>
          <w:color w:val="000000" w:themeColor="text1"/>
          <w:sz w:val="24"/>
          <w:szCs w:val="24"/>
          <w14:textFill>
            <w14:solidFill>
              <w14:schemeClr w14:val="tx1"/>
            </w14:solidFill>
          </w14:textFill>
        </w:rPr>
        <w:t>含铬钝化剂</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default" w:ascii="Times New Roman" w:hAnsi="Times New Roman" w:eastAsia="宋体" w:cs="Times New Roman"/>
          <w:color w:val="000000" w:themeColor="text1"/>
          <w:sz w:val="24"/>
          <w:szCs w:val="24"/>
          <w14:textFill>
            <w14:solidFill>
              <w14:schemeClr w14:val="tx1"/>
            </w14:solidFill>
          </w14:textFill>
        </w:rPr>
        <w:t>用量共</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14:textFill>
            <w14:solidFill>
              <w14:schemeClr w14:val="tx1"/>
            </w14:solidFill>
          </w14:textFill>
        </w:rPr>
        <w:t>t/a，根据业主提供的材料，</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钝化液成分配比为钝化剂：水=1:60，</w:t>
      </w:r>
      <w:r>
        <w:rPr>
          <w:rFonts w:hint="default" w:ascii="Times New Roman" w:hAnsi="Times New Roman" w:eastAsia="宋体" w:cs="Times New Roman"/>
          <w:color w:val="000000" w:themeColor="text1"/>
          <w:sz w:val="24"/>
          <w:szCs w:val="24"/>
          <w14:textFill>
            <w14:solidFill>
              <w14:schemeClr w14:val="tx1"/>
            </w14:solidFill>
          </w14:textFill>
        </w:rPr>
        <w:t>则需加水量为</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240t/a、0.8t/d</w:t>
      </w:r>
      <w:r>
        <w:rPr>
          <w:rFonts w:hint="default" w:ascii="Times New Roman" w:hAnsi="Times New Roman" w:eastAsia="宋体" w:cs="Times New Roman"/>
          <w:color w:val="000000" w:themeColor="text1"/>
          <w:sz w:val="24"/>
          <w:szCs w:val="24"/>
          <w14:textFill>
            <w14:solidFill>
              <w14:schemeClr w14:val="tx1"/>
            </w14:solidFill>
          </w14:textFill>
        </w:rPr>
        <w:t>，全部来自新鲜水</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钝化液定期添加，不外排</w:t>
      </w:r>
      <w:r>
        <w:rPr>
          <w:rFonts w:hint="default" w:ascii="Times New Roman" w:hAnsi="Times New Roman" w:eastAsia="宋体" w:cs="Times New Roman"/>
          <w:color w:val="000000" w:themeColor="text1"/>
          <w:sz w:val="24"/>
          <w:szCs w:val="24"/>
          <w14:textFill>
            <w14:solidFill>
              <w14:schemeClr w14:val="tx1"/>
            </w14:solidFill>
          </w14:textFill>
        </w:rPr>
        <w:t>。</w:t>
      </w:r>
    </w:p>
    <w:p>
      <w:pPr>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⑦盐酸雾处理系统用水</w:t>
      </w:r>
    </w:p>
    <w:p>
      <w:pPr>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酸雾吸收塔吸收液采用6%NaOH溶液</w:t>
      </w:r>
      <w:r>
        <w:rPr>
          <w:rFonts w:hint="default" w:ascii="Times New Roman" w:hAnsi="Times New Roman" w:eastAsia="宋体" w:cs="Times New Roman"/>
          <w:color w:val="000000" w:themeColor="text1"/>
          <w:sz w:val="24"/>
          <w:lang w:val="en-US" w:eastAsia="zh-CN"/>
          <w14:textFill>
            <w14:solidFill>
              <w14:schemeClr w14:val="tx1"/>
            </w14:solidFill>
          </w14:textFill>
        </w:rPr>
        <w:t>进行中和</w:t>
      </w:r>
      <w:r>
        <w:rPr>
          <w:rFonts w:hint="default" w:ascii="Times New Roman" w:hAnsi="Times New Roman" w:eastAsia="宋体" w:cs="Times New Roman"/>
          <w:color w:val="000000" w:themeColor="text1"/>
          <w:sz w:val="24"/>
          <w14:textFill>
            <w14:solidFill>
              <w14:schemeClr w14:val="tx1"/>
            </w14:solidFill>
          </w14:textFill>
        </w:rPr>
        <w:t>，本工程盐酸雾收集量约为</w:t>
      </w:r>
      <w:r>
        <w:rPr>
          <w:rFonts w:hint="eastAsia" w:ascii="Times New Roman" w:hAnsi="Times New Roman" w:eastAsia="宋体" w:cs="Times New Roman"/>
          <w:color w:val="000000" w:themeColor="text1"/>
          <w:sz w:val="24"/>
          <w:lang w:val="en-US" w:eastAsia="zh-CN"/>
          <w14:textFill>
            <w14:solidFill>
              <w14:schemeClr w14:val="tx1"/>
            </w14:solidFill>
          </w14:textFill>
        </w:rPr>
        <w:t>26.89</w:t>
      </w:r>
      <w:r>
        <w:rPr>
          <w:rFonts w:hint="default" w:ascii="Times New Roman" w:hAnsi="Times New Roman" w:eastAsia="宋体" w:cs="Times New Roman"/>
          <w:color w:val="000000" w:themeColor="text1"/>
          <w:sz w:val="24"/>
          <w14:textFill>
            <w14:solidFill>
              <w14:schemeClr w14:val="tx1"/>
            </w14:solidFill>
          </w14:textFill>
        </w:rPr>
        <w:t>t/a，则需要</w:t>
      </w:r>
      <w:r>
        <w:rPr>
          <w:rFonts w:hint="eastAsia" w:ascii="Times New Roman" w:hAnsi="Times New Roman" w:eastAsia="宋体" w:cs="Times New Roman"/>
          <w:color w:val="000000" w:themeColor="text1"/>
          <w:sz w:val="24"/>
          <w:lang w:val="en-US" w:eastAsia="zh-CN"/>
          <w14:textFill>
            <w14:solidFill>
              <w14:schemeClr w14:val="tx1"/>
            </w14:solidFill>
          </w14:textFill>
        </w:rPr>
        <w:t>448.17</w:t>
      </w:r>
      <w:r>
        <w:rPr>
          <w:rFonts w:hint="default" w:ascii="Times New Roman" w:hAnsi="Times New Roman" w:eastAsia="宋体" w:cs="Times New Roman"/>
          <w:color w:val="000000" w:themeColor="text1"/>
          <w:sz w:val="24"/>
          <w14:textFill>
            <w14:solidFill>
              <w14:schemeClr w14:val="tx1"/>
            </w14:solidFill>
          </w14:textFill>
        </w:rPr>
        <w:t>t/a的6%NaOH溶液，部分损耗，废水产生量为</w:t>
      </w:r>
      <w:r>
        <w:rPr>
          <w:rFonts w:hint="eastAsia" w:ascii="Times New Roman" w:hAnsi="Times New Roman" w:eastAsia="宋体" w:cs="Times New Roman"/>
          <w:color w:val="000000" w:themeColor="text1"/>
          <w:sz w:val="24"/>
          <w:lang w:val="en-US" w:eastAsia="zh-CN"/>
          <w14:textFill>
            <w14:solidFill>
              <w14:schemeClr w14:val="tx1"/>
            </w14:solidFill>
          </w14:textFill>
        </w:rPr>
        <w:t>448.17</w:t>
      </w:r>
      <w:r>
        <w:rPr>
          <w:rFonts w:hint="default" w:ascii="Times New Roman" w:hAnsi="Times New Roman" w:eastAsia="宋体" w:cs="Times New Roman"/>
          <w:color w:val="000000" w:themeColor="text1"/>
          <w:sz w:val="24"/>
          <w14:textFill>
            <w14:solidFill>
              <w14:schemeClr w14:val="tx1"/>
            </w14:solidFill>
          </w14:textFill>
        </w:rPr>
        <w:t>m</w:t>
      </w:r>
      <w:r>
        <w:rPr>
          <w:rFonts w:hint="default" w:ascii="Times New Roman" w:hAnsi="Times New Roman" w:eastAsia="宋体" w:cs="Times New Roman"/>
          <w:color w:val="000000" w:themeColor="text1"/>
          <w:sz w:val="24"/>
          <w:vertAlign w:val="superscript"/>
          <w14:textFill>
            <w14:solidFill>
              <w14:schemeClr w14:val="tx1"/>
            </w14:solidFill>
          </w14:textFill>
        </w:rPr>
        <w:t>3</w:t>
      </w:r>
      <w:r>
        <w:rPr>
          <w:rFonts w:hint="default" w:ascii="Times New Roman" w:hAnsi="Times New Roman" w:eastAsia="宋体" w:cs="Times New Roman"/>
          <w:color w:val="000000" w:themeColor="text1"/>
          <w:sz w:val="24"/>
          <w14:textFill>
            <w14:solidFill>
              <w14:schemeClr w14:val="tx1"/>
            </w14:solidFill>
          </w14:textFill>
        </w:rPr>
        <w:t>/a，</w:t>
      </w:r>
      <w:r>
        <w:rPr>
          <w:rFonts w:hint="eastAsia" w:ascii="Times New Roman" w:hAnsi="Times New Roman" w:eastAsia="宋体" w:cs="Times New Roman"/>
          <w:color w:val="000000" w:themeColor="text1"/>
          <w:sz w:val="24"/>
          <w:lang w:eastAsia="zh-CN"/>
          <w14:textFill>
            <w14:solidFill>
              <w14:schemeClr w14:val="tx1"/>
            </w14:solidFill>
          </w14:textFill>
        </w:rPr>
        <w:t>经管道运至污水处理站处理后回用于生产不外排</w:t>
      </w:r>
      <w:r>
        <w:rPr>
          <w:rFonts w:hint="default" w:ascii="Times New Roman" w:hAnsi="Times New Roman" w:eastAsia="宋体" w:cs="Times New Roman"/>
          <w:color w:val="000000" w:themeColor="text1"/>
          <w:sz w:val="24"/>
          <w14:textFill>
            <w14:solidFill>
              <w14:schemeClr w14:val="tx1"/>
            </w14:solidFill>
          </w14:textFill>
        </w:rPr>
        <w:t>。</w:t>
      </w:r>
    </w:p>
    <w:p>
      <w:pPr>
        <w:spacing w:line="360" w:lineRule="auto"/>
        <w:ind w:firstLine="480" w:firstLineChars="200"/>
        <w:outlineLvl w:val="1"/>
        <w:rPr>
          <w:rFonts w:hint="default" w:ascii="Times New Roman" w:hAnsi="Times New Roman" w:eastAsia="宋体" w:cs="Times New Roman"/>
          <w:color w:val="000000" w:themeColor="text1"/>
          <w:sz w:val="24"/>
          <w14:textFill>
            <w14:solidFill>
              <w14:schemeClr w14:val="tx1"/>
            </w14:solidFill>
          </w14:textFill>
        </w:rPr>
      </w:pPr>
      <w:bookmarkStart w:id="154" w:name="_Toc3554"/>
      <w:r>
        <w:rPr>
          <w:rFonts w:hint="default" w:ascii="Times New Roman" w:hAnsi="Times New Roman" w:eastAsia="宋体" w:cs="Times New Roman"/>
          <w:color w:val="000000" w:themeColor="text1"/>
          <w:sz w:val="24"/>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2</w:t>
      </w:r>
      <w:r>
        <w:rPr>
          <w:rFonts w:hint="default" w:ascii="Times New Roman" w:hAnsi="Times New Roman" w:eastAsia="宋体" w:cs="Times New Roman"/>
          <w:color w:val="000000" w:themeColor="text1"/>
          <w:sz w:val="24"/>
          <w14:textFill>
            <w14:solidFill>
              <w14:schemeClr w14:val="tx1"/>
            </w14:solidFill>
          </w14:textFill>
        </w:rPr>
        <w:t>）生活用水</w:t>
      </w:r>
      <w:bookmarkEnd w:id="154"/>
    </w:p>
    <w:p>
      <w:pPr>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eastAsia" w:cs="Times New Roman"/>
          <w:color w:val="000000" w:themeColor="text1"/>
          <w:sz w:val="24"/>
          <w:lang w:eastAsia="zh-CN"/>
          <w14:textFill>
            <w14:solidFill>
              <w14:schemeClr w14:val="tx1"/>
            </w14:solidFill>
          </w14:textFill>
        </w:rPr>
        <w:t>根据现场实际建设情况，</w:t>
      </w:r>
      <w:r>
        <w:rPr>
          <w:rFonts w:hint="default" w:ascii="Times New Roman" w:hAnsi="Times New Roman" w:eastAsia="宋体" w:cs="Times New Roman"/>
          <w:color w:val="000000" w:themeColor="text1"/>
          <w:sz w:val="24"/>
          <w14:textFill>
            <w14:solidFill>
              <w14:schemeClr w14:val="tx1"/>
            </w14:solidFill>
          </w14:textFill>
        </w:rPr>
        <w:t>生活办公用水量为</w:t>
      </w:r>
      <w:r>
        <w:rPr>
          <w:rFonts w:hint="default" w:ascii="Times New Roman" w:hAnsi="Times New Roman" w:eastAsia="宋体" w:cs="Times New Roman"/>
          <w:color w:val="000000" w:themeColor="text1"/>
          <w:sz w:val="24"/>
          <w:lang w:val="en-US" w:eastAsia="zh-CN"/>
          <w14:textFill>
            <w14:solidFill>
              <w14:schemeClr w14:val="tx1"/>
            </w14:solidFill>
          </w14:textFill>
        </w:rPr>
        <w:t>4.2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t/d</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1260t/a</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，则生活污水排放量为</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3.36t/d</w:t>
      </w:r>
      <w:r>
        <w:rPr>
          <w:rFonts w:hint="eastAsia"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1008t/a</w:t>
      </w:r>
      <w:r>
        <w:rPr>
          <w:rFonts w:hint="eastAsia"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w:t>
      </w:r>
    </w:p>
    <w:p>
      <w:pPr>
        <w:spacing w:line="360" w:lineRule="auto"/>
        <w:jc w:val="left"/>
        <w:rPr>
          <w:rFonts w:hAnsi="宋体"/>
          <w:b/>
          <w:sz w:val="24"/>
        </w:rPr>
      </w:pPr>
      <w:r>
        <w:rPr>
          <w:b/>
          <w:bCs/>
          <w:sz w:val="24"/>
        </w:rPr>
        <w:t>项目水量平衡图如下：</w:t>
      </w:r>
    </w:p>
    <w:p>
      <w:pPr>
        <w:pStyle w:val="36"/>
        <w:rPr>
          <w:rFonts w:hint="eastAsia" w:hAnsi="宋体" w:eastAsia="宋体"/>
          <w:lang w:eastAsia="zh-CN"/>
        </w:rPr>
      </w:pPr>
      <w:r>
        <w:rPr>
          <w:color w:val="000000" w:themeColor="text1"/>
          <w14:textFill>
            <w14:solidFill>
              <w14:schemeClr w14:val="tx1"/>
            </w14:solidFill>
          </w14:textFill>
        </w:rPr>
        <w:drawing>
          <wp:anchor distT="0" distB="0" distL="114300" distR="114300" simplePos="0" relativeHeight="251661312" behindDoc="0" locked="0" layoutInCell="1" allowOverlap="1">
            <wp:simplePos x="0" y="0"/>
            <wp:positionH relativeFrom="column">
              <wp:posOffset>119380</wp:posOffset>
            </wp:positionH>
            <wp:positionV relativeFrom="paragraph">
              <wp:posOffset>214630</wp:posOffset>
            </wp:positionV>
            <wp:extent cx="5086350" cy="6867525"/>
            <wp:effectExtent l="0" t="0" r="0" b="952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5086350" cy="6867525"/>
                    </a:xfrm>
                    <a:prstGeom prst="rect">
                      <a:avLst/>
                    </a:prstGeom>
                    <a:noFill/>
                    <a:ln>
                      <a:noFill/>
                    </a:ln>
                  </pic:spPr>
                </pic:pic>
              </a:graphicData>
            </a:graphic>
          </wp:anchor>
        </w:drawing>
      </w:r>
    </w:p>
    <w:p>
      <w:pPr>
        <w:spacing w:line="360" w:lineRule="auto"/>
        <w:jc w:val="center"/>
        <w:rPr>
          <w:b/>
          <w:bCs/>
          <w:sz w:val="24"/>
        </w:rPr>
      </w:pPr>
      <w:r>
        <w:rPr>
          <w:b/>
          <w:bCs/>
          <w:sz w:val="24"/>
        </w:rPr>
        <w:t>图3.1全厂水量平衡图      单位：t/d</w:t>
      </w:r>
    </w:p>
    <w:bookmarkEnd w:id="143"/>
    <w:bookmarkEnd w:id="144"/>
    <w:p>
      <w:pPr>
        <w:keepNext/>
        <w:keepLines/>
        <w:spacing w:line="360" w:lineRule="auto"/>
        <w:outlineLvl w:val="1"/>
        <w:rPr>
          <w:rFonts w:hAnsi="宋体"/>
        </w:rPr>
      </w:pPr>
      <w:bookmarkStart w:id="155" w:name="_Toc20961"/>
      <w:bookmarkStart w:id="156" w:name="_Toc22296"/>
      <w:bookmarkStart w:id="157" w:name="_Toc11717"/>
      <w:bookmarkStart w:id="158" w:name="_Toc10105"/>
      <w:bookmarkStart w:id="159" w:name="_Toc16930"/>
      <w:bookmarkStart w:id="160" w:name="_Toc30534"/>
      <w:r>
        <w:rPr>
          <w:b/>
          <w:bCs/>
          <w:sz w:val="28"/>
          <w:szCs w:val="28"/>
        </w:rPr>
        <w:t>3.5生产工艺</w:t>
      </w:r>
      <w:bookmarkEnd w:id="155"/>
      <w:bookmarkEnd w:id="156"/>
      <w:bookmarkEnd w:id="157"/>
      <w:bookmarkEnd w:id="158"/>
      <w:bookmarkEnd w:id="159"/>
      <w:bookmarkEnd w:id="160"/>
    </w:p>
    <w:p>
      <w:pPr>
        <w:pStyle w:val="36"/>
        <w:rPr>
          <w:spacing w:val="-10"/>
          <w:sz w:val="24"/>
          <w:szCs w:val="24"/>
        </w:rPr>
      </w:pPr>
      <w:r>
        <w:rPr>
          <w:rFonts w:hint="default" w:ascii="Times New Roman" w:hAnsi="Times New Roman" w:eastAsia="宋体" w:cs="Times New Roman"/>
          <w:color w:val="000000" w:themeColor="text1"/>
          <w:lang w:eastAsia="zh-CN"/>
          <w14:textFill>
            <w14:solidFill>
              <w14:schemeClr w14:val="tx1"/>
            </w14:solidFill>
          </w14:textFill>
        </w:rPr>
        <w:drawing>
          <wp:inline distT="0" distB="0" distL="114300" distR="114300">
            <wp:extent cx="5264785" cy="6806565"/>
            <wp:effectExtent l="0" t="0" r="12065" b="13335"/>
            <wp:docPr id="4" name="图片 1" descr="热镀锌工艺流程图1_00_看图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热镀锌工艺流程图1_00_看图王"/>
                    <pic:cNvPicPr>
                      <a:picLocks noChangeAspect="1"/>
                    </pic:cNvPicPr>
                  </pic:nvPicPr>
                  <pic:blipFill>
                    <a:blip r:embed="rId8"/>
                    <a:stretch>
                      <a:fillRect/>
                    </a:stretch>
                  </pic:blipFill>
                  <pic:spPr>
                    <a:xfrm>
                      <a:off x="0" y="0"/>
                      <a:ext cx="5264785" cy="680656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Times New Roman" w:hAnsi="Times New Roman" w:eastAsia="宋体" w:cs="Times New Roman"/>
          <w:b/>
          <w:color w:val="000000" w:themeColor="text1"/>
          <w:kern w:val="0"/>
          <w:sz w:val="24"/>
          <w:szCs w:val="21"/>
          <w:lang w:val="en-US" w:eastAsia="zh-CN" w:bidi="ar-SA"/>
          <w14:textFill>
            <w14:solidFill>
              <w14:schemeClr w14:val="tx1"/>
            </w14:solidFill>
          </w14:textFill>
        </w:rPr>
      </w:pPr>
      <w:r>
        <w:rPr>
          <w:rFonts w:hint="eastAsia" w:cs="Times New Roman"/>
          <w:b/>
          <w:color w:val="000000" w:themeColor="text1"/>
          <w:kern w:val="0"/>
          <w:sz w:val="24"/>
          <w:szCs w:val="21"/>
          <w:lang w:val="en-US" w:eastAsia="zh-CN" w:bidi="ar-SA"/>
          <w14:textFill>
            <w14:solidFill>
              <w14:schemeClr w14:val="tx1"/>
            </w14:solidFill>
          </w14:textFill>
        </w:rPr>
        <w:t>图3.2 工艺流程及产污节点图</w:t>
      </w:r>
    </w:p>
    <w:p>
      <w:pPr>
        <w:keepNext w:val="0"/>
        <w:keepLines w:val="0"/>
        <w:pageBreakBefore w:val="0"/>
        <w:widowControl w:val="0"/>
        <w:kinsoku/>
        <w:wordWrap/>
        <w:overflowPunct/>
        <w:topLinePunct w:val="0"/>
        <w:autoSpaceDE/>
        <w:autoSpaceDN/>
        <w:bidi w:val="0"/>
        <w:adjustRightInd/>
        <w:snapToGrid/>
        <w:spacing w:line="360" w:lineRule="auto"/>
        <w:ind w:left="0" w:firstLine="482" w:firstLineChars="200"/>
        <w:jc w:val="both"/>
        <w:textAlignment w:val="auto"/>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pPr>
      <w:r>
        <w:rPr>
          <w:rFonts w:ascii="Times New Roman" w:hAnsi="Times New Roman" w:eastAsia="宋体" w:cs="Times New Roman"/>
          <w:b/>
          <w:color w:val="000000" w:themeColor="text1"/>
          <w:kern w:val="0"/>
          <w:sz w:val="24"/>
          <w:szCs w:val="21"/>
          <w:lang w:val="en-US" w:eastAsia="zh-CN" w:bidi="ar-SA"/>
          <w14:textFill>
            <w14:solidFill>
              <w14:schemeClr w14:val="tx1"/>
            </w14:solidFill>
          </w14:textFill>
        </w:rPr>
        <w:t>工艺流程简述：</w:t>
      </w:r>
    </w:p>
    <w:p>
      <w:pPr>
        <w:pStyle w:val="38"/>
        <w:keepNext w:val="0"/>
        <w:keepLines w:val="0"/>
        <w:pageBreakBefore w:val="0"/>
        <w:widowControl w:val="0"/>
        <w:kinsoku/>
        <w:wordWrap/>
        <w:overflowPunct/>
        <w:topLinePunct w:val="0"/>
        <w:bidi w:val="0"/>
        <w:adjustRightInd/>
        <w:snapToGrid/>
        <w:spacing w:before="0" w:line="360" w:lineRule="auto"/>
        <w:ind w:left="0" w:firstLine="480" w:firstLineChars="200"/>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（1）碱洗</w:t>
      </w:r>
    </w:p>
    <w:p>
      <w:pPr>
        <w:pStyle w:val="38"/>
        <w:keepNext w:val="0"/>
        <w:keepLines w:val="0"/>
        <w:pageBreakBefore w:val="0"/>
        <w:widowControl w:val="0"/>
        <w:kinsoku/>
        <w:wordWrap/>
        <w:overflowPunct/>
        <w:topLinePunct w:val="0"/>
        <w:bidi w:val="0"/>
        <w:adjustRightInd/>
        <w:snapToGrid/>
        <w:spacing w:before="0" w:line="360" w:lineRule="auto"/>
        <w:ind w:left="0" w:firstLine="480" w:firstLineChars="200"/>
        <w:textAlignment w:val="auto"/>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t>拟建项目通过行车将镀锌件运至轨道车上，运送至</w:t>
      </w:r>
      <w:r>
        <w:rPr>
          <w:rFonts w:hint="default" w:ascii="Times New Roman" w:hAnsi="Times New Roman" w:eastAsia="宋体" w:cs="Times New Roman"/>
          <w:color w:val="000000" w:themeColor="text1"/>
          <w:kern w:val="0"/>
          <w:sz w:val="24"/>
          <w:lang w:eastAsia="zh-CN"/>
          <w14:textFill>
            <w14:solidFill>
              <w14:schemeClr w14:val="tx1"/>
            </w14:solidFill>
          </w14:textFill>
        </w:rPr>
        <w:t>碱洗池、酸洗池</w:t>
      </w:r>
      <w:r>
        <w:rPr>
          <w:rFonts w:hint="default" w:ascii="Times New Roman" w:hAnsi="Times New Roman" w:eastAsia="宋体" w:cs="Times New Roman"/>
          <w:color w:val="000000" w:themeColor="text1"/>
          <w:kern w:val="0"/>
          <w:sz w:val="24"/>
          <w14:textFill>
            <w14:solidFill>
              <w14:schemeClr w14:val="tx1"/>
            </w14:solidFill>
          </w14:textFill>
        </w:rPr>
        <w:t>进行</w:t>
      </w:r>
      <w:r>
        <w:rPr>
          <w:rFonts w:hint="default" w:ascii="Times New Roman" w:hAnsi="Times New Roman" w:eastAsia="宋体" w:cs="Times New Roman"/>
          <w:color w:val="000000" w:themeColor="text1"/>
          <w:kern w:val="0"/>
          <w:sz w:val="24"/>
          <w:lang w:eastAsia="zh-CN"/>
          <w14:textFill>
            <w14:solidFill>
              <w14:schemeClr w14:val="tx1"/>
            </w14:solidFill>
          </w14:textFill>
        </w:rPr>
        <w:t>碱洗、酸洗</w:t>
      </w:r>
      <w:r>
        <w:rPr>
          <w:rFonts w:hint="default" w:ascii="Times New Roman" w:hAnsi="Times New Roman" w:eastAsia="宋体" w:cs="Times New Roman"/>
          <w:color w:val="000000" w:themeColor="text1"/>
          <w:kern w:val="0"/>
          <w:sz w:val="24"/>
          <w14:textFill>
            <w14:solidFill>
              <w14:schemeClr w14:val="tx1"/>
            </w14:solidFill>
          </w14:textFill>
        </w:rPr>
        <w:t>。</w:t>
      </w:r>
      <w:r>
        <w:rPr>
          <w:rFonts w:hint="default" w:ascii="Times New Roman" w:hAnsi="Times New Roman" w:eastAsia="宋体" w:cs="Times New Roman"/>
          <w:color w:val="000000" w:themeColor="text1"/>
          <w:kern w:val="0"/>
          <w:sz w:val="24"/>
          <w:lang w:eastAsia="zh-CN"/>
          <w14:textFill>
            <w14:solidFill>
              <w14:schemeClr w14:val="tx1"/>
            </w14:solidFill>
          </w14:textFill>
        </w:rPr>
        <w:t>碱洗使用</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NaOH配置水溶液，NaOH与水按照1：20的比例配置成NaOH水溶液对工件进行碱洗；</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（2）漂洗</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经碱洗后的待镀锌工件直接由RGV行车吊装至漂洗池内进行清洗，清洗用水为常温水，根据工件不同，清洗时间为1~3min；清洗水定期更换，更换后的废水排至污水处理站处理后回用于生产不外排。</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（3）酸洗</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酸洗原理：钢铁表面因大气腐蚀产生的铁锈，一般是氢氧化铁和氢氧化亚铁，因高温而产生的氧化皮，则主要是四氧化三铁、三氧化二铁。工件热浸镀锌前应将钢铁表面的氧化皮和铁锈除尽，否则将影响助镀效果，甚至产生漏镀。本项目采用15%的盐酸对钢件进行酸洗，主要反应方程式为：</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jc w:val="center"/>
        <w:textAlignment w:val="auto"/>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FeO+2HCl→FeCl</w:t>
      </w:r>
      <w:r>
        <w:rPr>
          <w:rFonts w:hint="default" w:ascii="Times New Roman" w:hAnsi="Times New Roman" w:eastAsia="宋体" w:cs="Times New Roman"/>
          <w:color w:val="000000" w:themeColor="text1"/>
          <w:kern w:val="0"/>
          <w:sz w:val="24"/>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+H</w:t>
      </w:r>
      <w:r>
        <w:rPr>
          <w:rFonts w:hint="default" w:ascii="Times New Roman" w:hAnsi="Times New Roman" w:eastAsia="宋体" w:cs="Times New Roman"/>
          <w:color w:val="000000" w:themeColor="text1"/>
          <w:kern w:val="0"/>
          <w:sz w:val="24"/>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O</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jc w:val="center"/>
        <w:textAlignment w:val="auto"/>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Fe（OH）</w:t>
      </w:r>
      <w:r>
        <w:rPr>
          <w:rFonts w:hint="default" w:ascii="Times New Roman" w:hAnsi="Times New Roman" w:eastAsia="宋体" w:cs="Times New Roman"/>
          <w:color w:val="000000" w:themeColor="text1"/>
          <w:kern w:val="0"/>
          <w:sz w:val="24"/>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+2HCl→FeCl</w:t>
      </w:r>
      <w:r>
        <w:rPr>
          <w:rFonts w:hint="default" w:ascii="Times New Roman" w:hAnsi="Times New Roman" w:eastAsia="宋体" w:cs="Times New Roman"/>
          <w:color w:val="000000" w:themeColor="text1"/>
          <w:kern w:val="0"/>
          <w:sz w:val="24"/>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+2H</w:t>
      </w:r>
      <w:r>
        <w:rPr>
          <w:rFonts w:hint="default" w:ascii="Times New Roman" w:hAnsi="Times New Roman" w:eastAsia="宋体" w:cs="Times New Roman"/>
          <w:color w:val="000000" w:themeColor="text1"/>
          <w:kern w:val="0"/>
          <w:sz w:val="24"/>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O</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jc w:val="center"/>
        <w:textAlignment w:val="auto"/>
        <w:outlineLvl w:val="0"/>
        <w:rPr>
          <w:rFonts w:hint="default" w:ascii="Times New Roman" w:hAnsi="Times New Roman" w:eastAsia="宋体" w:cs="Times New Roman"/>
          <w:color w:val="000000" w:themeColor="text1"/>
          <w:kern w:val="0"/>
          <w:sz w:val="24"/>
          <w:lang w:val="en-US" w:eastAsia="zh-CN"/>
          <w14:textFill>
            <w14:solidFill>
              <w14:schemeClr w14:val="tx1"/>
            </w14:solidFill>
          </w14:textFill>
        </w:rPr>
      </w:pPr>
      <w:bookmarkStart w:id="161" w:name="_Toc2321"/>
      <w:r>
        <w:rPr>
          <w:rFonts w:hint="default" w:ascii="Times New Roman" w:hAnsi="Times New Roman" w:eastAsia="宋体" w:cs="Times New Roman"/>
          <w:color w:val="000000" w:themeColor="text1"/>
          <w:kern w:val="0"/>
          <w:sz w:val="24"/>
          <w:lang w:val="en-US" w:eastAsia="zh-CN"/>
          <w14:textFill>
            <w14:solidFill>
              <w14:schemeClr w14:val="tx1"/>
            </w14:solidFill>
          </w14:textFill>
        </w:rPr>
        <w:t>2Fe（OH）</w:t>
      </w:r>
      <w:r>
        <w:rPr>
          <w:rFonts w:hint="default" w:ascii="Times New Roman" w:hAnsi="Times New Roman" w:eastAsia="宋体" w:cs="Times New Roman"/>
          <w:color w:val="000000" w:themeColor="text1"/>
          <w:kern w:val="0"/>
          <w:sz w:val="24"/>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+6HCl→2FeCl</w:t>
      </w:r>
      <w:r>
        <w:rPr>
          <w:rFonts w:hint="default" w:ascii="Times New Roman" w:hAnsi="Times New Roman" w:eastAsia="宋体" w:cs="Times New Roman"/>
          <w:color w:val="000000" w:themeColor="text1"/>
          <w:kern w:val="0"/>
          <w:sz w:val="24"/>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+6H</w:t>
      </w:r>
      <w:r>
        <w:rPr>
          <w:rFonts w:hint="default" w:ascii="Times New Roman" w:hAnsi="Times New Roman" w:eastAsia="宋体" w:cs="Times New Roman"/>
          <w:color w:val="000000" w:themeColor="text1"/>
          <w:kern w:val="0"/>
          <w:sz w:val="24"/>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O</w:t>
      </w:r>
      <w:bookmarkEnd w:id="161"/>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四氧化三铁与三氧化二铁在室温下的盐酸溶液中较难溶解，但当与铁同时存在时，组成腐蚀电池，铁为阳极，与氧化皮接触处的铁首先溶解，并产生氢气，促使氧化皮从钢铁表面脱落，同时，析出的氢把四氧化三铁与三氧化二铁先还原为氧化亚铁，进而与盐酸反应生成氯化亚铁主要反应方程式为：</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jc w:val="center"/>
        <w:textAlignment w:val="auto"/>
        <w:outlineLvl w:val="0"/>
        <w:rPr>
          <w:rFonts w:hint="default" w:ascii="Times New Roman" w:hAnsi="Times New Roman" w:eastAsia="宋体" w:cs="Times New Roman"/>
          <w:color w:val="000000" w:themeColor="text1"/>
          <w:kern w:val="0"/>
          <w:sz w:val="24"/>
          <w:lang w:val="en-US" w:eastAsia="zh-CN"/>
          <w14:textFill>
            <w14:solidFill>
              <w14:schemeClr w14:val="tx1"/>
            </w14:solidFill>
          </w14:textFill>
        </w:rPr>
      </w:pPr>
      <w:bookmarkStart w:id="162" w:name="_Toc16152"/>
      <w:r>
        <w:rPr>
          <w:rFonts w:hint="default" w:ascii="Times New Roman" w:hAnsi="Times New Roman" w:eastAsia="宋体" w:cs="Times New Roman"/>
          <w:color w:val="000000" w:themeColor="text1"/>
          <w:kern w:val="0"/>
          <w:sz w:val="24"/>
          <w:lang w:val="en-US" w:eastAsia="zh-CN"/>
          <w14:textFill>
            <w14:solidFill>
              <w14:schemeClr w14:val="tx1"/>
            </w14:solidFill>
          </w14:textFill>
        </w:rPr>
        <w:t>2Fe + 6HCl →2FeCl</w:t>
      </w:r>
      <w:r>
        <w:rPr>
          <w:rFonts w:hint="default" w:ascii="Times New Roman" w:hAnsi="Times New Roman" w:eastAsia="宋体" w:cs="Times New Roman"/>
          <w:color w:val="000000" w:themeColor="text1"/>
          <w:kern w:val="0"/>
          <w:sz w:val="24"/>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 xml:space="preserve"> + 3H</w:t>
      </w:r>
      <w:r>
        <w:rPr>
          <w:rFonts w:hint="default" w:ascii="Times New Roman" w:hAnsi="Times New Roman" w:eastAsia="宋体" w:cs="Times New Roman"/>
          <w:color w:val="000000" w:themeColor="text1"/>
          <w:kern w:val="0"/>
          <w:sz w:val="24"/>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w:t>
      </w:r>
      <w:bookmarkEnd w:id="162"/>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jc w:val="center"/>
        <w:textAlignment w:val="auto"/>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Fe</w:t>
      </w:r>
      <w:r>
        <w:rPr>
          <w:rFonts w:hint="default" w:ascii="Times New Roman" w:hAnsi="Times New Roman" w:eastAsia="宋体" w:cs="Times New Roman"/>
          <w:color w:val="000000" w:themeColor="text1"/>
          <w:kern w:val="0"/>
          <w:sz w:val="24"/>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O</w:t>
      </w:r>
      <w:r>
        <w:rPr>
          <w:rFonts w:hint="default" w:ascii="Times New Roman" w:hAnsi="Times New Roman" w:eastAsia="宋体" w:cs="Times New Roman"/>
          <w:color w:val="000000" w:themeColor="text1"/>
          <w:kern w:val="0"/>
          <w:sz w:val="24"/>
          <w:vertAlign w:val="subscript"/>
          <w:lang w:val="en-US" w:eastAsia="zh-CN"/>
          <w14:textFill>
            <w14:solidFill>
              <w14:schemeClr w14:val="tx1"/>
            </w14:solidFill>
          </w14:textFill>
        </w:rPr>
        <w:t>4</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 xml:space="preserve"> + H</w:t>
      </w:r>
      <w:r>
        <w:rPr>
          <w:rFonts w:hint="default" w:ascii="Times New Roman" w:hAnsi="Times New Roman" w:eastAsia="宋体" w:cs="Times New Roman"/>
          <w:color w:val="000000" w:themeColor="text1"/>
          <w:kern w:val="0"/>
          <w:sz w:val="24"/>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 xml:space="preserve"> → 3FeO + H</w:t>
      </w:r>
      <w:r>
        <w:rPr>
          <w:rFonts w:hint="default" w:ascii="Times New Roman" w:hAnsi="Times New Roman" w:eastAsia="宋体" w:cs="Times New Roman"/>
          <w:color w:val="000000" w:themeColor="text1"/>
          <w:kern w:val="0"/>
          <w:sz w:val="24"/>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O</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jc w:val="center"/>
        <w:textAlignment w:val="auto"/>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FezO</w:t>
      </w:r>
      <w:r>
        <w:rPr>
          <w:rFonts w:hint="default" w:ascii="Times New Roman" w:hAnsi="Times New Roman" w:eastAsia="宋体" w:cs="Times New Roman"/>
          <w:color w:val="000000" w:themeColor="text1"/>
          <w:kern w:val="0"/>
          <w:sz w:val="24"/>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 xml:space="preserve"> + H</w:t>
      </w:r>
      <w:r>
        <w:rPr>
          <w:rFonts w:hint="default" w:ascii="Times New Roman" w:hAnsi="Times New Roman" w:eastAsia="宋体" w:cs="Times New Roman"/>
          <w:color w:val="000000" w:themeColor="text1"/>
          <w:kern w:val="0"/>
          <w:sz w:val="24"/>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 xml:space="preserve"> → 2FeO +H</w:t>
      </w:r>
      <w:r>
        <w:rPr>
          <w:rFonts w:hint="default" w:ascii="Times New Roman" w:hAnsi="Times New Roman" w:eastAsia="宋体" w:cs="Times New Roman"/>
          <w:color w:val="000000" w:themeColor="text1"/>
          <w:kern w:val="0"/>
          <w:sz w:val="24"/>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O</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jc w:val="center"/>
        <w:textAlignment w:val="auto"/>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FeO + 2HCl→FeCl</w:t>
      </w:r>
      <w:r>
        <w:rPr>
          <w:rFonts w:hint="default" w:ascii="Times New Roman" w:hAnsi="Times New Roman" w:eastAsia="宋体" w:cs="Times New Roman"/>
          <w:color w:val="000000" w:themeColor="text1"/>
          <w:kern w:val="0"/>
          <w:sz w:val="24"/>
          <w:vertAlign w:val="subscript"/>
          <w:lang w:val="en-US" w:eastAsia="zh-CN"/>
          <w14:textFill>
            <w14:solidFill>
              <w14:schemeClr w14:val="tx1"/>
            </w14:solidFill>
          </w14:textFill>
        </w:rPr>
        <w:t xml:space="preserve">2 </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 H</w:t>
      </w:r>
      <w:r>
        <w:rPr>
          <w:rFonts w:hint="default" w:ascii="Times New Roman" w:hAnsi="Times New Roman" w:eastAsia="宋体" w:cs="Times New Roman"/>
          <w:color w:val="000000" w:themeColor="text1"/>
          <w:kern w:val="0"/>
          <w:sz w:val="24"/>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O</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本项目酸洗池槽液均采用15%盐酸，配酸过程在酸洗池内进行。将外购的31%盐酸注入酸洗槽内，再加入自来水，然后通过气体扰动混匀，即完成配酸工作。待镀工件由封闭间内的RGV车吊入酸洗池内进行酸洗，去除金属表面氧化膜和铁锈。本项目酸洗采用浸泡工艺，酸洗溶液为15%盐酸，工作温度为常温，根据加工件的不同氧化程度，酸洗停留时间在30min~2h。为减少酸洗池内酸雾的挥发，在酸洗池内加入高效酸雾抑雾剂，高效酸雾抑雾剂酸雾去除效率在90%以上。</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酸洗过程中，HCl由于反应和挥发，盐酸浓度会逐渐降低，酸洗池内损耗的酸液定期补充，保证酸洗液浓度。</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酸洗液在长时间酸洗工件后，由于溶液中铁离子含量较高，再往里添加新酸也无法酸洗工件，需对酸洗槽中的酸液进行更换。根据生产厂家提供的设计资料，热镀锌生产线酸洗池每年更换1次废酸液，产生的废酸液直接暂存在酸洗池内，定期委托有废酸处置能力的危险废物经营单位通过罐车运走，酸洗池内的废酸液清理完后重新利用采购的盐酸（浓度31%）配置成酸液（浓度15%）。</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outlineLvl w:val="1"/>
        <w:rPr>
          <w:rFonts w:hint="default" w:ascii="Times New Roman" w:hAnsi="Times New Roman" w:eastAsia="宋体" w:cs="Times New Roman"/>
          <w:color w:val="000000" w:themeColor="text1"/>
          <w:kern w:val="0"/>
          <w:sz w:val="24"/>
          <w:lang w:val="en-US" w:eastAsia="zh-CN"/>
          <w14:textFill>
            <w14:solidFill>
              <w14:schemeClr w14:val="tx1"/>
            </w14:solidFill>
          </w14:textFill>
        </w:rPr>
      </w:pPr>
      <w:bookmarkStart w:id="163" w:name="_Toc23356"/>
      <w:r>
        <w:rPr>
          <w:rFonts w:hint="default" w:ascii="Times New Roman" w:hAnsi="Times New Roman" w:eastAsia="宋体" w:cs="Times New Roman"/>
          <w:color w:val="000000" w:themeColor="text1"/>
          <w:kern w:val="0"/>
          <w:sz w:val="24"/>
          <w:lang w:val="en-US" w:eastAsia="zh-CN"/>
          <w14:textFill>
            <w14:solidFill>
              <w14:schemeClr w14:val="tx1"/>
            </w14:solidFill>
          </w14:textFill>
        </w:rPr>
        <w:t>（4）漂洗</w:t>
      </w:r>
      <w:bookmarkEnd w:id="163"/>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为了避免工件表面残留液带入助镀池，影响助镀剂处理效果，需要对酸洗后工件进行漂洗（水洗），除去镀件表面的残留的废酸液和铁离子等，水洗工序在水洗池内进行（为了避免清洗工序清洗水溢出槽外，漂洗池预留30%空间），主要用清水将酸洗件浸泡1~3min，洗去残留的、酸液等，使表面洁净。水洗池的作用在于去除酸洗工件表面的酸液及铁盐，工件经水洗后，附着在工件表面的酸液和铁盐大幅度降低，其带入助剂中的铁盐将大幅减少，有助于减少水洗水再生设备、助剂再生设备的处理量，降低镀锌工艺中的耗锌。该工序产生的酸洗清洗废水（W1）进入配套建设的清洗废水处理设备中进行处理，采用工艺为“中和+氧化+压滤”，处理后的清洗水回用于清洗池中，废水处理过程中产生含铁污泥 （S3）。</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outlineLvl w:val="1"/>
        <w:rPr>
          <w:rFonts w:hint="default" w:ascii="Times New Roman" w:hAnsi="Times New Roman" w:eastAsia="宋体" w:cs="Times New Roman"/>
          <w:color w:val="000000" w:themeColor="text1"/>
          <w:kern w:val="0"/>
          <w:sz w:val="24"/>
          <w:lang w:val="en-US" w:eastAsia="zh-CN"/>
          <w14:textFill>
            <w14:solidFill>
              <w14:schemeClr w14:val="tx1"/>
            </w14:solidFill>
          </w14:textFill>
        </w:rPr>
      </w:pPr>
      <w:bookmarkStart w:id="164" w:name="_Toc5330"/>
      <w:r>
        <w:rPr>
          <w:rFonts w:hint="default" w:ascii="Times New Roman" w:hAnsi="Times New Roman" w:eastAsia="宋体" w:cs="Times New Roman"/>
          <w:color w:val="000000" w:themeColor="text1"/>
          <w:kern w:val="0"/>
          <w:sz w:val="24"/>
          <w:lang w:val="en-US" w:eastAsia="zh-CN"/>
          <w14:textFill>
            <w14:solidFill>
              <w14:schemeClr w14:val="tx1"/>
            </w14:solidFill>
          </w14:textFill>
        </w:rPr>
        <w:t>（5）助镀</w:t>
      </w:r>
      <w:bookmarkEnd w:id="164"/>
    </w:p>
    <w:p>
      <w:pPr>
        <w:keepNext w:val="0"/>
        <w:keepLines w:val="0"/>
        <w:pageBreakBefore w:val="0"/>
        <w:widowControl/>
        <w:kinsoku w:val="0"/>
        <w:wordWrap/>
        <w:overflowPunct/>
        <w:topLinePunct w:val="0"/>
        <w:autoSpaceDE w:val="0"/>
        <w:autoSpaceDN w:val="0"/>
        <w:bidi w:val="0"/>
        <w:adjustRightInd/>
        <w:snapToGrid/>
        <w:spacing w:line="360" w:lineRule="auto"/>
        <w:ind w:left="0" w:firstLine="480" w:firstLineChars="200"/>
        <w:textAlignment w:val="baseline"/>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①助镀</w:t>
      </w:r>
    </w:p>
    <w:p>
      <w:pPr>
        <w:keepNext w:val="0"/>
        <w:keepLines w:val="0"/>
        <w:pageBreakBefore w:val="0"/>
        <w:widowControl/>
        <w:kinsoku w:val="0"/>
        <w:wordWrap/>
        <w:overflowPunct/>
        <w:topLinePunct w:val="0"/>
        <w:autoSpaceDE w:val="0"/>
        <w:autoSpaceDN w:val="0"/>
        <w:bidi w:val="0"/>
        <w:adjustRightInd/>
        <w:snapToGrid/>
        <w:spacing w:line="360" w:lineRule="auto"/>
        <w:ind w:left="0" w:firstLine="480" w:firstLineChars="200"/>
        <w:textAlignment w:val="baseline"/>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将水洗后的工件加入助镀池，助镀剂为氯化锌、氯化铵混合溶液，助镀工艺是为了提高热镀锌的效率和质量，助镀时间约2min，助镀剂定期补充、助镀液经过助镀池附带的过滤机过滤后可长期使用，无需更换。工件在助镀池内充分加热（热源来源于锌锅余热）。</w:t>
      </w:r>
    </w:p>
    <w:p>
      <w:pPr>
        <w:keepNext w:val="0"/>
        <w:keepLines w:val="0"/>
        <w:pageBreakBefore w:val="0"/>
        <w:widowControl/>
        <w:kinsoku w:val="0"/>
        <w:wordWrap/>
        <w:overflowPunct/>
        <w:topLinePunct w:val="0"/>
        <w:autoSpaceDE w:val="0"/>
        <w:autoSpaceDN w:val="0"/>
        <w:bidi w:val="0"/>
        <w:adjustRightInd/>
        <w:snapToGrid/>
        <w:spacing w:line="360" w:lineRule="auto"/>
        <w:ind w:left="0" w:firstLine="480" w:firstLineChars="200"/>
        <w:textAlignment w:val="baseline"/>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工艺目的：热镀锌是为了使工件的表面形成由铁锌互熔层、铁锌合金层以及锌结晶层组成的热镀锌层，从而提高工作表面的抗腐蚀性能。根据客户要求镀锌厚度一般为60-80μm。</w:t>
      </w:r>
    </w:p>
    <w:p>
      <w:pPr>
        <w:keepNext w:val="0"/>
        <w:keepLines w:val="0"/>
        <w:pageBreakBefore w:val="0"/>
        <w:widowControl/>
        <w:kinsoku w:val="0"/>
        <w:wordWrap/>
        <w:overflowPunct/>
        <w:topLinePunct w:val="0"/>
        <w:autoSpaceDE w:val="0"/>
        <w:autoSpaceDN w:val="0"/>
        <w:bidi w:val="0"/>
        <w:adjustRightInd/>
        <w:snapToGrid/>
        <w:spacing w:line="360" w:lineRule="auto"/>
        <w:ind w:left="0" w:firstLine="480" w:firstLineChars="200"/>
        <w:textAlignment w:val="baseline"/>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氯化铵的作用为：氯化铵是除去铁件上的氧化膜，使铁件与熔锌能良好接触；氯化锌是去除铁件上的亚铁盐（原有的以及铁件与氯化铵反应产生的，抑制氯化铵与锌的反应速度）。</w:t>
      </w:r>
    </w:p>
    <w:p>
      <w:pPr>
        <w:keepNext w:val="0"/>
        <w:keepLines w:val="0"/>
        <w:pageBreakBefore w:val="0"/>
        <w:widowControl/>
        <w:kinsoku w:val="0"/>
        <w:wordWrap/>
        <w:overflowPunct/>
        <w:topLinePunct w:val="0"/>
        <w:autoSpaceDE w:val="0"/>
        <w:autoSpaceDN w:val="0"/>
        <w:bidi w:val="0"/>
        <w:adjustRightInd/>
        <w:snapToGrid/>
        <w:spacing w:line="360" w:lineRule="auto"/>
        <w:ind w:left="0" w:firstLine="480" w:firstLineChars="200"/>
        <w:textAlignment w:val="baseline"/>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工艺操作：金属锌的熔点为419℃，理想的热浸镀锌的温度为440±5℃。所以锌熔化后应继续加热至锌液达到热浸镀锌的工作温度后才能开始热浸镀锌。正常锌锅的温度应控制在440~460℃。锌锅采用天然气燃烧加热，通过控制燃烧量来达到控制锌锅中熔融锌的温度。本项目采用全浸式热镀工艺，经过拨入、压下、螺旋、拔出、提升的机械原理，完成镀锌过程。</w:t>
      </w:r>
    </w:p>
    <w:p>
      <w:pPr>
        <w:keepNext w:val="0"/>
        <w:keepLines w:val="0"/>
        <w:pageBreakBefore w:val="0"/>
        <w:widowControl/>
        <w:kinsoku w:val="0"/>
        <w:wordWrap/>
        <w:overflowPunct/>
        <w:topLinePunct w:val="0"/>
        <w:autoSpaceDE w:val="0"/>
        <w:autoSpaceDN w:val="0"/>
        <w:bidi w:val="0"/>
        <w:adjustRightInd/>
        <w:snapToGrid/>
        <w:spacing w:line="360" w:lineRule="auto"/>
        <w:ind w:left="0" w:firstLine="480" w:firstLineChars="200"/>
        <w:textAlignment w:val="baseline"/>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②助镀液的再生</w:t>
      </w:r>
    </w:p>
    <w:p>
      <w:pPr>
        <w:keepNext w:val="0"/>
        <w:keepLines w:val="0"/>
        <w:pageBreakBefore w:val="0"/>
        <w:widowControl/>
        <w:kinsoku w:val="0"/>
        <w:wordWrap/>
        <w:overflowPunct/>
        <w:topLinePunct w:val="0"/>
        <w:autoSpaceDE w:val="0"/>
        <w:autoSpaceDN w:val="0"/>
        <w:bidi w:val="0"/>
        <w:adjustRightInd/>
        <w:snapToGrid/>
        <w:spacing w:line="360" w:lineRule="auto"/>
        <w:ind w:left="0" w:firstLine="480" w:firstLineChars="200"/>
        <w:textAlignment w:val="baseline"/>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助镀液使用一段时间后，HCl和亚铁离子浓度会逐渐升高，当亚铁离子浓度超过10g/L时锌灰产生量会明显增加。另外FeCl</w:t>
      </w:r>
      <w:r>
        <w:rPr>
          <w:rFonts w:hint="default" w:ascii="Times New Roman" w:hAnsi="Times New Roman" w:eastAsia="宋体" w:cs="Times New Roman"/>
          <w:b w:val="0"/>
          <w:color w:val="000000" w:themeColor="text1"/>
          <w:kern w:val="0"/>
          <w:sz w:val="24"/>
          <w:szCs w:val="24"/>
          <w:vertAlign w:val="subscript"/>
          <w:lang w:val="en-US" w:eastAsia="zh-CN" w:bidi="ar-SA"/>
          <w14:textFill>
            <w14:solidFill>
              <w14:schemeClr w14:val="tx1"/>
            </w14:solidFill>
          </w14:textFill>
        </w:rPr>
        <w:t>2</w:t>
      </w: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与锌反应时会产生Fe-Zn键结，这正是锌渣产生的主要原因，会对后面热镀锌产生影响，应予以去除。因此需要对使用过的助镀液进行再生。本工程助镀液再生采用一体化助镀液除铁设备，主要反应方程式如下：</w:t>
      </w:r>
    </w:p>
    <w:p>
      <w:pPr>
        <w:keepNext w:val="0"/>
        <w:keepLines w:val="0"/>
        <w:pageBreakBefore w:val="0"/>
        <w:widowControl/>
        <w:kinsoku w:val="0"/>
        <w:wordWrap/>
        <w:overflowPunct/>
        <w:topLinePunct w:val="0"/>
        <w:autoSpaceDE w:val="0"/>
        <w:autoSpaceDN w:val="0"/>
        <w:bidi w:val="0"/>
        <w:adjustRightInd/>
        <w:snapToGrid/>
        <w:spacing w:line="360" w:lineRule="auto"/>
        <w:ind w:left="0" w:firstLine="480" w:firstLineChars="200"/>
        <w:textAlignment w:val="baseline"/>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FeCl</w:t>
      </w:r>
      <w:r>
        <w:rPr>
          <w:rFonts w:hint="default" w:ascii="Times New Roman" w:hAnsi="Times New Roman" w:eastAsia="宋体" w:cs="Times New Roman"/>
          <w:b w:val="0"/>
          <w:color w:val="000000" w:themeColor="text1"/>
          <w:kern w:val="0"/>
          <w:sz w:val="24"/>
          <w:szCs w:val="24"/>
          <w:vertAlign w:val="subscript"/>
          <w:lang w:val="en-US" w:eastAsia="zh-CN" w:bidi="ar-SA"/>
          <w14:textFill>
            <w14:solidFill>
              <w14:schemeClr w14:val="tx1"/>
            </w14:solidFill>
          </w14:textFill>
        </w:rPr>
        <w:t>2</w:t>
      </w: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+Zn→ZnCl</w:t>
      </w:r>
      <w:r>
        <w:rPr>
          <w:rFonts w:hint="default" w:ascii="Times New Roman" w:hAnsi="Times New Roman" w:eastAsia="宋体" w:cs="Times New Roman"/>
          <w:b w:val="0"/>
          <w:color w:val="000000" w:themeColor="text1"/>
          <w:kern w:val="0"/>
          <w:sz w:val="24"/>
          <w:szCs w:val="24"/>
          <w:vertAlign w:val="subscript"/>
          <w:lang w:val="en-US" w:eastAsia="zh-CN" w:bidi="ar-SA"/>
          <w14:textFill>
            <w14:solidFill>
              <w14:schemeClr w14:val="tx1"/>
            </w14:solidFill>
          </w14:textFill>
        </w:rPr>
        <w:t>2</w:t>
      </w: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（渣）+Fe ZnCl</w:t>
      </w:r>
      <w:r>
        <w:rPr>
          <w:rFonts w:hint="default" w:ascii="Times New Roman" w:hAnsi="Times New Roman" w:eastAsia="宋体" w:cs="Times New Roman"/>
          <w:b w:val="0"/>
          <w:color w:val="000000" w:themeColor="text1"/>
          <w:kern w:val="0"/>
          <w:sz w:val="24"/>
          <w:szCs w:val="24"/>
          <w:vertAlign w:val="subscript"/>
          <w:lang w:val="en-US" w:eastAsia="zh-CN" w:bidi="ar-SA"/>
          <w14:textFill>
            <w14:solidFill>
              <w14:schemeClr w14:val="tx1"/>
            </w14:solidFill>
          </w14:textFill>
        </w:rPr>
        <w:t>2</w:t>
      </w: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（助镀液）+FeCl</w:t>
      </w:r>
      <w:r>
        <w:rPr>
          <w:rFonts w:hint="default" w:ascii="Times New Roman" w:hAnsi="Times New Roman" w:eastAsia="宋体" w:cs="Times New Roman"/>
          <w:b w:val="0"/>
          <w:color w:val="000000" w:themeColor="text1"/>
          <w:kern w:val="0"/>
          <w:sz w:val="24"/>
          <w:szCs w:val="24"/>
          <w:vertAlign w:val="subscript"/>
          <w:lang w:val="en-US" w:eastAsia="zh-CN" w:bidi="ar-SA"/>
          <w14:textFill>
            <w14:solidFill>
              <w14:schemeClr w14:val="tx1"/>
            </w14:solidFill>
          </w14:textFill>
        </w:rPr>
        <w:t>2</w:t>
      </w: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→FeZnCl</w:t>
      </w:r>
      <w:r>
        <w:rPr>
          <w:rFonts w:hint="default" w:ascii="Times New Roman" w:hAnsi="Times New Roman" w:eastAsia="宋体" w:cs="Times New Roman"/>
          <w:b w:val="0"/>
          <w:color w:val="000000" w:themeColor="text1"/>
          <w:kern w:val="0"/>
          <w:sz w:val="24"/>
          <w:szCs w:val="24"/>
          <w:vertAlign w:val="subscript"/>
          <w:lang w:val="en-US" w:eastAsia="zh-CN" w:bidi="ar-SA"/>
          <w14:textFill>
            <w14:solidFill>
              <w14:schemeClr w14:val="tx1"/>
            </w14:solidFill>
          </w14:textFill>
        </w:rPr>
        <w:t>4</w:t>
      </w: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（渣）一体化助镀液除铁设备的主要原理如下：</w:t>
      </w:r>
    </w:p>
    <w:p>
      <w:pPr>
        <w:keepNext w:val="0"/>
        <w:keepLines w:val="0"/>
        <w:pageBreakBefore w:val="0"/>
        <w:widowControl/>
        <w:kinsoku w:val="0"/>
        <w:wordWrap/>
        <w:overflowPunct/>
        <w:topLinePunct w:val="0"/>
        <w:autoSpaceDE w:val="0"/>
        <w:autoSpaceDN w:val="0"/>
        <w:bidi w:val="0"/>
        <w:adjustRightInd/>
        <w:snapToGrid/>
        <w:spacing w:line="360" w:lineRule="auto"/>
        <w:ind w:left="0" w:firstLine="480" w:firstLineChars="200"/>
        <w:textAlignment w:val="baseline"/>
        <w:rPr>
          <w:rFonts w:hint="default" w:ascii="Times New Roman" w:hAnsi="Times New Roman" w:eastAsia="宋体" w:cs="Times New Roman"/>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14:textFill>
            <w14:solidFill>
              <w14:schemeClr w14:val="tx1"/>
            </w14:solidFill>
          </w14:textFill>
        </w:rPr>
        <w:t>在废助镀液中加入双氧水氧化，使亚铁离子转变为三价铁离子后，再加入氨水（氨水和助镀液中的氯化铁反应生成氯化铵和氢氧化铁），使铁离子转化成氢氧化铁，经沉淀得以去除，从而得到了再生后的助镀液（氯化铵和氯化锌溶液）返回到</w:t>
      </w:r>
      <w:r>
        <w:rPr>
          <w:rFonts w:hint="default" w:ascii="Times New Roman" w:hAnsi="Times New Roman" w:eastAsia="宋体" w:cs="Times New Roman"/>
          <w:color w:val="000000" w:themeColor="text1"/>
          <w:kern w:val="0"/>
          <w:sz w:val="24"/>
          <w:lang w:eastAsia="zh-CN"/>
          <w14:textFill>
            <w14:solidFill>
              <w14:schemeClr w14:val="tx1"/>
            </w14:solidFill>
          </w14:textFill>
        </w:rPr>
        <w:t>助镀池</w:t>
      </w:r>
      <w:r>
        <w:rPr>
          <w:rFonts w:hint="default" w:ascii="Times New Roman" w:hAnsi="Times New Roman" w:eastAsia="宋体" w:cs="Times New Roman"/>
          <w:color w:val="000000" w:themeColor="text1"/>
          <w:kern w:val="0"/>
          <w:sz w:val="24"/>
          <w14:textFill>
            <w14:solidFill>
              <w14:schemeClr w14:val="tx1"/>
            </w14:solidFill>
          </w14:textFill>
        </w:rPr>
        <w:t>重新使用。氨水和双氧水均储存在密闭的容器中，通过泵入反应槽中反应，反应过程由调节器自动控制。而通过对废助镀剂溶液的回收使用，减少助镀剂原材料的消耗，减少废液排放降低生产成本。废助镀液处理过程中会产生</w:t>
      </w:r>
      <w:r>
        <w:rPr>
          <w:rFonts w:hint="default" w:ascii="Times New Roman" w:hAnsi="Times New Roman" w:eastAsia="宋体" w:cs="Times New Roman"/>
          <w:color w:val="000000" w:themeColor="text1"/>
          <w:kern w:val="0"/>
          <w:sz w:val="24"/>
          <w:lang w:eastAsia="zh-CN"/>
          <w14:textFill>
            <w14:solidFill>
              <w14:schemeClr w14:val="tx1"/>
            </w14:solidFill>
          </w14:textFill>
        </w:rPr>
        <w:t>含铁污泥</w:t>
      </w:r>
      <w:r>
        <w:rPr>
          <w:rFonts w:hint="default" w:ascii="Times New Roman" w:hAnsi="Times New Roman" w:eastAsia="宋体" w:cs="Times New Roman"/>
          <w:color w:val="000000" w:themeColor="text1"/>
          <w:kern w:val="0"/>
          <w:sz w:val="24"/>
          <w14:textFill>
            <w14:solidFill>
              <w14:schemeClr w14:val="tx1"/>
            </w14:solidFill>
          </w14:textFill>
        </w:rPr>
        <w:t>（S4），属于危险废物，委托由有资质单位处置。</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outlineLvl w:val="1"/>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pPr>
      <w:bookmarkStart w:id="165" w:name="_Toc9215"/>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（6）热镀锌</w:t>
      </w:r>
      <w:bookmarkEnd w:id="165"/>
    </w:p>
    <w:p>
      <w:pPr>
        <w:keepNext w:val="0"/>
        <w:keepLines w:val="0"/>
        <w:pageBreakBefore w:val="0"/>
        <w:widowControl/>
        <w:kinsoku w:val="0"/>
        <w:wordWrap/>
        <w:overflowPunct/>
        <w:topLinePunct w:val="0"/>
        <w:autoSpaceDE w:val="0"/>
        <w:autoSpaceDN w:val="0"/>
        <w:bidi w:val="0"/>
        <w:adjustRightInd/>
        <w:snapToGrid/>
        <w:spacing w:line="360" w:lineRule="auto"/>
        <w:ind w:left="0" w:firstLine="480" w:firstLineChars="200"/>
        <w:textAlignment w:val="baseline"/>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热浸镀锌是为了使工件的表面形成由铁锌互熔层、铁锌合金层以及锌结晶层组成的热浸镀锌层，从而提高工作表面的抗腐蚀性能。</w:t>
      </w:r>
    </w:p>
    <w:p>
      <w:pPr>
        <w:keepNext w:val="0"/>
        <w:keepLines w:val="0"/>
        <w:pageBreakBefore w:val="0"/>
        <w:widowControl/>
        <w:kinsoku w:val="0"/>
        <w:wordWrap/>
        <w:overflowPunct/>
        <w:topLinePunct w:val="0"/>
        <w:autoSpaceDE w:val="0"/>
        <w:autoSpaceDN w:val="0"/>
        <w:bidi w:val="0"/>
        <w:adjustRightInd/>
        <w:snapToGrid/>
        <w:spacing w:line="360" w:lineRule="auto"/>
        <w:ind w:left="0" w:firstLine="480" w:firstLineChars="200"/>
        <w:textAlignment w:val="baseline"/>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金属锌的熔点为419℃，热浸镀锌的温度为440±5℃，因此锌熔化后应继续加热至锌液达到热浸镀锌的工作温度后才能开始热镀锌。锌锅的温度应控制在440~460℃。天然气通过锌锅侧边的高速脉冲烧嘴对锌锅加热，热风回用至助镀池、碱洗池，为其提供热量。工件在锌锅中浸镀时间约为15min，使锌和镀件表面的铁反应生成一层致密的铁锌合金层，同时在镀件吊离锌锅时形成一层纯锌层。</w:t>
      </w:r>
    </w:p>
    <w:p>
      <w:pPr>
        <w:keepNext w:val="0"/>
        <w:keepLines w:val="0"/>
        <w:pageBreakBefore w:val="0"/>
        <w:widowControl/>
        <w:kinsoku w:val="0"/>
        <w:wordWrap/>
        <w:overflowPunct/>
        <w:topLinePunct w:val="0"/>
        <w:autoSpaceDE w:val="0"/>
        <w:autoSpaceDN w:val="0"/>
        <w:bidi w:val="0"/>
        <w:adjustRightInd/>
        <w:snapToGrid/>
        <w:spacing w:line="360" w:lineRule="auto"/>
        <w:ind w:left="0" w:firstLine="480" w:firstLineChars="200"/>
        <w:textAlignment w:val="baseline"/>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金属构件慢速提离锌锅并让工件表面多余的锌液自然流入锌锅。同时，应清除工作表面的余锌和滴流，以保证金属构件表面的外观质量。</w:t>
      </w:r>
    </w:p>
    <w:p>
      <w:pPr>
        <w:keepNext w:val="0"/>
        <w:keepLines w:val="0"/>
        <w:pageBreakBefore w:val="0"/>
        <w:widowControl/>
        <w:kinsoku w:val="0"/>
        <w:wordWrap/>
        <w:overflowPunct/>
        <w:topLinePunct w:val="0"/>
        <w:autoSpaceDE w:val="0"/>
        <w:autoSpaceDN w:val="0"/>
        <w:bidi w:val="0"/>
        <w:adjustRightInd/>
        <w:snapToGrid/>
        <w:spacing w:line="360" w:lineRule="auto"/>
        <w:ind w:left="0" w:firstLine="480" w:firstLineChars="200"/>
        <w:textAlignment w:val="baseline"/>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镀锌过程中产生的镀锌烟气（G2），锌锅顶部两侧安装负压吸风口及弧形板，同时，使用过程中锌锅上方使用滑动式耐高温幕布封闭，产生的锌烟经负压吸风口收集至布袋除尘器，经布袋除尘器处理后通过1根18m高排气筒（DA002）排放；锌锅加热炉燃料为天然气，天然气燃料废气（G4）经低氮燃烧后经1根18m排气筒（DA003）外排。</w:t>
      </w:r>
    </w:p>
    <w:p>
      <w:pPr>
        <w:keepNext w:val="0"/>
        <w:keepLines w:val="0"/>
        <w:pageBreakBefore w:val="0"/>
        <w:widowControl/>
        <w:kinsoku w:val="0"/>
        <w:wordWrap/>
        <w:overflowPunct/>
        <w:topLinePunct w:val="0"/>
        <w:autoSpaceDE w:val="0"/>
        <w:autoSpaceDN w:val="0"/>
        <w:bidi w:val="0"/>
        <w:adjustRightInd/>
        <w:snapToGrid/>
        <w:spacing w:line="360" w:lineRule="auto"/>
        <w:ind w:left="0" w:firstLine="480" w:firstLineChars="200"/>
        <w:textAlignment w:val="baseline"/>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同时，锌锅使用过程中为高温状态，工件表面助镀剂盐膜在锌锅中加热至350℃即可升华成氯化锌、氯化铵，其中的氯化铵337.8℃时可分解成NH3和HCl，HCl和NH</w:t>
      </w:r>
      <w:r>
        <w:rPr>
          <w:rFonts w:hint="default" w:ascii="Times New Roman" w:hAnsi="Times New Roman" w:eastAsia="宋体" w:cs="Times New Roman"/>
          <w:b w:val="0"/>
          <w:color w:val="000000" w:themeColor="text1"/>
          <w:kern w:val="0"/>
          <w:sz w:val="24"/>
          <w:szCs w:val="24"/>
          <w:vertAlign w:val="subscript"/>
          <w:lang w:val="en-US" w:eastAsia="zh-CN" w:bidi="ar-SA"/>
          <w14:textFill>
            <w14:solidFill>
              <w14:schemeClr w14:val="tx1"/>
            </w14:solidFill>
          </w14:textFill>
        </w:rPr>
        <w:t>3</w:t>
      </w: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挥发后在空气中冷凝，绝大部分HCl、NH</w:t>
      </w:r>
      <w:r>
        <w:rPr>
          <w:rFonts w:hint="default" w:ascii="Times New Roman" w:hAnsi="Times New Roman" w:eastAsia="宋体" w:cs="Times New Roman"/>
          <w:b w:val="0"/>
          <w:color w:val="000000" w:themeColor="text1"/>
          <w:kern w:val="0"/>
          <w:sz w:val="24"/>
          <w:szCs w:val="24"/>
          <w:vertAlign w:val="subscript"/>
          <w:lang w:val="en-US" w:eastAsia="zh-CN" w:bidi="ar-SA"/>
          <w14:textFill>
            <w14:solidFill>
              <w14:schemeClr w14:val="tx1"/>
            </w14:solidFill>
          </w14:textFill>
        </w:rPr>
        <w:t>3</w:t>
      </w: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又重新结合生成氯化铵；生成的HCl还会发生以下反应：</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NH</w:t>
      </w:r>
      <w:r>
        <w:rPr>
          <w:rFonts w:hint="default" w:ascii="Times New Roman" w:hAnsi="Times New Roman" w:eastAsia="宋体" w:cs="Times New Roman"/>
          <w:color w:val="000000" w:themeColor="text1"/>
          <w:spacing w:val="1"/>
          <w:position w:val="-1"/>
          <w:sz w:val="24"/>
          <w:vertAlign w:val="subscript"/>
          <w14:textFill>
            <w14:solidFill>
              <w14:schemeClr w14:val="tx1"/>
            </w14:solidFill>
          </w14:textFill>
        </w:rPr>
        <w:t>4</w:t>
      </w:r>
      <w:r>
        <w:rPr>
          <w:rFonts w:hint="default" w:ascii="Times New Roman" w:hAnsi="Times New Roman" w:eastAsia="宋体" w:cs="Times New Roman"/>
          <w:color w:val="000000" w:themeColor="text1"/>
          <w:sz w:val="24"/>
          <w14:textFill>
            <w14:solidFill>
              <w14:schemeClr w14:val="tx1"/>
            </w14:solidFill>
          </w14:textFill>
        </w:rPr>
        <w:t>Cl→NH</w:t>
      </w:r>
      <w:r>
        <w:rPr>
          <w:rFonts w:hint="default" w:ascii="Times New Roman" w:hAnsi="Times New Roman" w:eastAsia="宋体" w:cs="Times New Roman"/>
          <w:color w:val="000000" w:themeColor="text1"/>
          <w:position w:val="-1"/>
          <w:sz w:val="24"/>
          <w:vertAlign w:val="subscript"/>
          <w14:textFill>
            <w14:solidFill>
              <w14:schemeClr w14:val="tx1"/>
            </w14:solidFill>
          </w14:textFill>
        </w:rPr>
        <w:t>3</w:t>
      </w:r>
      <w:r>
        <w:rPr>
          <w:rFonts w:hint="default" w:ascii="Times New Roman" w:hAnsi="Times New Roman" w:eastAsia="宋体" w:cs="Times New Roman"/>
          <w:color w:val="000000" w:themeColor="text1"/>
          <w:sz w:val="24"/>
          <w14:textFill>
            <w14:solidFill>
              <w14:schemeClr w14:val="tx1"/>
            </w14:solidFill>
          </w14:textFill>
        </w:rPr>
        <w:t>↑+HCl↑FeO+2HCl→FeCl</w:t>
      </w:r>
      <w:r>
        <w:rPr>
          <w:rFonts w:hint="default" w:ascii="Times New Roman" w:hAnsi="Times New Roman" w:eastAsia="宋体" w:cs="Times New Roman"/>
          <w:color w:val="000000" w:themeColor="text1"/>
          <w:position w:val="-1"/>
          <w:sz w:val="24"/>
          <w:vertAlign w:val="subscript"/>
          <w14:textFill>
            <w14:solidFill>
              <w14:schemeClr w14:val="tx1"/>
            </w14:solidFill>
          </w14:textFill>
        </w:rPr>
        <w:t>2</w:t>
      </w:r>
      <w:r>
        <w:rPr>
          <w:rFonts w:hint="default" w:ascii="Times New Roman" w:hAnsi="Times New Roman" w:eastAsia="宋体" w:cs="Times New Roman"/>
          <w:color w:val="000000" w:themeColor="text1"/>
          <w:sz w:val="24"/>
          <w14:textFill>
            <w14:solidFill>
              <w14:schemeClr w14:val="tx1"/>
            </w14:solidFill>
          </w14:textFill>
        </w:rPr>
        <w:t>+H</w:t>
      </w:r>
      <w:r>
        <w:rPr>
          <w:rFonts w:hint="default" w:ascii="Times New Roman" w:hAnsi="Times New Roman" w:eastAsia="宋体" w:cs="Times New Roman"/>
          <w:color w:val="000000" w:themeColor="text1"/>
          <w:position w:val="-1"/>
          <w:sz w:val="24"/>
          <w:vertAlign w:val="subscript"/>
          <w14:textFill>
            <w14:solidFill>
              <w14:schemeClr w14:val="tx1"/>
            </w14:solidFill>
          </w14:textFill>
        </w:rPr>
        <w:t>2</w:t>
      </w:r>
      <w:r>
        <w:rPr>
          <w:rFonts w:hint="default" w:ascii="Times New Roman" w:hAnsi="Times New Roman" w:eastAsia="宋体" w:cs="Times New Roman"/>
          <w:color w:val="000000" w:themeColor="text1"/>
          <w:sz w:val="24"/>
          <w14:textFill>
            <w14:solidFill>
              <w14:schemeClr w14:val="tx1"/>
            </w14:solidFill>
          </w14:textFill>
        </w:rPr>
        <w:t>O↑</w:t>
      </w:r>
    </w:p>
    <w:p>
      <w:pPr>
        <w:keepNext w:val="0"/>
        <w:keepLines w:val="0"/>
        <w:pageBreakBefore w:val="0"/>
        <w:widowControl w:val="0"/>
        <w:kinsoku/>
        <w:wordWrap/>
        <w:overflowPunct/>
        <w:topLinePunct w:val="0"/>
        <w:autoSpaceDE/>
        <w:autoSpaceDN/>
        <w:bidi w:val="0"/>
        <w:adjustRightInd/>
        <w:snapToGrid/>
        <w:spacing w:line="360" w:lineRule="auto"/>
        <w:ind w:left="0" w:firstLine="516" w:firstLineChars="20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pacing w:val="9"/>
          <w:sz w:val="24"/>
          <w14:textFill>
            <w14:solidFill>
              <w14:schemeClr w14:val="tx1"/>
            </w14:solidFill>
          </w14:textFill>
        </w:rPr>
        <w:t>2</w:t>
      </w:r>
      <w:r>
        <w:rPr>
          <w:rFonts w:hint="default" w:ascii="Times New Roman" w:hAnsi="Times New Roman" w:eastAsia="宋体" w:cs="Times New Roman"/>
          <w:color w:val="000000" w:themeColor="text1"/>
          <w:sz w:val="24"/>
          <w14:textFill>
            <w14:solidFill>
              <w14:schemeClr w14:val="tx1"/>
            </w14:solidFill>
          </w14:textFill>
        </w:rPr>
        <w:t>HCl</w:t>
      </w:r>
      <w:r>
        <w:rPr>
          <w:rFonts w:hint="default" w:ascii="Times New Roman" w:hAnsi="Times New Roman" w:eastAsia="宋体" w:cs="Times New Roman"/>
          <w:color w:val="000000" w:themeColor="text1"/>
          <w:spacing w:val="9"/>
          <w:sz w:val="24"/>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Zn</w:t>
      </w:r>
      <w:r>
        <w:rPr>
          <w:rFonts w:hint="default" w:ascii="Times New Roman" w:hAnsi="Times New Roman" w:eastAsia="宋体" w:cs="Times New Roman"/>
          <w:color w:val="000000" w:themeColor="text1"/>
          <w:spacing w:val="9"/>
          <w:sz w:val="24"/>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ZnCl</w:t>
      </w:r>
      <w:r>
        <w:rPr>
          <w:rFonts w:hint="default" w:ascii="Times New Roman" w:hAnsi="Times New Roman" w:eastAsia="宋体" w:cs="Times New Roman"/>
          <w:color w:val="000000" w:themeColor="text1"/>
          <w:spacing w:val="9"/>
          <w:position w:val="-1"/>
          <w:sz w:val="24"/>
          <w:vertAlign w:val="subscript"/>
          <w14:textFill>
            <w14:solidFill>
              <w14:schemeClr w14:val="tx1"/>
            </w14:solidFill>
          </w14:textFill>
        </w:rPr>
        <w:t>2</w:t>
      </w:r>
      <w:r>
        <w:rPr>
          <w:rFonts w:hint="default" w:ascii="Times New Roman" w:hAnsi="Times New Roman" w:eastAsia="宋体" w:cs="Times New Roman"/>
          <w:color w:val="000000" w:themeColor="text1"/>
          <w:spacing w:val="9"/>
          <w:sz w:val="24"/>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H</w:t>
      </w:r>
      <w:r>
        <w:rPr>
          <w:rFonts w:hint="default" w:ascii="Times New Roman" w:hAnsi="Times New Roman" w:eastAsia="宋体" w:cs="Times New Roman"/>
          <w:color w:val="000000" w:themeColor="text1"/>
          <w:spacing w:val="9"/>
          <w:position w:val="-1"/>
          <w:sz w:val="24"/>
          <w:vertAlign w:val="subscript"/>
          <w14:textFill>
            <w14:solidFill>
              <w14:schemeClr w14:val="tx1"/>
            </w14:solidFill>
          </w14:textFill>
        </w:rPr>
        <w:t>2</w:t>
      </w:r>
      <w:r>
        <w:rPr>
          <w:rFonts w:hint="default" w:ascii="Times New Roman" w:hAnsi="Times New Roman" w:eastAsia="宋体" w:cs="Times New Roman"/>
          <w:color w:val="000000" w:themeColor="text1"/>
          <w:spacing w:val="9"/>
          <w:sz w:val="24"/>
          <w14:textFill>
            <w14:solidFill>
              <w14:schemeClr w14:val="tx1"/>
            </w14:solidFill>
          </w14:textFill>
        </w:rPr>
        <w:t>↑2</w:t>
      </w:r>
      <w:r>
        <w:rPr>
          <w:rFonts w:hint="default" w:ascii="Times New Roman" w:hAnsi="Times New Roman" w:eastAsia="宋体" w:cs="Times New Roman"/>
          <w:color w:val="000000" w:themeColor="text1"/>
          <w:sz w:val="24"/>
          <w14:textFill>
            <w14:solidFill>
              <w14:schemeClr w14:val="tx1"/>
            </w14:solidFill>
          </w14:textFill>
        </w:rPr>
        <w:t>HCl</w:t>
      </w:r>
      <w:r>
        <w:rPr>
          <w:rFonts w:hint="default" w:ascii="Times New Roman" w:hAnsi="Times New Roman" w:eastAsia="宋体" w:cs="Times New Roman"/>
          <w:color w:val="000000" w:themeColor="text1"/>
          <w:spacing w:val="9"/>
          <w:sz w:val="24"/>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Fe</w:t>
      </w:r>
      <w:r>
        <w:rPr>
          <w:rFonts w:hint="default" w:ascii="Times New Roman" w:hAnsi="Times New Roman" w:eastAsia="宋体" w:cs="Times New Roman"/>
          <w:color w:val="000000" w:themeColor="text1"/>
          <w:spacing w:val="9"/>
          <w:sz w:val="24"/>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FeCl</w:t>
      </w:r>
      <w:r>
        <w:rPr>
          <w:rFonts w:hint="default" w:ascii="Times New Roman" w:hAnsi="Times New Roman" w:eastAsia="宋体" w:cs="Times New Roman"/>
          <w:color w:val="000000" w:themeColor="text1"/>
          <w:spacing w:val="9"/>
          <w:position w:val="-1"/>
          <w:sz w:val="24"/>
          <w:vertAlign w:val="subscript"/>
          <w14:textFill>
            <w14:solidFill>
              <w14:schemeClr w14:val="tx1"/>
            </w14:solidFill>
          </w14:textFill>
        </w:rPr>
        <w:t>2</w:t>
      </w:r>
      <w:r>
        <w:rPr>
          <w:rFonts w:hint="default" w:ascii="Times New Roman" w:hAnsi="Times New Roman" w:eastAsia="宋体" w:cs="Times New Roman"/>
          <w:color w:val="000000" w:themeColor="text1"/>
          <w:spacing w:val="9"/>
          <w:sz w:val="24"/>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H</w:t>
      </w:r>
      <w:r>
        <w:rPr>
          <w:rFonts w:hint="default" w:ascii="Times New Roman" w:hAnsi="Times New Roman" w:eastAsia="宋体" w:cs="Times New Roman"/>
          <w:color w:val="000000" w:themeColor="text1"/>
          <w:spacing w:val="9"/>
          <w:position w:val="-1"/>
          <w:sz w:val="24"/>
          <w:vertAlign w:val="subscript"/>
          <w14:textFill>
            <w14:solidFill>
              <w14:schemeClr w14:val="tx1"/>
            </w14:solidFill>
          </w14:textFill>
        </w:rPr>
        <w:t>2</w:t>
      </w:r>
      <w:r>
        <w:rPr>
          <w:rFonts w:hint="default" w:ascii="Times New Roman" w:hAnsi="Times New Roman" w:eastAsia="宋体" w:cs="Times New Roman"/>
          <w:color w:val="000000" w:themeColor="text1"/>
          <w:spacing w:val="9"/>
          <w:sz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FeCl</w:t>
      </w:r>
      <w:r>
        <w:rPr>
          <w:rFonts w:hint="default" w:ascii="Times New Roman" w:hAnsi="Times New Roman" w:eastAsia="宋体" w:cs="Times New Roman"/>
          <w:color w:val="000000" w:themeColor="text1"/>
          <w:spacing w:val="15"/>
          <w:position w:val="-1"/>
          <w:sz w:val="24"/>
          <w:vertAlign w:val="subscript"/>
          <w14:textFill>
            <w14:solidFill>
              <w14:schemeClr w14:val="tx1"/>
            </w14:solidFill>
          </w14:textFill>
        </w:rPr>
        <w:t>2</w:t>
      </w:r>
      <w:r>
        <w:rPr>
          <w:rFonts w:hint="default" w:ascii="Times New Roman" w:hAnsi="Times New Roman" w:eastAsia="宋体" w:cs="Times New Roman"/>
          <w:color w:val="000000" w:themeColor="text1"/>
          <w:spacing w:val="10"/>
          <w:sz w:val="24"/>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Zn</w:t>
      </w:r>
      <w:r>
        <w:rPr>
          <w:rFonts w:hint="default" w:ascii="Times New Roman" w:hAnsi="Times New Roman" w:eastAsia="宋体" w:cs="Times New Roman"/>
          <w:color w:val="000000" w:themeColor="text1"/>
          <w:spacing w:val="10"/>
          <w:sz w:val="24"/>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ZnCl</w:t>
      </w:r>
      <w:r>
        <w:rPr>
          <w:rFonts w:hint="default" w:ascii="Times New Roman" w:hAnsi="Times New Roman" w:eastAsia="宋体" w:cs="Times New Roman"/>
          <w:color w:val="000000" w:themeColor="text1"/>
          <w:spacing w:val="10"/>
          <w:position w:val="-1"/>
          <w:sz w:val="24"/>
          <w:vertAlign w:val="subscript"/>
          <w14:textFill>
            <w14:solidFill>
              <w14:schemeClr w14:val="tx1"/>
            </w14:solidFill>
          </w14:textFill>
        </w:rPr>
        <w:t>2</w:t>
      </w:r>
      <w:r>
        <w:rPr>
          <w:rFonts w:hint="default" w:ascii="Times New Roman" w:hAnsi="Times New Roman" w:eastAsia="宋体" w:cs="Times New Roman"/>
          <w:color w:val="000000" w:themeColor="text1"/>
          <w:spacing w:val="10"/>
          <w:sz w:val="24"/>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Fe</w:t>
      </w:r>
      <w:r>
        <w:rPr>
          <w:rFonts w:hint="default" w:ascii="Times New Roman" w:hAnsi="Times New Roman" w:eastAsia="宋体" w:cs="Times New Roman"/>
          <w:color w:val="000000" w:themeColor="text1"/>
          <w:spacing w:val="10"/>
          <w:sz w:val="24"/>
          <w14:textFill>
            <w14:solidFill>
              <w14:schemeClr w14:val="tx1"/>
            </w14:solidFill>
          </w14:textFill>
        </w:rPr>
        <w:t xml:space="preserve"> 2</w:t>
      </w:r>
      <w:r>
        <w:rPr>
          <w:rFonts w:hint="default" w:ascii="Times New Roman" w:hAnsi="Times New Roman" w:eastAsia="宋体" w:cs="Times New Roman"/>
          <w:color w:val="000000" w:themeColor="text1"/>
          <w:sz w:val="24"/>
          <w14:textFill>
            <w14:solidFill>
              <w14:schemeClr w14:val="tx1"/>
            </w14:solidFill>
          </w14:textFill>
        </w:rPr>
        <w:t>HCl</w:t>
      </w:r>
      <w:r>
        <w:rPr>
          <w:rFonts w:hint="default" w:ascii="Times New Roman" w:hAnsi="Times New Roman" w:eastAsia="宋体" w:cs="Times New Roman"/>
          <w:color w:val="000000" w:themeColor="text1"/>
          <w:spacing w:val="10"/>
          <w:sz w:val="24"/>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ZnO</w:t>
      </w:r>
      <w:r>
        <w:rPr>
          <w:rFonts w:hint="default" w:ascii="Times New Roman" w:hAnsi="Times New Roman" w:eastAsia="宋体" w:cs="Times New Roman"/>
          <w:color w:val="000000" w:themeColor="text1"/>
          <w:spacing w:val="10"/>
          <w:sz w:val="24"/>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ZnCl</w:t>
      </w:r>
      <w:r>
        <w:rPr>
          <w:rFonts w:hint="default" w:ascii="Times New Roman" w:hAnsi="Times New Roman" w:eastAsia="宋体" w:cs="Times New Roman"/>
          <w:color w:val="000000" w:themeColor="text1"/>
          <w:spacing w:val="10"/>
          <w:position w:val="-1"/>
          <w:sz w:val="24"/>
          <w:vertAlign w:val="subscript"/>
          <w14:textFill>
            <w14:solidFill>
              <w14:schemeClr w14:val="tx1"/>
            </w14:solidFill>
          </w14:textFill>
        </w:rPr>
        <w:t>2</w:t>
      </w:r>
      <w:r>
        <w:rPr>
          <w:rFonts w:hint="default" w:ascii="Times New Roman" w:hAnsi="Times New Roman" w:eastAsia="宋体" w:cs="Times New Roman"/>
          <w:color w:val="000000" w:themeColor="text1"/>
          <w:spacing w:val="10"/>
          <w:sz w:val="24"/>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H</w:t>
      </w:r>
      <w:r>
        <w:rPr>
          <w:rFonts w:hint="default" w:ascii="Times New Roman" w:hAnsi="Times New Roman" w:eastAsia="宋体" w:cs="Times New Roman"/>
          <w:color w:val="000000" w:themeColor="text1"/>
          <w:spacing w:val="10"/>
          <w:position w:val="-1"/>
          <w:sz w:val="24"/>
          <w:vertAlign w:val="subscript"/>
          <w14:textFill>
            <w14:solidFill>
              <w14:schemeClr w14:val="tx1"/>
            </w14:solidFill>
          </w14:textFill>
        </w:rPr>
        <w:t>2</w:t>
      </w:r>
      <w:r>
        <w:rPr>
          <w:rFonts w:hint="default" w:ascii="Times New Roman" w:hAnsi="Times New Roman" w:eastAsia="宋体" w:cs="Times New Roman"/>
          <w:color w:val="000000" w:themeColor="text1"/>
          <w:sz w:val="24"/>
          <w14:textFill>
            <w14:solidFill>
              <w14:schemeClr w14:val="tx1"/>
            </w14:solidFill>
          </w14:textFill>
        </w:rPr>
        <w:t>O</w:t>
      </w:r>
      <w:r>
        <w:rPr>
          <w:rFonts w:hint="default" w:ascii="Times New Roman" w:hAnsi="Times New Roman" w:eastAsia="宋体" w:cs="Times New Roman"/>
          <w:color w:val="000000" w:themeColor="text1"/>
          <w:spacing w:val="10"/>
          <w:sz w:val="24"/>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snapToGrid/>
        <w:spacing w:line="360" w:lineRule="auto"/>
        <w:ind w:left="0" w:firstLine="480" w:firstLineChars="200"/>
        <w:textAlignment w:val="baseline"/>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NH</w:t>
      </w:r>
      <w:r>
        <w:rPr>
          <w:rFonts w:hint="default" w:ascii="Times New Roman" w:hAnsi="Times New Roman" w:eastAsia="宋体" w:cs="Times New Roman"/>
          <w:b w:val="0"/>
          <w:color w:val="000000" w:themeColor="text1"/>
          <w:kern w:val="0"/>
          <w:sz w:val="24"/>
          <w:szCs w:val="24"/>
          <w:vertAlign w:val="subscript"/>
          <w:lang w:val="en-US" w:eastAsia="zh-CN" w:bidi="ar-SA"/>
          <w14:textFill>
            <w14:solidFill>
              <w14:schemeClr w14:val="tx1"/>
            </w14:solidFill>
          </w14:textFill>
        </w:rPr>
        <w:t>4</w:t>
      </w: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Cl、ZnO、ZnCl</w:t>
      </w:r>
      <w:r>
        <w:rPr>
          <w:rFonts w:hint="default" w:ascii="Times New Roman" w:hAnsi="Times New Roman" w:eastAsia="宋体" w:cs="Times New Roman"/>
          <w:b w:val="0"/>
          <w:color w:val="000000" w:themeColor="text1"/>
          <w:kern w:val="0"/>
          <w:sz w:val="24"/>
          <w:szCs w:val="24"/>
          <w:vertAlign w:val="subscript"/>
          <w:lang w:val="en-US" w:eastAsia="zh-CN" w:bidi="ar-SA"/>
          <w14:textFill>
            <w14:solidFill>
              <w14:schemeClr w14:val="tx1"/>
            </w14:solidFill>
          </w14:textFill>
        </w:rPr>
        <w:t>2</w:t>
      </w: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、NH</w:t>
      </w:r>
      <w:r>
        <w:rPr>
          <w:rFonts w:hint="default" w:ascii="Times New Roman" w:hAnsi="Times New Roman" w:eastAsia="宋体" w:cs="Times New Roman"/>
          <w:b w:val="0"/>
          <w:color w:val="000000" w:themeColor="text1"/>
          <w:kern w:val="0"/>
          <w:sz w:val="24"/>
          <w:szCs w:val="24"/>
          <w:vertAlign w:val="subscript"/>
          <w:lang w:val="en-US" w:eastAsia="zh-CN" w:bidi="ar-SA"/>
          <w14:textFill>
            <w14:solidFill>
              <w14:schemeClr w14:val="tx1"/>
            </w14:solidFill>
          </w14:textFill>
        </w:rPr>
        <w:t>3</w:t>
      </w: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、H</w:t>
      </w:r>
      <w:r>
        <w:rPr>
          <w:rFonts w:hint="default" w:ascii="Times New Roman" w:hAnsi="Times New Roman" w:eastAsia="宋体" w:cs="Times New Roman"/>
          <w:b w:val="0"/>
          <w:color w:val="000000" w:themeColor="text1"/>
          <w:kern w:val="0"/>
          <w:sz w:val="24"/>
          <w:szCs w:val="24"/>
          <w:vertAlign w:val="subscript"/>
          <w:lang w:val="en-US" w:eastAsia="zh-CN" w:bidi="ar-SA"/>
          <w14:textFill>
            <w14:solidFill>
              <w14:schemeClr w14:val="tx1"/>
            </w14:solidFill>
          </w14:textFill>
        </w:rPr>
        <w:t>2</w:t>
      </w: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O、HCl等其他成分形成了锌锅废气。HCl与金属锌、铸件中的铁以及表面被氧化的氧化锌等反应，形成锌灰（主要成分：ZnO、Zn、ZnCl</w:t>
      </w:r>
      <w:r>
        <w:rPr>
          <w:rFonts w:hint="default" w:ascii="Times New Roman" w:hAnsi="Times New Roman" w:eastAsia="宋体" w:cs="Times New Roman"/>
          <w:b w:val="0"/>
          <w:color w:val="000000" w:themeColor="text1"/>
          <w:kern w:val="0"/>
          <w:sz w:val="24"/>
          <w:szCs w:val="24"/>
          <w:vertAlign w:val="subscript"/>
          <w:lang w:val="en-US" w:eastAsia="zh-CN" w:bidi="ar-SA"/>
          <w14:textFill>
            <w14:solidFill>
              <w14:schemeClr w14:val="tx1"/>
            </w14:solidFill>
          </w14:textFill>
        </w:rPr>
        <w:t>2</w:t>
      </w: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、FeCl</w:t>
      </w:r>
      <w:r>
        <w:rPr>
          <w:rFonts w:hint="default" w:ascii="Times New Roman" w:hAnsi="Times New Roman" w:eastAsia="宋体" w:cs="Times New Roman"/>
          <w:b w:val="0"/>
          <w:color w:val="000000" w:themeColor="text1"/>
          <w:kern w:val="0"/>
          <w:sz w:val="24"/>
          <w:szCs w:val="24"/>
          <w:vertAlign w:val="subscript"/>
          <w:lang w:val="en-US" w:eastAsia="zh-CN" w:bidi="ar-SA"/>
          <w14:textFill>
            <w14:solidFill>
              <w14:schemeClr w14:val="tx1"/>
            </w14:solidFill>
          </w14:textFill>
        </w:rPr>
        <w:t>2</w:t>
      </w: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）。扩散到熔融锌液中的铁和锌形成Zn-Fe合金，沉入锌锅底部形成锌渣。锌渣必须及时捞除，否则会影响热镀质量。</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outlineLvl w:val="1"/>
        <w:rPr>
          <w:rFonts w:hint="default" w:ascii="Times New Roman" w:hAnsi="Times New Roman" w:eastAsia="宋体" w:cs="Times New Roman"/>
          <w:color w:val="000000" w:themeColor="text1"/>
          <w:kern w:val="0"/>
          <w:sz w:val="24"/>
          <w:lang w:val="en-US" w:eastAsia="zh-CN"/>
          <w14:textFill>
            <w14:solidFill>
              <w14:schemeClr w14:val="tx1"/>
            </w14:solidFill>
          </w14:textFill>
        </w:rPr>
      </w:pPr>
      <w:bookmarkStart w:id="166" w:name="_Toc20703"/>
      <w:r>
        <w:rPr>
          <w:rFonts w:hint="default" w:ascii="Times New Roman" w:hAnsi="Times New Roman" w:eastAsia="宋体" w:cs="Times New Roman"/>
          <w:color w:val="000000" w:themeColor="text1"/>
          <w:kern w:val="0"/>
          <w:sz w:val="24"/>
          <w:lang w:val="en-US" w:eastAsia="zh-CN"/>
          <w14:textFill>
            <w14:solidFill>
              <w14:schemeClr w14:val="tx1"/>
            </w14:solidFill>
          </w14:textFill>
        </w:rPr>
        <w:t>（7）水冷</w:t>
      </w:r>
      <w:bookmarkEnd w:id="166"/>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冷却方式采用水浴浸泡冷，将热镀锌后的工件在经过数秒钟时间的空冷，并去除锌瘤后，应立即浸入冷却水中，防止因空冷时间过长而使其镀层表面出现灰暗层等现象。冷却水的温度一般不低于30℃不高于70℃，除表面散热外，采用外置冷却塔进行冷却散热后循环使用，由于散热导致水分的散失，通过自来水定期进行补充。冷却池可使工件尽可能快的冷却，保持工件镀锌层颜色一致。</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outlineLvl w:val="1"/>
        <w:rPr>
          <w:rFonts w:hint="default" w:ascii="Times New Roman" w:hAnsi="Times New Roman" w:eastAsia="宋体" w:cs="Times New Roman"/>
          <w:color w:val="000000" w:themeColor="text1"/>
          <w:kern w:val="0"/>
          <w:sz w:val="24"/>
          <w:lang w:val="en-US" w:eastAsia="zh-CN"/>
          <w14:textFill>
            <w14:solidFill>
              <w14:schemeClr w14:val="tx1"/>
            </w14:solidFill>
          </w14:textFill>
        </w:rPr>
      </w:pPr>
      <w:bookmarkStart w:id="167" w:name="_Toc20603"/>
      <w:r>
        <w:rPr>
          <w:rFonts w:hint="default" w:ascii="Times New Roman" w:hAnsi="Times New Roman" w:eastAsia="宋体" w:cs="Times New Roman"/>
          <w:color w:val="000000" w:themeColor="text1"/>
          <w:kern w:val="0"/>
          <w:sz w:val="24"/>
          <w:lang w:val="en-US" w:eastAsia="zh-CN"/>
          <w14:textFill>
            <w14:solidFill>
              <w14:schemeClr w14:val="tx1"/>
            </w14:solidFill>
          </w14:textFill>
        </w:rPr>
        <w:t>（8）钝化</w:t>
      </w:r>
      <w:bookmarkEnd w:id="167"/>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b w:val="0"/>
          <w:color w:val="000000" w:themeColor="text1"/>
          <w:kern w:val="0"/>
          <w:sz w:val="24"/>
          <w:szCs w:val="24"/>
          <w:lang w:val="en-US" w:eastAsia="zh-CN" w:bidi="ar-SA"/>
          <w14:textFill>
            <w14:solidFill>
              <w14:schemeClr w14:val="tx1"/>
            </w14:solidFill>
          </w14:textFill>
        </w:rPr>
        <w:t>镀锌层在干燥的环境中很稳定，但是在高温和高湿的环境中耐腐蚀性较差，采用三价铬钝化液进行钝化，提高锌镀层的耐蚀性。钝化液主要成分为偏矾酸铵、氟化钠、苯骈三氮唑、乙醇、硝酸镁、水，在锌表面形成致密又具有“自逾”能力的复合膜。本项目冷却后的热镀锌件浸入到三价铬钝化液中在常温下进行钝化。工件充分浸入铬钝化液后提起，使钝化层自干，在锌膜表面形成一层致密的难容的盐类化合物薄膜，使镀锌层与外界腐蚀环境隔离，提高镀锌层的腐蚀性。</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outlineLvl w:val="1"/>
        <w:rPr>
          <w:rFonts w:hint="default" w:ascii="Times New Roman" w:hAnsi="Times New Roman" w:eastAsia="宋体" w:cs="Times New Roman"/>
          <w:color w:val="000000" w:themeColor="text1"/>
          <w:kern w:val="0"/>
          <w:sz w:val="24"/>
          <w:lang w:val="en-US" w:eastAsia="zh-CN"/>
          <w14:textFill>
            <w14:solidFill>
              <w14:schemeClr w14:val="tx1"/>
            </w14:solidFill>
          </w14:textFill>
        </w:rPr>
      </w:pPr>
      <w:bookmarkStart w:id="168" w:name="_Toc16035"/>
      <w:r>
        <w:rPr>
          <w:rFonts w:hint="default" w:ascii="Times New Roman" w:hAnsi="Times New Roman" w:eastAsia="宋体" w:cs="Times New Roman"/>
          <w:color w:val="000000" w:themeColor="text1"/>
          <w:kern w:val="0"/>
          <w:sz w:val="24"/>
          <w:lang w:val="en-US" w:eastAsia="zh-CN"/>
          <w14:textFill>
            <w14:solidFill>
              <w14:schemeClr w14:val="tx1"/>
            </w14:solidFill>
          </w14:textFill>
        </w:rPr>
        <w:t>（9）晾干</w:t>
      </w:r>
      <w:bookmarkEnd w:id="168"/>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经钝化后的镀锌件在钝化池上方晾干，然后经人工检验，质量无问题的运至运至镀锌件存放区，若有问题的则运至返镀池进行退镀处理后重新热镀锌。</w:t>
      </w:r>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outlineLvl w:val="1"/>
        <w:rPr>
          <w:rFonts w:hint="default" w:ascii="Times New Roman" w:hAnsi="Times New Roman" w:eastAsia="宋体" w:cs="Times New Roman"/>
          <w:color w:val="000000" w:themeColor="text1"/>
          <w:kern w:val="0"/>
          <w:sz w:val="24"/>
          <w:lang w:val="en-US" w:eastAsia="zh-CN"/>
          <w14:textFill>
            <w14:solidFill>
              <w14:schemeClr w14:val="tx1"/>
            </w14:solidFill>
          </w14:textFill>
        </w:rPr>
      </w:pPr>
      <w:bookmarkStart w:id="169" w:name="_Toc28199"/>
      <w:r>
        <w:rPr>
          <w:rFonts w:hint="default" w:ascii="Times New Roman" w:hAnsi="Times New Roman" w:eastAsia="宋体" w:cs="Times New Roman"/>
          <w:color w:val="000000" w:themeColor="text1"/>
          <w:kern w:val="0"/>
          <w:sz w:val="24"/>
          <w:lang w:val="en-US" w:eastAsia="zh-CN"/>
          <w14:textFill>
            <w14:solidFill>
              <w14:schemeClr w14:val="tx1"/>
            </w14:solidFill>
          </w14:textFill>
        </w:rPr>
        <w:t>（10）返镀</w:t>
      </w:r>
      <w:bookmarkEnd w:id="169"/>
    </w:p>
    <w:p>
      <w:pPr>
        <w:pStyle w:val="38"/>
        <w:keepNext w:val="0"/>
        <w:keepLines w:val="0"/>
        <w:pageBreakBefore w:val="0"/>
        <w:widowControl w:val="0"/>
        <w:numPr>
          <w:ilvl w:val="0"/>
          <w:numId w:val="0"/>
        </w:numPr>
        <w:kinsoku/>
        <w:wordWrap/>
        <w:overflowPunct/>
        <w:topLinePunct w:val="0"/>
        <w:bidi w:val="0"/>
        <w:adjustRightInd/>
        <w:snapToGrid/>
        <w:spacing w:before="0" w:line="360" w:lineRule="auto"/>
        <w:ind w:left="0" w:firstLine="480" w:firstLineChars="200"/>
        <w:textAlignment w:val="auto"/>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返镀工件及镀锌夹具附着的锌层需要退锌，退锌后工件进入水洗和助镀，不需进行碱洗和清洗。</w:t>
      </w:r>
    </w:p>
    <w:p>
      <w:pPr>
        <w:spacing w:line="360" w:lineRule="auto"/>
        <w:ind w:firstLine="562" w:firstLineChars="200"/>
        <w:rPr>
          <w:b/>
          <w:bCs/>
          <w:color w:val="auto"/>
          <w:sz w:val="28"/>
          <w:szCs w:val="28"/>
        </w:rPr>
      </w:pPr>
      <w:r>
        <w:rPr>
          <w:b/>
          <w:bCs/>
          <w:color w:val="auto"/>
          <w:sz w:val="28"/>
          <w:szCs w:val="28"/>
        </w:rPr>
        <w:t>3.6项目变动情况</w:t>
      </w:r>
    </w:p>
    <w:p>
      <w:pPr>
        <w:spacing w:line="360" w:lineRule="auto"/>
        <w:ind w:firstLine="480" w:firstLineChars="200"/>
        <w:rPr>
          <w:sz w:val="24"/>
        </w:rPr>
      </w:pPr>
      <w:r>
        <w:rPr>
          <w:color w:val="auto"/>
          <w:sz w:val="24"/>
        </w:rPr>
        <w:t>根据《建设项目环境保护管理条例》（中华人民共和国国务院令第682条）中第十二条规定：建设项目环境</w:t>
      </w:r>
      <w:r>
        <w:rPr>
          <w:sz w:val="24"/>
        </w:rPr>
        <w:t>影响报告书、环境影响报告表经批准后，建设项目的性质、规模、地点、采用的生产工艺或者防治污染、防止生态破坏的措施发生重大变动的，建设单位应当重新报批建设项目环境影响报告书、环境影响报告表。</w:t>
      </w:r>
    </w:p>
    <w:p>
      <w:pPr>
        <w:spacing w:line="520" w:lineRule="exact"/>
        <w:ind w:firstLine="480" w:firstLineChars="200"/>
        <w:rPr>
          <w:rFonts w:cs="Times New Roman"/>
          <w:color w:val="000000"/>
          <w:sz w:val="24"/>
        </w:rPr>
      </w:pPr>
      <w:r>
        <w:rPr>
          <w:rFonts w:hint="eastAsia" w:cs="Times New Roman"/>
          <w:color w:val="000000"/>
          <w:sz w:val="24"/>
        </w:rPr>
        <w:t>根据《关于印发&lt;污染影响类建设项目重大变动清单（试行）&gt;的通知》（环办环评函〔2020〕688号），对项目是否涉及重大变动判定如下：</w:t>
      </w:r>
    </w:p>
    <w:p>
      <w:pPr>
        <w:spacing w:line="520" w:lineRule="exact"/>
        <w:jc w:val="center"/>
        <w:rPr>
          <w:rFonts w:cs="Times New Roman"/>
          <w:b/>
          <w:bCs/>
          <w:color w:val="000000"/>
          <w:sz w:val="24"/>
        </w:rPr>
      </w:pPr>
      <w:r>
        <w:rPr>
          <w:rFonts w:hint="eastAsia" w:cs="Times New Roman"/>
          <w:b/>
          <w:bCs/>
          <w:color w:val="000000"/>
          <w:sz w:val="24"/>
        </w:rPr>
        <w:t>表</w:t>
      </w:r>
      <w:r>
        <w:rPr>
          <w:rFonts w:hint="eastAsia" w:cs="Times New Roman"/>
          <w:b/>
          <w:bCs/>
          <w:color w:val="000000"/>
          <w:sz w:val="24"/>
          <w:lang w:val="en-US" w:eastAsia="zh-CN"/>
        </w:rPr>
        <w:t>3.5</w:t>
      </w:r>
      <w:r>
        <w:rPr>
          <w:rFonts w:hint="eastAsia" w:cs="Times New Roman"/>
          <w:b/>
          <w:bCs/>
          <w:color w:val="000000"/>
          <w:sz w:val="24"/>
        </w:rPr>
        <w:t xml:space="preserve"> 项目变动情况分析表</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4"/>
        <w:gridCol w:w="4152"/>
        <w:gridCol w:w="2508"/>
        <w:gridCol w:w="1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279" w:type="dxa"/>
            <w:gridSpan w:val="2"/>
            <w:noWrap/>
            <w:vAlign w:val="center"/>
          </w:tcPr>
          <w:p>
            <w:pPr>
              <w:pStyle w:val="107"/>
              <w:spacing w:line="240" w:lineRule="auto"/>
              <w:ind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《关于印发&lt;污染影响类建设项目重大变动清单（试行）&gt;的通知》（环办环评函〔2020〕688号）</w:t>
            </w:r>
            <w:r>
              <w:rPr>
                <w:rFonts w:hint="eastAsia" w:ascii="Times New Roman" w:hAnsi="Times New Roman" w:cs="Times New Roman"/>
                <w:b/>
                <w:bCs/>
                <w:color w:val="000000"/>
                <w:sz w:val="21"/>
                <w:szCs w:val="21"/>
              </w:rPr>
              <w:t>中属于重大变动的规定内容</w:t>
            </w:r>
          </w:p>
        </w:tc>
        <w:tc>
          <w:tcPr>
            <w:tcW w:w="2672" w:type="dxa"/>
            <w:noWrap/>
            <w:vAlign w:val="center"/>
          </w:tcPr>
          <w:p>
            <w:pPr>
              <w:pStyle w:val="107"/>
              <w:spacing w:line="240" w:lineRule="auto"/>
              <w:ind w:firstLine="0"/>
              <w:jc w:val="center"/>
              <w:rPr>
                <w:rFonts w:ascii="Times New Roman" w:hAnsi="Times New Roman" w:cs="Times New Roman"/>
                <w:b/>
                <w:bCs/>
                <w:color w:val="000000"/>
                <w:sz w:val="21"/>
                <w:szCs w:val="21"/>
              </w:rPr>
            </w:pPr>
            <w:r>
              <w:rPr>
                <w:rFonts w:hint="eastAsia" w:ascii="Times New Roman" w:hAnsi="Times New Roman" w:cs="Times New Roman"/>
                <w:b/>
                <w:bCs/>
                <w:color w:val="000000"/>
                <w:sz w:val="21"/>
                <w:szCs w:val="21"/>
              </w:rPr>
              <w:t>本项目实际情况</w:t>
            </w:r>
          </w:p>
        </w:tc>
        <w:tc>
          <w:tcPr>
            <w:tcW w:w="1111" w:type="dxa"/>
            <w:noWrap/>
            <w:vAlign w:val="center"/>
          </w:tcPr>
          <w:p>
            <w:pPr>
              <w:pStyle w:val="107"/>
              <w:spacing w:line="240" w:lineRule="auto"/>
              <w:ind w:firstLine="0"/>
              <w:jc w:val="center"/>
              <w:rPr>
                <w:rFonts w:ascii="Times New Roman" w:hAnsi="Times New Roman" w:cs="Times New Roman"/>
                <w:b/>
                <w:bCs/>
                <w:color w:val="000000"/>
                <w:sz w:val="21"/>
                <w:szCs w:val="21"/>
              </w:rPr>
            </w:pPr>
            <w:r>
              <w:rPr>
                <w:rFonts w:hint="eastAsia" w:ascii="Times New Roman" w:hAnsi="Times New Roman" w:cs="Times New Roman"/>
                <w:b/>
                <w:bCs/>
                <w:color w:val="000000"/>
                <w:sz w:val="21"/>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846" w:type="dxa"/>
            <w:noWrap/>
            <w:vAlign w:val="center"/>
          </w:tcPr>
          <w:p>
            <w:pPr>
              <w:pStyle w:val="107"/>
              <w:spacing w:line="240" w:lineRule="auto"/>
              <w:ind w:firstLine="0"/>
              <w:jc w:val="center"/>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一、</w:t>
            </w:r>
          </w:p>
          <w:p>
            <w:pPr>
              <w:pStyle w:val="107"/>
              <w:spacing w:line="240" w:lineRule="auto"/>
              <w:ind w:firstLine="0"/>
              <w:jc w:val="center"/>
              <w:rPr>
                <w:rFonts w:ascii="Times New Roman" w:hAnsi="Times New Roman" w:cs="Times New Roman"/>
                <w:b/>
                <w:bCs/>
                <w:color w:val="000000"/>
                <w:sz w:val="21"/>
                <w:szCs w:val="21"/>
              </w:rPr>
            </w:pPr>
            <w:r>
              <w:rPr>
                <w:rFonts w:hint="eastAsia" w:ascii="Times New Roman" w:hAnsi="Times New Roman" w:cs="Times New Roman"/>
                <w:b/>
                <w:bCs/>
                <w:color w:val="000000"/>
                <w:sz w:val="21"/>
                <w:szCs w:val="21"/>
              </w:rPr>
              <w:t>性质</w:t>
            </w:r>
          </w:p>
        </w:tc>
        <w:tc>
          <w:tcPr>
            <w:tcW w:w="4433" w:type="dxa"/>
            <w:noWrap/>
            <w:vAlign w:val="center"/>
          </w:tcPr>
          <w:p>
            <w:pPr>
              <w:pStyle w:val="107"/>
              <w:spacing w:line="240" w:lineRule="auto"/>
              <w:ind w:firstLine="0"/>
              <w:jc w:val="center"/>
              <w:rPr>
                <w:rFonts w:ascii="Times New Roman" w:hAnsi="Times New Roman" w:cs="Times New Roman"/>
                <w:color w:val="000000"/>
                <w:sz w:val="21"/>
                <w:szCs w:val="21"/>
              </w:rPr>
            </w:pPr>
            <w:r>
              <w:rPr>
                <w:rFonts w:hint="eastAsia" w:ascii="Times New Roman" w:hAnsi="Times New Roman" w:cs="Times New Roman"/>
                <w:color w:val="000000"/>
                <w:sz w:val="21"/>
                <w:szCs w:val="21"/>
              </w:rPr>
              <w:t>1、建设项目开发、使用功能发生变化的</w:t>
            </w:r>
          </w:p>
        </w:tc>
        <w:tc>
          <w:tcPr>
            <w:tcW w:w="2672" w:type="dxa"/>
            <w:noWrap/>
            <w:vAlign w:val="center"/>
          </w:tcPr>
          <w:p>
            <w:pPr>
              <w:pStyle w:val="107"/>
              <w:spacing w:line="240" w:lineRule="auto"/>
              <w:ind w:firstLine="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项目属于新建项目，生产内容与产能</w:t>
            </w:r>
            <w:r>
              <w:rPr>
                <w:rFonts w:hint="eastAsia"/>
                <w:sz w:val="21"/>
                <w:szCs w:val="21"/>
                <w:lang w:eastAsia="zh-CN"/>
              </w:rPr>
              <w:t>未发生变化</w:t>
            </w:r>
          </w:p>
        </w:tc>
        <w:tc>
          <w:tcPr>
            <w:tcW w:w="1111" w:type="dxa"/>
            <w:noWrap/>
            <w:vAlign w:val="center"/>
          </w:tcPr>
          <w:p>
            <w:pPr>
              <w:pStyle w:val="107"/>
              <w:spacing w:line="240" w:lineRule="auto"/>
              <w:ind w:firstLine="0"/>
              <w:jc w:val="center"/>
              <w:rPr>
                <w:rFonts w:ascii="Times New Roman" w:hAnsi="Times New Roman" w:cs="Times New Roman"/>
                <w:color w:val="000000"/>
                <w:sz w:val="21"/>
                <w:szCs w:val="21"/>
              </w:rPr>
            </w:pPr>
            <w:r>
              <w:rPr>
                <w:rFonts w:hint="eastAsia" w:ascii="Times New Roman" w:hAnsi="Times New Roman" w:cs="Times New Roman"/>
                <w:color w:val="000000"/>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46" w:type="dxa"/>
            <w:vMerge w:val="restart"/>
            <w:noWrap/>
            <w:vAlign w:val="center"/>
          </w:tcPr>
          <w:p>
            <w:pPr>
              <w:pStyle w:val="107"/>
              <w:spacing w:line="240" w:lineRule="auto"/>
              <w:ind w:firstLine="0"/>
              <w:jc w:val="center"/>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二、</w:t>
            </w:r>
          </w:p>
          <w:p>
            <w:pPr>
              <w:pStyle w:val="107"/>
              <w:spacing w:line="240" w:lineRule="auto"/>
              <w:ind w:firstLine="0"/>
              <w:jc w:val="center"/>
              <w:rPr>
                <w:rFonts w:ascii="Times New Roman" w:hAnsi="Times New Roman" w:cs="Times New Roman"/>
                <w:b/>
                <w:bCs/>
                <w:color w:val="000000"/>
                <w:sz w:val="21"/>
                <w:szCs w:val="21"/>
              </w:rPr>
            </w:pPr>
            <w:r>
              <w:rPr>
                <w:rFonts w:hint="eastAsia" w:ascii="Times New Roman" w:hAnsi="Times New Roman" w:cs="Times New Roman"/>
                <w:b/>
                <w:bCs/>
                <w:color w:val="000000"/>
                <w:sz w:val="21"/>
                <w:szCs w:val="21"/>
              </w:rPr>
              <w:t>规模</w:t>
            </w:r>
          </w:p>
        </w:tc>
        <w:tc>
          <w:tcPr>
            <w:tcW w:w="4433" w:type="dxa"/>
            <w:noWrap/>
            <w:vAlign w:val="center"/>
          </w:tcPr>
          <w:p>
            <w:pPr>
              <w:pStyle w:val="107"/>
              <w:spacing w:line="240" w:lineRule="auto"/>
              <w:ind w:firstLine="0"/>
              <w:jc w:val="center"/>
              <w:rPr>
                <w:rFonts w:ascii="Times New Roman" w:hAnsi="Times New Roman" w:cs="Times New Roman"/>
                <w:color w:val="000000"/>
                <w:sz w:val="21"/>
                <w:szCs w:val="21"/>
              </w:rPr>
            </w:pPr>
            <w:r>
              <w:rPr>
                <w:rFonts w:hint="eastAsia" w:ascii="Times New Roman" w:hAnsi="Times New Roman" w:cs="Times New Roman"/>
                <w:color w:val="000000"/>
                <w:sz w:val="21"/>
                <w:szCs w:val="21"/>
              </w:rPr>
              <w:t>2、生产、处置或储存能力增大30%及以上的</w:t>
            </w:r>
          </w:p>
        </w:tc>
        <w:tc>
          <w:tcPr>
            <w:tcW w:w="2672" w:type="dxa"/>
            <w:vMerge w:val="restart"/>
            <w:noWrap/>
            <w:vAlign w:val="center"/>
          </w:tcPr>
          <w:p>
            <w:pPr>
              <w:pStyle w:val="107"/>
              <w:spacing w:line="240" w:lineRule="auto"/>
              <w:ind w:firstLine="0"/>
              <w:jc w:val="center"/>
              <w:rPr>
                <w:rFonts w:hint="eastAsia"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eastAsia="zh-CN"/>
              </w:rPr>
              <w:t>生产、处置或储存能力并未增大。</w:t>
            </w:r>
          </w:p>
        </w:tc>
        <w:tc>
          <w:tcPr>
            <w:tcW w:w="1111" w:type="dxa"/>
            <w:vMerge w:val="restart"/>
            <w:noWrap/>
            <w:vAlign w:val="center"/>
          </w:tcPr>
          <w:p>
            <w:pPr>
              <w:pStyle w:val="107"/>
              <w:spacing w:line="240" w:lineRule="auto"/>
              <w:ind w:firstLine="0"/>
              <w:jc w:val="center"/>
              <w:rPr>
                <w:rFonts w:ascii="Times New Roman" w:hAnsi="Times New Roman" w:cs="Times New Roman"/>
                <w:color w:val="000000"/>
                <w:sz w:val="21"/>
                <w:szCs w:val="21"/>
              </w:rPr>
            </w:pPr>
            <w:r>
              <w:rPr>
                <w:rFonts w:hint="eastAsia" w:ascii="Times New Roman" w:hAnsi="Times New Roman" w:cs="Times New Roman"/>
                <w:color w:val="000000"/>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46" w:type="dxa"/>
            <w:vMerge w:val="continue"/>
            <w:noWrap/>
            <w:vAlign w:val="center"/>
          </w:tcPr>
          <w:p>
            <w:pPr>
              <w:pStyle w:val="107"/>
              <w:spacing w:line="240" w:lineRule="auto"/>
              <w:ind w:firstLine="0"/>
              <w:jc w:val="center"/>
              <w:rPr>
                <w:rFonts w:ascii="Times New Roman" w:hAnsi="Times New Roman" w:cs="Times New Roman"/>
                <w:b/>
                <w:bCs/>
                <w:color w:val="000000"/>
                <w:sz w:val="21"/>
                <w:szCs w:val="21"/>
              </w:rPr>
            </w:pPr>
          </w:p>
        </w:tc>
        <w:tc>
          <w:tcPr>
            <w:tcW w:w="4433" w:type="dxa"/>
            <w:noWrap/>
            <w:vAlign w:val="center"/>
          </w:tcPr>
          <w:p>
            <w:pPr>
              <w:pStyle w:val="107"/>
              <w:spacing w:line="240" w:lineRule="auto"/>
              <w:ind w:firstLine="0"/>
              <w:jc w:val="center"/>
              <w:rPr>
                <w:rFonts w:ascii="Times New Roman" w:hAnsi="Times New Roman" w:cs="Times New Roman"/>
                <w:color w:val="000000"/>
                <w:sz w:val="21"/>
                <w:szCs w:val="21"/>
              </w:rPr>
            </w:pPr>
            <w:r>
              <w:rPr>
                <w:rFonts w:hint="eastAsia" w:ascii="Times New Roman" w:hAnsi="Times New Roman" w:cs="Times New Roman"/>
                <w:color w:val="000000"/>
                <w:sz w:val="21"/>
                <w:szCs w:val="21"/>
              </w:rPr>
              <w:t>3、生产、处置或储存能力增大，导致废水第一类污染物排放量增加的</w:t>
            </w:r>
          </w:p>
        </w:tc>
        <w:tc>
          <w:tcPr>
            <w:tcW w:w="2672" w:type="dxa"/>
            <w:vMerge w:val="continue"/>
            <w:noWrap/>
            <w:vAlign w:val="center"/>
          </w:tcPr>
          <w:p>
            <w:pPr>
              <w:pStyle w:val="107"/>
              <w:spacing w:line="240" w:lineRule="auto"/>
              <w:ind w:firstLine="0"/>
              <w:jc w:val="center"/>
              <w:rPr>
                <w:rFonts w:ascii="Times New Roman" w:hAnsi="Times New Roman" w:cs="Times New Roman"/>
                <w:color w:val="000000"/>
                <w:sz w:val="21"/>
                <w:szCs w:val="21"/>
              </w:rPr>
            </w:pPr>
          </w:p>
        </w:tc>
        <w:tc>
          <w:tcPr>
            <w:tcW w:w="1111" w:type="dxa"/>
            <w:vMerge w:val="continue"/>
            <w:noWrap/>
            <w:vAlign w:val="center"/>
          </w:tcPr>
          <w:p>
            <w:pPr>
              <w:pStyle w:val="107"/>
              <w:spacing w:line="240" w:lineRule="auto"/>
              <w:ind w:firstLine="0"/>
              <w:jc w:val="center"/>
              <w:rPr>
                <w:rFonts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846" w:type="dxa"/>
            <w:vMerge w:val="continue"/>
            <w:noWrap/>
            <w:vAlign w:val="center"/>
          </w:tcPr>
          <w:p>
            <w:pPr>
              <w:pStyle w:val="107"/>
              <w:spacing w:line="240" w:lineRule="auto"/>
              <w:ind w:firstLine="0"/>
              <w:jc w:val="center"/>
              <w:rPr>
                <w:rFonts w:ascii="Times New Roman" w:hAnsi="Times New Roman" w:cs="Times New Roman"/>
                <w:b/>
                <w:bCs/>
                <w:color w:val="000000"/>
                <w:sz w:val="21"/>
                <w:szCs w:val="21"/>
              </w:rPr>
            </w:pPr>
          </w:p>
        </w:tc>
        <w:tc>
          <w:tcPr>
            <w:tcW w:w="4433" w:type="dxa"/>
            <w:noWrap/>
            <w:vAlign w:val="center"/>
          </w:tcPr>
          <w:p>
            <w:pPr>
              <w:pStyle w:val="107"/>
              <w:spacing w:line="240" w:lineRule="auto"/>
              <w:ind w:firstLine="0"/>
              <w:jc w:val="center"/>
              <w:rPr>
                <w:rFonts w:ascii="Times New Roman" w:hAnsi="Times New Roman" w:cs="Times New Roman"/>
                <w:color w:val="000000"/>
                <w:sz w:val="21"/>
                <w:szCs w:val="21"/>
              </w:rPr>
            </w:pPr>
            <w:r>
              <w:rPr>
                <w:rFonts w:hint="eastAsia" w:ascii="Times New Roman" w:hAnsi="Times New Roman" w:cs="Times New Roman"/>
                <w:color w:val="000000"/>
                <w:sz w:val="21"/>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672" w:type="dxa"/>
            <w:vMerge w:val="continue"/>
            <w:noWrap/>
            <w:vAlign w:val="center"/>
          </w:tcPr>
          <w:p>
            <w:pPr>
              <w:pStyle w:val="107"/>
              <w:spacing w:line="240" w:lineRule="auto"/>
              <w:ind w:firstLine="0"/>
              <w:jc w:val="center"/>
              <w:rPr>
                <w:rFonts w:ascii="Times New Roman" w:hAnsi="Times New Roman" w:cs="Times New Roman"/>
                <w:color w:val="000000"/>
                <w:sz w:val="21"/>
                <w:szCs w:val="21"/>
              </w:rPr>
            </w:pPr>
          </w:p>
        </w:tc>
        <w:tc>
          <w:tcPr>
            <w:tcW w:w="1111" w:type="dxa"/>
            <w:vMerge w:val="continue"/>
            <w:noWrap/>
            <w:vAlign w:val="center"/>
          </w:tcPr>
          <w:p>
            <w:pPr>
              <w:pStyle w:val="107"/>
              <w:spacing w:line="240" w:lineRule="auto"/>
              <w:ind w:firstLine="0"/>
              <w:jc w:val="center"/>
              <w:rPr>
                <w:rFonts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846" w:type="dxa"/>
            <w:noWrap/>
            <w:vAlign w:val="center"/>
          </w:tcPr>
          <w:p>
            <w:pPr>
              <w:pStyle w:val="107"/>
              <w:spacing w:line="240" w:lineRule="auto"/>
              <w:ind w:firstLine="0"/>
              <w:jc w:val="center"/>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三、</w:t>
            </w:r>
          </w:p>
          <w:p>
            <w:pPr>
              <w:pStyle w:val="107"/>
              <w:spacing w:line="240" w:lineRule="auto"/>
              <w:ind w:firstLine="0"/>
              <w:jc w:val="center"/>
              <w:rPr>
                <w:rFonts w:ascii="Times New Roman" w:hAnsi="Times New Roman" w:cs="Times New Roman"/>
                <w:b/>
                <w:bCs/>
                <w:color w:val="000000"/>
                <w:sz w:val="21"/>
                <w:szCs w:val="21"/>
              </w:rPr>
            </w:pPr>
            <w:r>
              <w:rPr>
                <w:rFonts w:hint="eastAsia" w:ascii="Times New Roman" w:hAnsi="Times New Roman" w:cs="Times New Roman"/>
                <w:b/>
                <w:bCs/>
                <w:color w:val="000000"/>
                <w:sz w:val="21"/>
                <w:szCs w:val="21"/>
              </w:rPr>
              <w:t>地点</w:t>
            </w:r>
          </w:p>
        </w:tc>
        <w:tc>
          <w:tcPr>
            <w:tcW w:w="4433" w:type="dxa"/>
            <w:noWrap/>
            <w:vAlign w:val="center"/>
          </w:tcPr>
          <w:p>
            <w:pPr>
              <w:pStyle w:val="107"/>
              <w:spacing w:line="240" w:lineRule="auto"/>
              <w:ind w:firstLine="0"/>
              <w:jc w:val="center"/>
              <w:rPr>
                <w:rFonts w:ascii="Times New Roman" w:hAnsi="Times New Roman" w:cs="Times New Roman"/>
                <w:color w:val="000000"/>
                <w:sz w:val="21"/>
                <w:szCs w:val="21"/>
              </w:rPr>
            </w:pPr>
            <w:r>
              <w:rPr>
                <w:rFonts w:hint="eastAsia" w:ascii="Times New Roman" w:hAnsi="Times New Roman" w:cs="Times New Roman"/>
                <w:color w:val="000000"/>
                <w:sz w:val="21"/>
                <w:szCs w:val="21"/>
              </w:rPr>
              <w:t>5、重新选址；在原厂址附近调整（包括总平面布置变化）导致环境防护距离范围变化且新增敏感点的</w:t>
            </w:r>
          </w:p>
        </w:tc>
        <w:tc>
          <w:tcPr>
            <w:tcW w:w="2672" w:type="dxa"/>
            <w:noWrap/>
            <w:vAlign w:val="center"/>
          </w:tcPr>
          <w:p>
            <w:pPr>
              <w:pStyle w:val="107"/>
              <w:spacing w:line="240" w:lineRule="auto"/>
              <w:ind w:firstLine="0"/>
              <w:jc w:val="center"/>
              <w:rPr>
                <w:rFonts w:hint="eastAsia" w:ascii="Times New Roman" w:hAnsi="Times New Roman" w:eastAsia="宋体" w:cs="Times New Roman"/>
                <w:color w:val="000000"/>
                <w:sz w:val="21"/>
                <w:szCs w:val="21"/>
                <w:lang w:eastAsia="zh-CN"/>
              </w:rPr>
            </w:pPr>
            <w:r>
              <w:rPr>
                <w:rFonts w:hint="eastAsia" w:ascii="Times New Roman" w:hAnsi="Times New Roman" w:cs="Times New Roman"/>
                <w:color w:val="000000"/>
                <w:sz w:val="21"/>
                <w:szCs w:val="21"/>
                <w:lang w:eastAsia="zh-CN"/>
              </w:rPr>
              <w:t>未重新选址，地点未发生变化</w:t>
            </w:r>
          </w:p>
        </w:tc>
        <w:tc>
          <w:tcPr>
            <w:tcW w:w="1111" w:type="dxa"/>
            <w:noWrap/>
            <w:vAlign w:val="center"/>
          </w:tcPr>
          <w:p>
            <w:pPr>
              <w:pStyle w:val="107"/>
              <w:spacing w:line="240" w:lineRule="auto"/>
              <w:ind w:firstLine="0"/>
              <w:jc w:val="center"/>
              <w:rPr>
                <w:rFonts w:ascii="Times New Roman" w:hAnsi="Times New Roman" w:cs="Times New Roman"/>
                <w:color w:val="000000"/>
                <w:sz w:val="21"/>
                <w:szCs w:val="21"/>
              </w:rPr>
            </w:pPr>
            <w:r>
              <w:rPr>
                <w:rFonts w:hint="eastAsia" w:ascii="Times New Roman" w:hAnsi="Times New Roman" w:cs="Times New Roman"/>
                <w:color w:val="000000"/>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846" w:type="dxa"/>
            <w:vMerge w:val="restart"/>
            <w:noWrap/>
            <w:vAlign w:val="center"/>
          </w:tcPr>
          <w:p>
            <w:pPr>
              <w:pStyle w:val="107"/>
              <w:spacing w:line="240" w:lineRule="auto"/>
              <w:ind w:firstLine="0"/>
              <w:jc w:val="center"/>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四、</w:t>
            </w:r>
          </w:p>
          <w:p>
            <w:pPr>
              <w:pStyle w:val="107"/>
              <w:spacing w:line="240" w:lineRule="auto"/>
              <w:ind w:firstLine="0"/>
              <w:jc w:val="center"/>
              <w:rPr>
                <w:rFonts w:ascii="Times New Roman" w:hAnsi="Times New Roman" w:cs="Times New Roman"/>
                <w:b/>
                <w:bCs/>
                <w:color w:val="000000"/>
                <w:sz w:val="21"/>
                <w:szCs w:val="21"/>
              </w:rPr>
            </w:pPr>
            <w:r>
              <w:rPr>
                <w:rFonts w:hint="eastAsia" w:ascii="Times New Roman" w:hAnsi="Times New Roman" w:cs="Times New Roman"/>
                <w:b/>
                <w:bCs/>
                <w:color w:val="000000"/>
                <w:sz w:val="21"/>
                <w:szCs w:val="21"/>
              </w:rPr>
              <w:t>生产工艺</w:t>
            </w:r>
          </w:p>
        </w:tc>
        <w:tc>
          <w:tcPr>
            <w:tcW w:w="4433" w:type="dxa"/>
            <w:noWrap/>
            <w:vAlign w:val="center"/>
          </w:tcPr>
          <w:p>
            <w:pPr>
              <w:pStyle w:val="107"/>
              <w:spacing w:line="240" w:lineRule="auto"/>
              <w:ind w:firstLine="0"/>
              <w:rPr>
                <w:rFonts w:ascii="Times New Roman" w:hAnsi="Times New Roman" w:cs="Times New Roman"/>
                <w:color w:val="000000"/>
                <w:sz w:val="21"/>
                <w:szCs w:val="21"/>
              </w:rPr>
            </w:pPr>
            <w:r>
              <w:rPr>
                <w:rFonts w:hint="eastAsia" w:ascii="Times New Roman" w:hAnsi="Times New Roman" w:cs="Times New Roman"/>
                <w:color w:val="000000"/>
                <w:sz w:val="21"/>
                <w:szCs w:val="21"/>
              </w:rPr>
              <w:t>6、新增产品品种或生产工艺（含主要生产装置、设备及配套设施）、主要原辅材料、燃料变化，导致以下情形之一：</w:t>
            </w:r>
          </w:p>
          <w:p>
            <w:pPr>
              <w:pStyle w:val="107"/>
              <w:spacing w:line="240" w:lineRule="auto"/>
              <w:ind w:firstLine="0"/>
              <w:rPr>
                <w:rFonts w:ascii="Times New Roman" w:hAnsi="Times New Roman" w:cs="Times New Roman"/>
                <w:color w:val="000000"/>
                <w:sz w:val="21"/>
                <w:szCs w:val="21"/>
              </w:rPr>
            </w:pPr>
            <w:r>
              <w:rPr>
                <w:rFonts w:hint="eastAsia" w:ascii="Times New Roman" w:hAnsi="Times New Roman" w:cs="Times New Roman"/>
                <w:color w:val="000000"/>
                <w:sz w:val="21"/>
                <w:szCs w:val="21"/>
              </w:rPr>
              <w:t>（1）新增排放污染物种类的（毒性、挥发性降低的除外）；</w:t>
            </w:r>
          </w:p>
          <w:p>
            <w:pPr>
              <w:pStyle w:val="107"/>
              <w:spacing w:line="240" w:lineRule="auto"/>
              <w:ind w:firstLine="0"/>
              <w:rPr>
                <w:rFonts w:ascii="Times New Roman" w:hAnsi="Times New Roman" w:cs="Times New Roman"/>
                <w:color w:val="000000"/>
                <w:sz w:val="21"/>
                <w:szCs w:val="21"/>
              </w:rPr>
            </w:pPr>
            <w:r>
              <w:rPr>
                <w:rFonts w:hint="eastAsia" w:ascii="Times New Roman" w:hAnsi="Times New Roman" w:cs="Times New Roman"/>
                <w:color w:val="000000"/>
                <w:sz w:val="21"/>
                <w:szCs w:val="21"/>
              </w:rPr>
              <w:t>（2）位于环境质量不达标区的建设项目相应污染物排放量增加的；</w:t>
            </w:r>
          </w:p>
          <w:p>
            <w:pPr>
              <w:pStyle w:val="107"/>
              <w:spacing w:line="240" w:lineRule="auto"/>
              <w:ind w:firstLine="0"/>
              <w:rPr>
                <w:rFonts w:ascii="Times New Roman" w:hAnsi="Times New Roman" w:cs="Times New Roman"/>
                <w:color w:val="000000"/>
                <w:sz w:val="21"/>
                <w:szCs w:val="21"/>
              </w:rPr>
            </w:pPr>
            <w:r>
              <w:rPr>
                <w:rFonts w:hint="eastAsia" w:ascii="Times New Roman" w:hAnsi="Times New Roman" w:cs="Times New Roman"/>
                <w:color w:val="000000"/>
                <w:sz w:val="21"/>
                <w:szCs w:val="21"/>
              </w:rPr>
              <w:t>（3）废水第一类污染物排放量增加的；</w:t>
            </w:r>
          </w:p>
          <w:p>
            <w:pPr>
              <w:pStyle w:val="107"/>
              <w:spacing w:line="240" w:lineRule="auto"/>
              <w:ind w:firstLine="0"/>
              <w:rPr>
                <w:rFonts w:ascii="Times New Roman" w:hAnsi="Times New Roman" w:cs="Times New Roman"/>
                <w:color w:val="000000"/>
                <w:sz w:val="21"/>
                <w:szCs w:val="21"/>
              </w:rPr>
            </w:pPr>
            <w:r>
              <w:rPr>
                <w:rFonts w:hint="eastAsia" w:ascii="Times New Roman" w:hAnsi="Times New Roman" w:cs="Times New Roman"/>
                <w:color w:val="000000"/>
                <w:sz w:val="21"/>
                <w:szCs w:val="21"/>
              </w:rPr>
              <w:t>（4）其他污染物排放量增加10%及以上的</w:t>
            </w:r>
          </w:p>
        </w:tc>
        <w:tc>
          <w:tcPr>
            <w:tcW w:w="2672" w:type="dxa"/>
            <w:noWrap/>
            <w:vAlign w:val="center"/>
          </w:tcPr>
          <w:p>
            <w:pPr>
              <w:pStyle w:val="107"/>
              <w:spacing w:line="240" w:lineRule="auto"/>
              <w:ind w:firstLine="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eastAsia="zh-CN"/>
              </w:rPr>
              <w:t>未新增产品；</w:t>
            </w:r>
            <w:r>
              <w:rPr>
                <w:rFonts w:hint="eastAsia" w:ascii="Times New Roman" w:hAnsi="Times New Roman" w:cs="Times New Roman"/>
                <w:color w:val="000000"/>
                <w:sz w:val="21"/>
                <w:szCs w:val="21"/>
              </w:rPr>
              <w:t>生产工艺（含主要生产装置、设备及配套设施）、主要原辅材料、燃料</w:t>
            </w:r>
            <w:r>
              <w:rPr>
                <w:rFonts w:hint="eastAsia" w:ascii="Times New Roman" w:hAnsi="Times New Roman" w:cs="Times New Roman"/>
                <w:color w:val="000000"/>
                <w:sz w:val="21"/>
                <w:szCs w:val="21"/>
                <w:lang w:eastAsia="zh-CN"/>
              </w:rPr>
              <w:t>未发生变化</w:t>
            </w:r>
          </w:p>
        </w:tc>
        <w:tc>
          <w:tcPr>
            <w:tcW w:w="1111" w:type="dxa"/>
            <w:noWrap/>
            <w:vAlign w:val="center"/>
          </w:tcPr>
          <w:p>
            <w:pPr>
              <w:pStyle w:val="107"/>
              <w:spacing w:line="240" w:lineRule="auto"/>
              <w:ind w:firstLine="0"/>
              <w:jc w:val="center"/>
              <w:rPr>
                <w:rFonts w:ascii="Times New Roman" w:hAnsi="Times New Roman" w:cs="Times New Roman"/>
                <w:color w:val="000000"/>
                <w:sz w:val="21"/>
                <w:szCs w:val="21"/>
              </w:rPr>
            </w:pPr>
            <w:r>
              <w:rPr>
                <w:rFonts w:hint="eastAsia" w:ascii="Times New Roman" w:hAnsi="Times New Roman" w:cs="Times New Roman"/>
                <w:color w:val="000000"/>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846" w:type="dxa"/>
            <w:vMerge w:val="continue"/>
            <w:noWrap/>
            <w:vAlign w:val="center"/>
          </w:tcPr>
          <w:p>
            <w:pPr>
              <w:pStyle w:val="107"/>
              <w:spacing w:line="240" w:lineRule="auto"/>
              <w:ind w:firstLine="0"/>
              <w:jc w:val="center"/>
              <w:rPr>
                <w:rFonts w:ascii="Times New Roman" w:hAnsi="Times New Roman" w:cs="Times New Roman"/>
                <w:b/>
                <w:bCs/>
                <w:color w:val="000000"/>
                <w:sz w:val="21"/>
                <w:szCs w:val="21"/>
              </w:rPr>
            </w:pPr>
          </w:p>
        </w:tc>
        <w:tc>
          <w:tcPr>
            <w:tcW w:w="4433" w:type="dxa"/>
            <w:noWrap/>
            <w:vAlign w:val="center"/>
          </w:tcPr>
          <w:p>
            <w:pPr>
              <w:pStyle w:val="107"/>
              <w:spacing w:line="240" w:lineRule="auto"/>
              <w:ind w:firstLine="0"/>
              <w:rPr>
                <w:rFonts w:ascii="Times New Roman" w:hAnsi="Times New Roman" w:cs="Times New Roman"/>
                <w:color w:val="000000"/>
                <w:sz w:val="21"/>
                <w:szCs w:val="21"/>
              </w:rPr>
            </w:pPr>
            <w:r>
              <w:rPr>
                <w:rFonts w:hint="eastAsia" w:ascii="Times New Roman" w:hAnsi="Times New Roman" w:cs="Times New Roman"/>
                <w:color w:val="000000"/>
                <w:sz w:val="21"/>
                <w:szCs w:val="21"/>
              </w:rPr>
              <w:t>7、物料运输、装卸、贮存方式变化，导致大气污染物无组织排放量增加10%及以上的</w:t>
            </w:r>
          </w:p>
        </w:tc>
        <w:tc>
          <w:tcPr>
            <w:tcW w:w="2672" w:type="dxa"/>
            <w:noWrap/>
            <w:vAlign w:val="center"/>
          </w:tcPr>
          <w:p>
            <w:pPr>
              <w:pStyle w:val="107"/>
              <w:spacing w:line="240" w:lineRule="auto"/>
              <w:ind w:firstLine="0"/>
              <w:jc w:val="center"/>
              <w:rPr>
                <w:rFonts w:hint="eastAsia" w:ascii="Times New Roman" w:hAnsi="Times New Roman" w:eastAsia="宋体" w:cs="Times New Roman"/>
                <w:color w:val="000000"/>
                <w:sz w:val="21"/>
                <w:szCs w:val="21"/>
                <w:lang w:eastAsia="zh-CN"/>
              </w:rPr>
            </w:pPr>
            <w:r>
              <w:rPr>
                <w:rFonts w:hint="eastAsia" w:ascii="Times New Roman" w:hAnsi="Times New Roman" w:cs="Times New Roman"/>
                <w:color w:val="000000"/>
                <w:sz w:val="21"/>
                <w:szCs w:val="21"/>
                <w:lang w:eastAsia="zh-CN"/>
              </w:rPr>
              <w:t>未发生变化</w:t>
            </w:r>
          </w:p>
        </w:tc>
        <w:tc>
          <w:tcPr>
            <w:tcW w:w="1111" w:type="dxa"/>
            <w:noWrap/>
            <w:vAlign w:val="center"/>
          </w:tcPr>
          <w:p>
            <w:pPr>
              <w:pStyle w:val="107"/>
              <w:spacing w:line="240" w:lineRule="auto"/>
              <w:ind w:firstLine="0"/>
              <w:jc w:val="center"/>
              <w:rPr>
                <w:rFonts w:ascii="Times New Roman" w:hAnsi="Times New Roman" w:cs="Times New Roman"/>
                <w:color w:val="000000"/>
                <w:sz w:val="21"/>
                <w:szCs w:val="21"/>
              </w:rPr>
            </w:pPr>
            <w:r>
              <w:rPr>
                <w:rFonts w:hint="eastAsia" w:ascii="Times New Roman" w:hAnsi="Times New Roman" w:cs="Times New Roman"/>
                <w:color w:val="000000"/>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trPr>
        <w:tc>
          <w:tcPr>
            <w:tcW w:w="846" w:type="dxa"/>
            <w:vMerge w:val="restart"/>
            <w:noWrap/>
            <w:vAlign w:val="center"/>
          </w:tcPr>
          <w:p>
            <w:pPr>
              <w:pStyle w:val="107"/>
              <w:spacing w:line="240" w:lineRule="auto"/>
              <w:ind w:firstLine="0"/>
              <w:jc w:val="center"/>
              <w:rPr>
                <w:rFonts w:hint="eastAsia" w:ascii="Times New Roman" w:hAnsi="Times New Roman" w:cs="Times New Roman"/>
                <w:b/>
                <w:bCs/>
                <w:color w:val="000000"/>
                <w:sz w:val="21"/>
                <w:szCs w:val="21"/>
              </w:rPr>
            </w:pPr>
            <w:r>
              <w:rPr>
                <w:rFonts w:hint="eastAsia" w:ascii="Times New Roman" w:hAnsi="Times New Roman" w:cs="Times New Roman"/>
                <w:b/>
                <w:bCs/>
                <w:color w:val="000000"/>
                <w:sz w:val="21"/>
                <w:szCs w:val="21"/>
              </w:rPr>
              <w:t>五、</w:t>
            </w:r>
          </w:p>
          <w:p>
            <w:pPr>
              <w:pStyle w:val="107"/>
              <w:spacing w:line="240" w:lineRule="auto"/>
              <w:ind w:firstLine="0"/>
              <w:jc w:val="center"/>
              <w:rPr>
                <w:rFonts w:ascii="Times New Roman" w:hAnsi="Times New Roman" w:cs="Times New Roman"/>
                <w:b/>
                <w:bCs/>
                <w:color w:val="000000"/>
                <w:sz w:val="21"/>
                <w:szCs w:val="21"/>
              </w:rPr>
            </w:pPr>
            <w:r>
              <w:rPr>
                <w:rFonts w:hint="eastAsia" w:ascii="Times New Roman" w:hAnsi="Times New Roman" w:cs="Times New Roman"/>
                <w:b/>
                <w:bCs/>
                <w:color w:val="000000"/>
                <w:sz w:val="21"/>
                <w:szCs w:val="21"/>
              </w:rPr>
              <w:t>环境保护措施</w:t>
            </w:r>
          </w:p>
        </w:tc>
        <w:tc>
          <w:tcPr>
            <w:tcW w:w="4433" w:type="dxa"/>
            <w:noWrap/>
            <w:vAlign w:val="center"/>
          </w:tcPr>
          <w:p>
            <w:pPr>
              <w:pStyle w:val="107"/>
              <w:spacing w:line="240" w:lineRule="auto"/>
              <w:ind w:firstLine="0"/>
              <w:rPr>
                <w:color w:val="auto"/>
              </w:rPr>
            </w:pPr>
            <w:r>
              <w:rPr>
                <w:rFonts w:hint="eastAsia" w:ascii="Times New Roman" w:hAnsi="Times New Roman" w:cs="Times New Roman"/>
                <w:color w:val="auto"/>
                <w:sz w:val="21"/>
                <w:szCs w:val="21"/>
              </w:rPr>
              <w:t>8、废气、废水污染防治措施变化，导致第6条中所列情形之一（废气无组织排放改为有组织排放、污染防治措施强化或改进的除外）或大气污染物无组织排放量增加10%及以上的</w:t>
            </w:r>
          </w:p>
        </w:tc>
        <w:tc>
          <w:tcPr>
            <w:tcW w:w="2672" w:type="dxa"/>
            <w:noWrap/>
            <w:vAlign w:val="center"/>
          </w:tcPr>
          <w:p>
            <w:pPr>
              <w:pStyle w:val="107"/>
              <w:spacing w:line="240" w:lineRule="auto"/>
              <w:ind w:firstLine="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000000"/>
                <w:sz w:val="21"/>
                <w:szCs w:val="21"/>
                <w:lang w:eastAsia="zh-CN"/>
              </w:rPr>
              <w:t>未发生变化</w:t>
            </w:r>
          </w:p>
        </w:tc>
        <w:tc>
          <w:tcPr>
            <w:tcW w:w="1111" w:type="dxa"/>
            <w:noWrap/>
            <w:vAlign w:val="center"/>
          </w:tcPr>
          <w:p>
            <w:pPr>
              <w:pStyle w:val="107"/>
              <w:spacing w:line="240" w:lineRule="auto"/>
              <w:ind w:firstLine="0"/>
              <w:jc w:val="center"/>
              <w:rPr>
                <w:rFonts w:ascii="Times New Roman" w:hAnsi="Times New Roman" w:cs="Times New Roman"/>
                <w:color w:val="000000"/>
                <w:sz w:val="21"/>
                <w:szCs w:val="21"/>
              </w:rPr>
            </w:pPr>
            <w:r>
              <w:rPr>
                <w:rFonts w:hint="eastAsia" w:ascii="Times New Roman" w:hAnsi="Times New Roman" w:cs="Times New Roman"/>
                <w:color w:val="000000"/>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46" w:type="dxa"/>
            <w:vMerge w:val="continue"/>
            <w:noWrap/>
            <w:vAlign w:val="center"/>
          </w:tcPr>
          <w:p>
            <w:pPr>
              <w:pStyle w:val="107"/>
              <w:spacing w:line="240" w:lineRule="auto"/>
              <w:ind w:firstLine="0"/>
              <w:jc w:val="center"/>
              <w:rPr>
                <w:rFonts w:ascii="Times New Roman" w:hAnsi="Times New Roman" w:cs="Times New Roman"/>
                <w:b/>
                <w:bCs/>
                <w:color w:val="000000"/>
                <w:sz w:val="21"/>
                <w:szCs w:val="21"/>
              </w:rPr>
            </w:pPr>
          </w:p>
        </w:tc>
        <w:tc>
          <w:tcPr>
            <w:tcW w:w="4433" w:type="dxa"/>
            <w:noWrap/>
            <w:vAlign w:val="center"/>
          </w:tcPr>
          <w:p>
            <w:pPr>
              <w:pStyle w:val="107"/>
              <w:spacing w:line="240" w:lineRule="auto"/>
              <w:ind w:firstLine="0"/>
              <w:rPr>
                <w:rFonts w:ascii="Times New Roman" w:hAnsi="Times New Roman" w:cs="Times New Roman"/>
                <w:color w:val="000000"/>
                <w:sz w:val="21"/>
                <w:szCs w:val="21"/>
              </w:rPr>
            </w:pPr>
            <w:r>
              <w:rPr>
                <w:rFonts w:hint="eastAsia" w:ascii="Times New Roman" w:hAnsi="Times New Roman" w:cs="Times New Roman"/>
                <w:color w:val="000000"/>
                <w:sz w:val="21"/>
                <w:szCs w:val="21"/>
              </w:rPr>
              <w:t>9、新增废水直接排放口；废水由间接排放改为直接排放；废水直接排放口位置变化，导致不利环境影响加重的</w:t>
            </w:r>
          </w:p>
        </w:tc>
        <w:tc>
          <w:tcPr>
            <w:tcW w:w="2672" w:type="dxa"/>
            <w:noWrap/>
            <w:vAlign w:val="center"/>
          </w:tcPr>
          <w:p>
            <w:pPr>
              <w:pStyle w:val="107"/>
              <w:spacing w:line="240" w:lineRule="auto"/>
              <w:ind w:firstLine="0"/>
              <w:jc w:val="center"/>
              <w:rPr>
                <w:rFonts w:hint="eastAsia"/>
                <w:lang w:eastAsia="zh-CN"/>
              </w:rPr>
            </w:pPr>
            <w:r>
              <w:rPr>
                <w:rFonts w:hint="eastAsia"/>
                <w:sz w:val="21"/>
                <w:szCs w:val="21"/>
                <w:lang w:eastAsia="zh-CN"/>
              </w:rPr>
              <w:t>未发生变化</w:t>
            </w:r>
          </w:p>
        </w:tc>
        <w:tc>
          <w:tcPr>
            <w:tcW w:w="1111" w:type="dxa"/>
            <w:noWrap/>
            <w:vAlign w:val="center"/>
          </w:tcPr>
          <w:p>
            <w:pPr>
              <w:pStyle w:val="107"/>
              <w:spacing w:line="240" w:lineRule="auto"/>
              <w:ind w:firstLine="0"/>
              <w:jc w:val="center"/>
              <w:rPr>
                <w:rFonts w:ascii="Times New Roman" w:hAnsi="Times New Roman" w:cs="Times New Roman"/>
                <w:color w:val="000000"/>
                <w:sz w:val="21"/>
                <w:szCs w:val="21"/>
              </w:rPr>
            </w:pPr>
            <w:r>
              <w:rPr>
                <w:rFonts w:hint="eastAsia" w:ascii="Times New Roman" w:hAnsi="Times New Roman" w:cs="Times New Roman"/>
                <w:color w:val="000000"/>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846" w:type="dxa"/>
            <w:vMerge w:val="continue"/>
            <w:noWrap/>
            <w:vAlign w:val="center"/>
          </w:tcPr>
          <w:p>
            <w:pPr>
              <w:pStyle w:val="107"/>
              <w:spacing w:line="240" w:lineRule="auto"/>
              <w:ind w:firstLine="0"/>
              <w:jc w:val="center"/>
              <w:rPr>
                <w:rFonts w:ascii="Times New Roman" w:hAnsi="Times New Roman" w:cs="Times New Roman"/>
                <w:b/>
                <w:bCs/>
                <w:color w:val="000000"/>
                <w:sz w:val="21"/>
                <w:szCs w:val="21"/>
              </w:rPr>
            </w:pPr>
          </w:p>
        </w:tc>
        <w:tc>
          <w:tcPr>
            <w:tcW w:w="4433" w:type="dxa"/>
            <w:noWrap/>
            <w:vAlign w:val="center"/>
          </w:tcPr>
          <w:p>
            <w:pPr>
              <w:pStyle w:val="107"/>
              <w:spacing w:line="240" w:lineRule="auto"/>
              <w:ind w:firstLine="0"/>
              <w:jc w:val="both"/>
              <w:rPr>
                <w:rFonts w:hint="eastAsia" w:eastAsia="宋体" w:cs="Times New Roman"/>
                <w:sz w:val="21"/>
                <w:szCs w:val="21"/>
                <w:lang w:eastAsia="zh-CN"/>
              </w:rPr>
            </w:pPr>
            <w:r>
              <w:rPr>
                <w:rFonts w:hint="default" w:ascii="Times New Roman" w:hAnsi="Times New Roman" w:eastAsia="宋体" w:cs="Times New Roman"/>
                <w:sz w:val="21"/>
                <w:szCs w:val="21"/>
                <w:lang w:eastAsia="zh-CN"/>
              </w:rPr>
              <w:t>10、新增废气主要排放口（废气无组织排放改为有组织排放的除外）；主要排放口排气筒高度降低10%及以上的</w:t>
            </w:r>
          </w:p>
        </w:tc>
        <w:tc>
          <w:tcPr>
            <w:tcW w:w="2672" w:type="dxa"/>
            <w:noWrap/>
            <w:vAlign w:val="center"/>
          </w:tcPr>
          <w:p>
            <w:pPr>
              <w:pStyle w:val="107"/>
              <w:spacing w:line="240" w:lineRule="auto"/>
              <w:ind w:firstLine="0"/>
              <w:jc w:val="center"/>
              <w:rPr>
                <w:rFonts w:hint="default" w:eastAsia="宋体" w:cs="Times New Roman"/>
                <w:sz w:val="21"/>
                <w:szCs w:val="21"/>
                <w:lang w:val="en-US" w:eastAsia="zh-CN"/>
              </w:rPr>
            </w:pPr>
            <w:r>
              <w:rPr>
                <w:rFonts w:hint="eastAsia" w:eastAsia="宋体" w:cs="Times New Roman"/>
                <w:sz w:val="21"/>
                <w:szCs w:val="21"/>
                <w:lang w:eastAsia="zh-CN"/>
              </w:rPr>
              <w:t>未新增主要排放口；主要排放口排气筒高度未降低</w:t>
            </w:r>
          </w:p>
        </w:tc>
        <w:tc>
          <w:tcPr>
            <w:tcW w:w="1111" w:type="dxa"/>
            <w:noWrap/>
            <w:vAlign w:val="center"/>
          </w:tcPr>
          <w:p>
            <w:pPr>
              <w:pStyle w:val="107"/>
              <w:spacing w:line="240" w:lineRule="auto"/>
              <w:ind w:firstLine="0"/>
              <w:jc w:val="center"/>
              <w:rPr>
                <w:rFonts w:ascii="Times New Roman" w:hAnsi="Times New Roman" w:cs="Times New Roman"/>
                <w:color w:val="000000"/>
                <w:sz w:val="21"/>
                <w:szCs w:val="21"/>
              </w:rPr>
            </w:pPr>
            <w:r>
              <w:rPr>
                <w:rFonts w:hint="eastAsia" w:ascii="Times New Roman" w:hAnsi="Times New Roman" w:cs="Times New Roman"/>
                <w:color w:val="000000"/>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846" w:type="dxa"/>
            <w:vMerge w:val="continue"/>
            <w:noWrap/>
            <w:vAlign w:val="center"/>
          </w:tcPr>
          <w:p>
            <w:pPr>
              <w:pStyle w:val="107"/>
              <w:spacing w:line="240" w:lineRule="auto"/>
              <w:ind w:firstLine="0"/>
              <w:jc w:val="center"/>
              <w:rPr>
                <w:rFonts w:ascii="Times New Roman" w:hAnsi="Times New Roman" w:cs="Times New Roman"/>
                <w:b/>
                <w:bCs/>
                <w:color w:val="000000"/>
                <w:sz w:val="21"/>
                <w:szCs w:val="21"/>
              </w:rPr>
            </w:pPr>
          </w:p>
        </w:tc>
        <w:tc>
          <w:tcPr>
            <w:tcW w:w="4433" w:type="dxa"/>
            <w:noWrap/>
            <w:vAlign w:val="center"/>
          </w:tcPr>
          <w:p>
            <w:pPr>
              <w:pStyle w:val="107"/>
              <w:spacing w:line="240" w:lineRule="auto"/>
              <w:ind w:firstLine="0"/>
              <w:rPr>
                <w:rFonts w:ascii="Times New Roman" w:hAnsi="Times New Roman" w:cs="Times New Roman"/>
                <w:color w:val="000000"/>
                <w:sz w:val="21"/>
                <w:szCs w:val="21"/>
              </w:rPr>
            </w:pPr>
            <w:r>
              <w:rPr>
                <w:rFonts w:hint="eastAsia" w:ascii="Times New Roman" w:hAnsi="Times New Roman" w:cs="Times New Roman"/>
                <w:color w:val="000000"/>
                <w:sz w:val="21"/>
                <w:szCs w:val="21"/>
              </w:rPr>
              <w:t>11、噪声、土壤或地下水污染防治措施变化，导致不利环境影响加重的</w:t>
            </w:r>
          </w:p>
        </w:tc>
        <w:tc>
          <w:tcPr>
            <w:tcW w:w="2672" w:type="dxa"/>
            <w:noWrap/>
            <w:vAlign w:val="center"/>
          </w:tcPr>
          <w:p>
            <w:pPr>
              <w:pStyle w:val="107"/>
              <w:spacing w:line="240" w:lineRule="auto"/>
              <w:ind w:firstLine="0"/>
              <w:jc w:val="center"/>
              <w:rPr>
                <w:rFonts w:ascii="Times New Roman" w:hAnsi="Times New Roman" w:cs="Times New Roman"/>
                <w:color w:val="000000"/>
                <w:sz w:val="21"/>
                <w:szCs w:val="21"/>
              </w:rPr>
            </w:pPr>
            <w:r>
              <w:rPr>
                <w:rFonts w:hint="eastAsia" w:ascii="Times New Roman" w:hAnsi="Times New Roman" w:cs="Times New Roman"/>
                <w:color w:val="auto"/>
                <w:sz w:val="21"/>
                <w:szCs w:val="21"/>
                <w:lang w:eastAsia="zh-CN"/>
              </w:rPr>
              <w:t>未发生变化</w:t>
            </w:r>
          </w:p>
        </w:tc>
        <w:tc>
          <w:tcPr>
            <w:tcW w:w="1111" w:type="dxa"/>
            <w:noWrap/>
            <w:vAlign w:val="center"/>
          </w:tcPr>
          <w:p>
            <w:pPr>
              <w:pStyle w:val="107"/>
              <w:spacing w:line="240" w:lineRule="auto"/>
              <w:ind w:firstLine="0"/>
              <w:jc w:val="center"/>
              <w:rPr>
                <w:rFonts w:ascii="Times New Roman" w:hAnsi="Times New Roman" w:cs="Times New Roman"/>
                <w:color w:val="000000"/>
                <w:sz w:val="21"/>
                <w:szCs w:val="21"/>
              </w:rPr>
            </w:pPr>
            <w:r>
              <w:rPr>
                <w:rFonts w:hint="eastAsia" w:ascii="Times New Roman" w:hAnsi="Times New Roman" w:cs="Times New Roman"/>
                <w:color w:val="000000"/>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846" w:type="dxa"/>
            <w:vMerge w:val="continue"/>
            <w:noWrap/>
            <w:vAlign w:val="center"/>
          </w:tcPr>
          <w:p>
            <w:pPr>
              <w:pStyle w:val="107"/>
              <w:spacing w:line="240" w:lineRule="auto"/>
              <w:ind w:firstLine="0"/>
              <w:jc w:val="center"/>
              <w:rPr>
                <w:rFonts w:ascii="Times New Roman" w:hAnsi="Times New Roman" w:cs="Times New Roman"/>
                <w:b/>
                <w:bCs/>
                <w:color w:val="000000"/>
                <w:sz w:val="21"/>
                <w:szCs w:val="21"/>
              </w:rPr>
            </w:pPr>
          </w:p>
        </w:tc>
        <w:tc>
          <w:tcPr>
            <w:tcW w:w="4433" w:type="dxa"/>
            <w:noWrap/>
            <w:vAlign w:val="center"/>
          </w:tcPr>
          <w:p>
            <w:pPr>
              <w:pStyle w:val="107"/>
              <w:spacing w:line="240" w:lineRule="auto"/>
              <w:ind w:firstLine="0"/>
              <w:rPr>
                <w:rFonts w:ascii="Times New Roman" w:hAnsi="Times New Roman" w:cs="Times New Roman"/>
                <w:color w:val="000000"/>
                <w:sz w:val="21"/>
                <w:szCs w:val="21"/>
              </w:rPr>
            </w:pPr>
            <w:r>
              <w:rPr>
                <w:rFonts w:hint="eastAsia" w:ascii="Times New Roman" w:hAnsi="Times New Roman" w:cs="Times New Roman"/>
                <w:color w:val="000000"/>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2672" w:type="dxa"/>
            <w:noWrap/>
            <w:vAlign w:val="center"/>
          </w:tcPr>
          <w:p>
            <w:pPr>
              <w:pStyle w:val="107"/>
              <w:spacing w:line="240" w:lineRule="auto"/>
              <w:ind w:firstLine="0"/>
              <w:jc w:val="center"/>
              <w:rPr>
                <w:rFonts w:hint="eastAsia" w:ascii="Times New Roman" w:hAnsi="Times New Roman" w:eastAsia="宋体" w:cs="Times New Roman"/>
                <w:color w:val="000000"/>
                <w:sz w:val="21"/>
                <w:szCs w:val="21"/>
                <w:lang w:eastAsia="zh-CN"/>
              </w:rPr>
            </w:pPr>
            <w:r>
              <w:rPr>
                <w:rFonts w:hint="eastAsia" w:ascii="Times New Roman" w:hAnsi="Times New Roman" w:cs="Times New Roman"/>
                <w:color w:val="000000"/>
                <w:sz w:val="21"/>
                <w:szCs w:val="21"/>
                <w:lang w:eastAsia="zh-CN"/>
              </w:rPr>
              <w:t>未发生变化</w:t>
            </w:r>
          </w:p>
        </w:tc>
        <w:tc>
          <w:tcPr>
            <w:tcW w:w="1111" w:type="dxa"/>
            <w:noWrap/>
            <w:vAlign w:val="center"/>
          </w:tcPr>
          <w:p>
            <w:pPr>
              <w:pStyle w:val="107"/>
              <w:spacing w:line="240" w:lineRule="auto"/>
              <w:ind w:firstLine="0"/>
              <w:jc w:val="center"/>
              <w:rPr>
                <w:rFonts w:ascii="Times New Roman" w:hAnsi="Times New Roman" w:cs="Times New Roman"/>
                <w:color w:val="000000"/>
                <w:sz w:val="21"/>
                <w:szCs w:val="21"/>
              </w:rPr>
            </w:pPr>
            <w:r>
              <w:rPr>
                <w:rFonts w:hint="eastAsia" w:ascii="Times New Roman" w:hAnsi="Times New Roman" w:cs="Times New Roman"/>
                <w:color w:val="000000"/>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46" w:type="dxa"/>
            <w:vMerge w:val="continue"/>
            <w:noWrap/>
            <w:vAlign w:val="center"/>
          </w:tcPr>
          <w:p>
            <w:pPr>
              <w:pStyle w:val="107"/>
              <w:spacing w:line="240" w:lineRule="auto"/>
              <w:ind w:firstLine="0"/>
              <w:jc w:val="center"/>
              <w:rPr>
                <w:rFonts w:ascii="Times New Roman" w:hAnsi="Times New Roman" w:cs="Times New Roman"/>
                <w:b/>
                <w:bCs/>
                <w:color w:val="000000"/>
                <w:sz w:val="21"/>
                <w:szCs w:val="21"/>
              </w:rPr>
            </w:pPr>
          </w:p>
        </w:tc>
        <w:tc>
          <w:tcPr>
            <w:tcW w:w="4433" w:type="dxa"/>
            <w:noWrap/>
            <w:vAlign w:val="center"/>
          </w:tcPr>
          <w:p>
            <w:pPr>
              <w:pStyle w:val="107"/>
              <w:spacing w:line="240" w:lineRule="auto"/>
              <w:ind w:firstLine="0"/>
              <w:rPr>
                <w:rFonts w:ascii="Times New Roman" w:hAnsi="Times New Roman" w:cs="Times New Roman"/>
                <w:color w:val="000000"/>
                <w:sz w:val="21"/>
                <w:szCs w:val="21"/>
              </w:rPr>
            </w:pPr>
            <w:r>
              <w:rPr>
                <w:rFonts w:hint="eastAsia" w:ascii="Times New Roman" w:hAnsi="Times New Roman" w:cs="Times New Roman"/>
                <w:color w:val="000000"/>
                <w:sz w:val="21"/>
                <w:szCs w:val="21"/>
              </w:rPr>
              <w:t>13、事故废水暂存能力或拦截设施变化，导致环境风险防范能力弱化或降低的</w:t>
            </w:r>
          </w:p>
        </w:tc>
        <w:tc>
          <w:tcPr>
            <w:tcW w:w="2672" w:type="dxa"/>
            <w:noWrap/>
            <w:vAlign w:val="center"/>
          </w:tcPr>
          <w:p>
            <w:pPr>
              <w:pStyle w:val="107"/>
              <w:spacing w:line="240" w:lineRule="auto"/>
              <w:ind w:firstLine="0"/>
              <w:jc w:val="center"/>
              <w:rPr>
                <w:rFonts w:ascii="Times New Roman" w:hAnsi="Times New Roman" w:cs="Times New Roman"/>
                <w:color w:val="000000"/>
                <w:sz w:val="21"/>
                <w:szCs w:val="21"/>
              </w:rPr>
            </w:pPr>
            <w:r>
              <w:rPr>
                <w:rFonts w:hint="eastAsia" w:ascii="Times New Roman" w:hAnsi="Times New Roman" w:cs="Times New Roman"/>
                <w:color w:val="auto"/>
                <w:sz w:val="21"/>
                <w:szCs w:val="21"/>
                <w:lang w:eastAsia="zh-CN"/>
              </w:rPr>
              <w:t>未发生变化</w:t>
            </w:r>
          </w:p>
        </w:tc>
        <w:tc>
          <w:tcPr>
            <w:tcW w:w="1111" w:type="dxa"/>
            <w:noWrap/>
            <w:vAlign w:val="center"/>
          </w:tcPr>
          <w:p>
            <w:pPr>
              <w:pStyle w:val="107"/>
              <w:spacing w:line="240" w:lineRule="auto"/>
              <w:ind w:firstLine="0"/>
              <w:jc w:val="center"/>
              <w:rPr>
                <w:rFonts w:ascii="Times New Roman" w:hAnsi="Times New Roman" w:cs="Times New Roman"/>
                <w:color w:val="000000"/>
                <w:sz w:val="21"/>
                <w:szCs w:val="21"/>
              </w:rPr>
            </w:pPr>
            <w:r>
              <w:rPr>
                <w:rFonts w:hint="eastAsia" w:ascii="Times New Roman" w:hAnsi="Times New Roman" w:cs="Times New Roman"/>
                <w:color w:val="000000"/>
                <w:sz w:val="21"/>
                <w:szCs w:val="21"/>
              </w:rPr>
              <w:t>不属于</w:t>
            </w:r>
          </w:p>
        </w:tc>
      </w:tr>
    </w:tbl>
    <w:p>
      <w:pPr>
        <w:spacing w:line="360" w:lineRule="auto"/>
        <w:ind w:firstLine="480" w:firstLineChars="200"/>
        <w:rPr>
          <w:color w:val="auto"/>
          <w:sz w:val="24"/>
        </w:rPr>
      </w:pPr>
      <w:r>
        <w:rPr>
          <w:color w:val="auto"/>
          <w:sz w:val="24"/>
        </w:rPr>
        <w:t>经实际勘查以及与环评内容对比，建设项目地点、性质、规模及生产工艺与环评中一致。根据</w:t>
      </w:r>
      <w:r>
        <w:rPr>
          <w:rFonts w:hint="eastAsia"/>
          <w:sz w:val="24"/>
        </w:rPr>
        <w:t>《关于印发环评管理中部分行业建设项目重大变动清单的通知》（环办〔2015〕52号）</w:t>
      </w:r>
      <w:r>
        <w:rPr>
          <w:color w:val="auto"/>
          <w:sz w:val="24"/>
        </w:rPr>
        <w:t>，项目不属于重大变动。</w:t>
      </w:r>
      <w:bookmarkStart w:id="170" w:name="_Toc105_WPSOffice_Level3"/>
      <w:bookmarkStart w:id="171" w:name="_Toc14143_WPSOffice_Level3"/>
    </w:p>
    <w:bookmarkEnd w:id="170"/>
    <w:bookmarkEnd w:id="171"/>
    <w:p>
      <w:pPr>
        <w:spacing w:line="360" w:lineRule="auto"/>
        <w:rPr>
          <w:b/>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titlePg/>
          <w:rtlGutter w:val="0"/>
          <w:docGrid w:type="lines" w:linePitch="319" w:charSpace="0"/>
        </w:sectPr>
      </w:pPr>
    </w:p>
    <w:p>
      <w:pPr>
        <w:pStyle w:val="75"/>
        <w:spacing w:line="360" w:lineRule="auto"/>
        <w:jc w:val="center"/>
      </w:pPr>
      <w:bookmarkStart w:id="172" w:name="_Toc31798"/>
      <w:bookmarkStart w:id="173" w:name="_Toc14526"/>
      <w:bookmarkStart w:id="174" w:name="_Toc2943"/>
      <w:bookmarkStart w:id="175" w:name="_Toc2936"/>
      <w:bookmarkStart w:id="176" w:name="_Toc6985"/>
      <w:bookmarkStart w:id="177" w:name="_Toc29304"/>
      <w:bookmarkStart w:id="178" w:name="_Toc515360797"/>
      <w:bookmarkStart w:id="179" w:name="_Toc515359823"/>
      <w:r>
        <w:rPr>
          <w:rFonts w:hint="eastAsia"/>
        </w:rPr>
        <w:t xml:space="preserve">第四章  </w:t>
      </w:r>
      <w:r>
        <w:t>环境保护设施</w:t>
      </w:r>
      <w:bookmarkEnd w:id="172"/>
      <w:bookmarkEnd w:id="173"/>
      <w:bookmarkEnd w:id="174"/>
      <w:bookmarkEnd w:id="175"/>
      <w:bookmarkEnd w:id="176"/>
      <w:bookmarkEnd w:id="177"/>
      <w:bookmarkEnd w:id="178"/>
      <w:bookmarkEnd w:id="179"/>
    </w:p>
    <w:p>
      <w:pPr>
        <w:spacing w:line="360" w:lineRule="auto"/>
        <w:outlineLvl w:val="1"/>
        <w:rPr>
          <w:b/>
          <w:bCs/>
          <w:sz w:val="28"/>
          <w:szCs w:val="28"/>
        </w:rPr>
      </w:pPr>
      <w:bookmarkStart w:id="180" w:name="_Toc14807"/>
      <w:bookmarkStart w:id="181" w:name="_Toc521491318"/>
      <w:bookmarkStart w:id="182" w:name="_Toc20559"/>
      <w:bookmarkStart w:id="183" w:name="_Toc19900"/>
      <w:bookmarkStart w:id="184" w:name="_Toc17426"/>
      <w:bookmarkStart w:id="185" w:name="_Toc521501400"/>
      <w:bookmarkStart w:id="186" w:name="_Toc16527"/>
      <w:bookmarkStart w:id="187" w:name="_Toc30861"/>
      <w:r>
        <w:rPr>
          <w:b/>
          <w:bCs/>
          <w:sz w:val="28"/>
          <w:szCs w:val="28"/>
        </w:rPr>
        <w:t>4.1污染物治理/处置设施</w:t>
      </w:r>
      <w:bookmarkEnd w:id="180"/>
      <w:bookmarkEnd w:id="181"/>
      <w:bookmarkEnd w:id="182"/>
      <w:bookmarkEnd w:id="183"/>
      <w:bookmarkEnd w:id="184"/>
      <w:bookmarkEnd w:id="185"/>
      <w:bookmarkEnd w:id="186"/>
      <w:bookmarkEnd w:id="187"/>
    </w:p>
    <w:p>
      <w:pPr>
        <w:spacing w:line="360" w:lineRule="auto"/>
        <w:ind w:firstLine="482" w:firstLineChars="200"/>
        <w:outlineLvl w:val="2"/>
        <w:rPr>
          <w:b/>
          <w:bCs/>
          <w:sz w:val="24"/>
        </w:rPr>
      </w:pPr>
      <w:r>
        <w:rPr>
          <w:rFonts w:hint="eastAsia"/>
          <w:b/>
          <w:bCs/>
          <w:sz w:val="24"/>
        </w:rPr>
        <w:t>1、</w:t>
      </w:r>
      <w:r>
        <w:rPr>
          <w:b/>
          <w:bCs/>
          <w:sz w:val="24"/>
        </w:rPr>
        <w:t>废气排放及防治措施</w:t>
      </w:r>
    </w:p>
    <w:p>
      <w:pPr>
        <w:widowControl/>
        <w:kinsoku w:val="0"/>
        <w:autoSpaceDE w:val="0"/>
        <w:autoSpaceDN w:val="0"/>
        <w:spacing w:line="360" w:lineRule="auto"/>
        <w:ind w:firstLine="480" w:firstLineChars="200"/>
        <w:textAlignment w:val="baseline"/>
        <w:rPr>
          <w:rFonts w:hint="default" w:ascii="Times New Roman" w:hAnsi="Times New Roman" w:eastAsia="宋体" w:cs="Times New Roman"/>
          <w:color w:val="000000" w:themeColor="text1"/>
          <w:spacing w:val="13"/>
          <w:sz w:val="24"/>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营运期</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大气污染物</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主要</w:t>
      </w:r>
      <w:r>
        <w:rPr>
          <w:rFonts w:hint="eastAsia" w:eastAsia="宋体" w:cs="Times New Roman"/>
          <w:color w:val="000000" w:themeColor="text1"/>
          <w:kern w:val="2"/>
          <w:sz w:val="24"/>
          <w:szCs w:val="24"/>
          <w:lang w:val="en-US" w:eastAsia="zh-CN" w:bidi="ar-SA"/>
          <w14:textFill>
            <w14:solidFill>
              <w14:schemeClr w14:val="tx1"/>
            </w14:solidFill>
          </w14:textFill>
        </w:rPr>
        <w:t>为</w:t>
      </w:r>
      <w:r>
        <w:rPr>
          <w:rFonts w:hint="default" w:ascii="Times New Roman" w:hAnsi="Times New Roman" w:eastAsia="宋体" w:cs="Times New Roman"/>
          <w:color w:val="000000" w:themeColor="text1"/>
          <w:sz w:val="24"/>
          <w:lang w:eastAsia="zh-CN"/>
          <w14:textFill>
            <w14:solidFill>
              <w14:schemeClr w14:val="tx1"/>
            </w14:solidFill>
          </w14:textFill>
        </w:rPr>
        <w:t>酸洗废</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气、热镀锌烟尘、天然气燃烧废气。</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酸洗废气：</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车间内单独设置设置1座封闭酸洗房（设置酸洗池，清洗池，助镀池、锌锅等），由于风机的作用，酸洗房内呈负压结构，酸洗池上方边缘设有多个酸雾收集口（单个收集口直径0.5m，共设置14个），酸雾由收集口经引风机通过耐酸管道送入2套酸雾吸收塔处理后通过1根18m高的排气筒（DA001）排放</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热镀锌烟尘</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spacing w:val="13"/>
          <w:sz w:val="24"/>
          <w:lang w:eastAsia="zh-CN"/>
          <w14:textFill>
            <w14:solidFill>
              <w14:schemeClr w14:val="tx1"/>
            </w14:solidFill>
          </w14:textFill>
        </w:rPr>
        <w:t>通过锌锅顶部两侧安装负压吸风口及配套弧形板，产生的锌烟经负压收集至布袋除尘器内处理后通过</w:t>
      </w:r>
      <w:r>
        <w:rPr>
          <w:rFonts w:hint="default" w:ascii="Times New Roman" w:hAnsi="Times New Roman" w:eastAsia="宋体" w:cs="Times New Roman"/>
          <w:color w:val="000000" w:themeColor="text1"/>
          <w:spacing w:val="13"/>
          <w:sz w:val="24"/>
          <w:lang w:val="en-US" w:eastAsia="zh-CN"/>
          <w14:textFill>
            <w14:solidFill>
              <w14:schemeClr w14:val="tx1"/>
            </w14:solidFill>
          </w14:textFill>
        </w:rPr>
        <w:t>1根18m高排气筒（DA002）排放</w:t>
      </w:r>
      <w:r>
        <w:rPr>
          <w:rFonts w:hint="eastAsia" w:ascii="Times New Roman" w:hAnsi="Times New Roman" w:eastAsia="宋体" w:cs="Times New Roman"/>
          <w:color w:val="000000" w:themeColor="text1"/>
          <w:spacing w:val="13"/>
          <w:sz w:val="24"/>
          <w:lang w:eastAsia="zh-CN"/>
          <w14:textFill>
            <w14:solidFill>
              <w14:schemeClr w14:val="tx1"/>
            </w14:solidFill>
          </w14:textFill>
        </w:rPr>
        <w:t>；天然气燃烧废气：</w:t>
      </w:r>
      <w:r>
        <w:rPr>
          <w:rFonts w:hint="default" w:ascii="Times New Roman" w:hAnsi="Times New Roman" w:eastAsia="宋体" w:cs="Times New Roman"/>
          <w:color w:val="000000" w:themeColor="text1"/>
          <w:spacing w:val="13"/>
          <w:sz w:val="24"/>
          <w:lang w:eastAsia="zh-CN"/>
          <w14:textFill>
            <w14:solidFill>
              <w14:schemeClr w14:val="tx1"/>
            </w14:solidFill>
          </w14:textFill>
        </w:rPr>
        <w:t>低氮燃烧后经</w:t>
      </w:r>
      <w:r>
        <w:rPr>
          <w:rFonts w:hint="default" w:ascii="Times New Roman" w:hAnsi="Times New Roman" w:eastAsia="宋体" w:cs="Times New Roman"/>
          <w:color w:val="000000" w:themeColor="text1"/>
          <w:spacing w:val="13"/>
          <w:sz w:val="24"/>
          <w:lang w:val="en-US" w:eastAsia="zh-CN"/>
          <w14:textFill>
            <w14:solidFill>
              <w14:schemeClr w14:val="tx1"/>
            </w14:solidFill>
          </w14:textFill>
        </w:rPr>
        <w:t>1</w:t>
      </w:r>
      <w:r>
        <w:rPr>
          <w:rFonts w:hint="default" w:ascii="Times New Roman" w:hAnsi="Times New Roman" w:eastAsia="宋体" w:cs="Times New Roman"/>
          <w:color w:val="000000" w:themeColor="text1"/>
          <w:spacing w:val="13"/>
          <w:sz w:val="24"/>
          <w14:textFill>
            <w14:solidFill>
              <w14:schemeClr w14:val="tx1"/>
            </w14:solidFill>
          </w14:textFill>
        </w:rPr>
        <w:t>根</w:t>
      </w:r>
      <w:r>
        <w:rPr>
          <w:rFonts w:hint="default" w:ascii="Times New Roman" w:hAnsi="Times New Roman" w:eastAsia="宋体" w:cs="Times New Roman"/>
          <w:color w:val="000000" w:themeColor="text1"/>
          <w:spacing w:val="13"/>
          <w:sz w:val="24"/>
          <w:lang w:val="en-US" w:eastAsia="zh-CN"/>
          <w14:textFill>
            <w14:solidFill>
              <w14:schemeClr w14:val="tx1"/>
            </w14:solidFill>
          </w14:textFill>
        </w:rPr>
        <w:t>1</w:t>
      </w:r>
      <w:r>
        <w:rPr>
          <w:rFonts w:hint="default" w:ascii="Times New Roman" w:hAnsi="Times New Roman" w:eastAsia="宋体" w:cs="Times New Roman"/>
          <w:color w:val="000000" w:themeColor="text1"/>
          <w:spacing w:val="13"/>
          <w:sz w:val="24"/>
          <w14:textFill>
            <w14:solidFill>
              <w14:schemeClr w14:val="tx1"/>
            </w14:solidFill>
          </w14:textFill>
        </w:rPr>
        <w:t>8m排气筒（DA003）外排。</w:t>
      </w:r>
    </w:p>
    <w:p>
      <w:pPr>
        <w:spacing w:line="360" w:lineRule="auto"/>
        <w:jc w:val="center"/>
        <w:rPr>
          <w:rFonts w:hint="eastAsia" w:hAnsi="宋体"/>
          <w:b/>
          <w:bCs/>
          <w:sz w:val="24"/>
        </w:rPr>
      </w:pPr>
      <w:r>
        <w:rPr>
          <w:rFonts w:hint="eastAsia" w:hAnsi="宋体"/>
          <w:b/>
          <w:bCs/>
          <w:sz w:val="24"/>
        </w:rPr>
        <w:t>表4.1  废气治理设施一览表</w:t>
      </w:r>
    </w:p>
    <w:tbl>
      <w:tblPr>
        <w:tblStyle w:val="3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769"/>
        <w:gridCol w:w="790"/>
        <w:gridCol w:w="635"/>
        <w:gridCol w:w="882"/>
        <w:gridCol w:w="769"/>
        <w:gridCol w:w="846"/>
        <w:gridCol w:w="1166"/>
        <w:gridCol w:w="669"/>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废气名称</w:t>
            </w:r>
          </w:p>
        </w:tc>
        <w:tc>
          <w:tcPr>
            <w:tcW w:w="452"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来源</w:t>
            </w:r>
          </w:p>
        </w:tc>
        <w:tc>
          <w:tcPr>
            <w:tcW w:w="464"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污染物种类</w:t>
            </w:r>
          </w:p>
        </w:tc>
        <w:tc>
          <w:tcPr>
            <w:tcW w:w="373"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排放方式</w:t>
            </w:r>
          </w:p>
        </w:tc>
        <w:tc>
          <w:tcPr>
            <w:tcW w:w="518"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治理设施</w:t>
            </w:r>
          </w:p>
        </w:tc>
        <w:tc>
          <w:tcPr>
            <w:tcW w:w="452"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工艺与规模</w:t>
            </w:r>
          </w:p>
        </w:tc>
        <w:tc>
          <w:tcPr>
            <w:tcW w:w="497"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设计指标</w:t>
            </w:r>
          </w:p>
        </w:tc>
        <w:tc>
          <w:tcPr>
            <w:tcW w:w="685"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排气筒高度/内径尺寸</w:t>
            </w:r>
          </w:p>
        </w:tc>
        <w:tc>
          <w:tcPr>
            <w:tcW w:w="393"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排放去向</w:t>
            </w:r>
          </w:p>
        </w:tc>
        <w:tc>
          <w:tcPr>
            <w:tcW w:w="712"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治理设施监测点设置/开孔情况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450" w:type="pct"/>
            <w:vMerge w:val="restar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酸洗废气</w:t>
            </w:r>
          </w:p>
        </w:tc>
        <w:tc>
          <w:tcPr>
            <w:tcW w:w="452" w:type="pct"/>
            <w:vMerge w:val="restar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酸洗池、助锌池、返镀池、转换池</w:t>
            </w:r>
          </w:p>
        </w:tc>
        <w:tc>
          <w:tcPr>
            <w:tcW w:w="464"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氯化氢</w:t>
            </w:r>
          </w:p>
        </w:tc>
        <w:tc>
          <w:tcPr>
            <w:tcW w:w="373"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有组织</w:t>
            </w:r>
          </w:p>
        </w:tc>
        <w:tc>
          <w:tcPr>
            <w:tcW w:w="518"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酸碱中和工艺</w:t>
            </w:r>
          </w:p>
        </w:tc>
        <w:tc>
          <w:tcPr>
            <w:tcW w:w="452"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碱液喷淋塔</w:t>
            </w:r>
          </w:p>
        </w:tc>
        <w:tc>
          <w:tcPr>
            <w:tcW w:w="497"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45000m</w:t>
            </w:r>
            <w:r>
              <w:rPr>
                <w:rFonts w:hint="eastAsia" w:ascii="Times New Roman" w:hAnsi="Times New Roman" w:eastAsia="宋体" w:cs="Times New Roman"/>
                <w:b w:val="0"/>
                <w:bCs/>
                <w:color w:val="000000" w:themeColor="text1"/>
                <w:sz w:val="21"/>
                <w:szCs w:val="21"/>
                <w:vertAlign w:val="superscript"/>
                <w:lang w:val="en-US" w:eastAsia="zh-CN"/>
                <w14:textFill>
                  <w14:solidFill>
                    <w14:schemeClr w14:val="tx1"/>
                  </w14:solidFill>
                </w14:textFill>
              </w:rPr>
              <w:t>3</w:t>
            </w: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/h</w:t>
            </w:r>
          </w:p>
        </w:tc>
        <w:tc>
          <w:tcPr>
            <w:tcW w:w="685"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DA001</w:t>
            </w:r>
          </w:p>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18m/1.4m</w:t>
            </w:r>
          </w:p>
        </w:tc>
        <w:tc>
          <w:tcPr>
            <w:tcW w:w="393" w:type="pct"/>
            <w:vMerge w:val="restar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大气</w:t>
            </w:r>
          </w:p>
        </w:tc>
        <w:tc>
          <w:tcPr>
            <w:tcW w:w="712"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进口、出口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0" w:type="pct"/>
            <w:vMerge w:val="continue"/>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452" w:type="pct"/>
            <w:vMerge w:val="continue"/>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464"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氯化氢</w:t>
            </w:r>
          </w:p>
        </w:tc>
        <w:tc>
          <w:tcPr>
            <w:tcW w:w="373"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无组织</w:t>
            </w:r>
          </w:p>
        </w:tc>
        <w:tc>
          <w:tcPr>
            <w:tcW w:w="518"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工段密闭</w:t>
            </w:r>
          </w:p>
        </w:tc>
        <w:tc>
          <w:tcPr>
            <w:tcW w:w="452"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97"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685"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393" w:type="pct"/>
            <w:vMerge w:val="continue"/>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712"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 w:type="pct"/>
            <w:vMerge w:val="restar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热镀锌烟尘</w:t>
            </w:r>
          </w:p>
        </w:tc>
        <w:tc>
          <w:tcPr>
            <w:tcW w:w="452" w:type="pct"/>
            <w:vMerge w:val="restar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锌锅</w:t>
            </w:r>
          </w:p>
        </w:tc>
        <w:tc>
          <w:tcPr>
            <w:tcW w:w="464" w:type="pct"/>
            <w:vMerge w:val="restar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氯化氢、氨、颗粒物</w:t>
            </w:r>
          </w:p>
        </w:tc>
        <w:tc>
          <w:tcPr>
            <w:tcW w:w="373"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有组织</w:t>
            </w:r>
          </w:p>
        </w:tc>
        <w:tc>
          <w:tcPr>
            <w:tcW w:w="518"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袋式除尘装置</w:t>
            </w:r>
          </w:p>
        </w:tc>
        <w:tc>
          <w:tcPr>
            <w:tcW w:w="452"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布袋除尘器</w:t>
            </w:r>
          </w:p>
        </w:tc>
        <w:tc>
          <w:tcPr>
            <w:tcW w:w="497"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90000</w:t>
            </w: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m</w:t>
            </w:r>
            <w:r>
              <w:rPr>
                <w:rFonts w:hint="eastAsia" w:ascii="Times New Roman" w:hAnsi="Times New Roman" w:eastAsia="宋体" w:cs="Times New Roman"/>
                <w:b w:val="0"/>
                <w:bCs/>
                <w:color w:val="000000" w:themeColor="text1"/>
                <w:sz w:val="21"/>
                <w:szCs w:val="21"/>
                <w:vertAlign w:val="superscript"/>
                <w:lang w:val="en-US" w:eastAsia="zh-CN"/>
                <w14:textFill>
                  <w14:solidFill>
                    <w14:schemeClr w14:val="tx1"/>
                  </w14:solidFill>
                </w14:textFill>
              </w:rPr>
              <w:t>3</w:t>
            </w: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/h</w:t>
            </w:r>
          </w:p>
        </w:tc>
        <w:tc>
          <w:tcPr>
            <w:tcW w:w="685"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DA002</w:t>
            </w:r>
          </w:p>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18m/1.5</w:t>
            </w:r>
          </w:p>
        </w:tc>
        <w:tc>
          <w:tcPr>
            <w:tcW w:w="393" w:type="pct"/>
            <w:vMerge w:val="restar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大气</w:t>
            </w:r>
          </w:p>
        </w:tc>
        <w:tc>
          <w:tcPr>
            <w:tcW w:w="712"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进口、出口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 w:type="pct"/>
            <w:vMerge w:val="continue"/>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452" w:type="pct"/>
            <w:vMerge w:val="continue"/>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464" w:type="pct"/>
            <w:vMerge w:val="continue"/>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373"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无组织</w:t>
            </w:r>
          </w:p>
        </w:tc>
        <w:tc>
          <w:tcPr>
            <w:tcW w:w="518"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工段密闭</w:t>
            </w:r>
          </w:p>
        </w:tc>
        <w:tc>
          <w:tcPr>
            <w:tcW w:w="452"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97"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685"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393" w:type="pct"/>
            <w:vMerge w:val="continue"/>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712"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天然气燃烧废气</w:t>
            </w:r>
          </w:p>
        </w:tc>
        <w:tc>
          <w:tcPr>
            <w:tcW w:w="452"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锌锅加热</w:t>
            </w:r>
          </w:p>
        </w:tc>
        <w:tc>
          <w:tcPr>
            <w:tcW w:w="464"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颗粒物、SO</w:t>
            </w:r>
            <w:r>
              <w:rPr>
                <w:rFonts w:hint="eastAsia" w:ascii="Times New Roman" w:hAnsi="Times New Roman" w:eastAsia="宋体" w:cs="Times New Roman"/>
                <w:b w:val="0"/>
                <w:bCs/>
                <w:color w:val="000000" w:themeColor="text1"/>
                <w:sz w:val="21"/>
                <w:szCs w:val="21"/>
                <w:vertAlign w:val="subscript"/>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、NO</w:t>
            </w:r>
            <w:r>
              <w:rPr>
                <w:rFonts w:hint="eastAsia" w:ascii="Times New Roman" w:hAnsi="Times New Roman" w:eastAsia="宋体" w:cs="Times New Roman"/>
                <w:b w:val="0"/>
                <w:bCs/>
                <w:color w:val="000000" w:themeColor="text1"/>
                <w:sz w:val="21"/>
                <w:szCs w:val="21"/>
                <w:vertAlign w:val="subscript"/>
                <w:lang w:val="en-US" w:eastAsia="zh-CN"/>
                <w14:textFill>
                  <w14:solidFill>
                    <w14:schemeClr w14:val="tx1"/>
                  </w14:solidFill>
                </w14:textFill>
              </w:rPr>
              <w:t>X</w:t>
            </w:r>
          </w:p>
        </w:tc>
        <w:tc>
          <w:tcPr>
            <w:tcW w:w="373"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有组织</w:t>
            </w:r>
          </w:p>
        </w:tc>
        <w:tc>
          <w:tcPr>
            <w:tcW w:w="518"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脱硝装置</w:t>
            </w:r>
          </w:p>
        </w:tc>
        <w:tc>
          <w:tcPr>
            <w:tcW w:w="452"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低氮燃烧器</w:t>
            </w:r>
          </w:p>
        </w:tc>
        <w:tc>
          <w:tcPr>
            <w:tcW w:w="497"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5000</w:t>
            </w:r>
          </w:p>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m</w:t>
            </w:r>
            <w:r>
              <w:rPr>
                <w:rFonts w:hint="eastAsia" w:ascii="Times New Roman" w:hAnsi="Times New Roman" w:eastAsia="宋体" w:cs="Times New Roman"/>
                <w:b w:val="0"/>
                <w:bCs/>
                <w:color w:val="000000" w:themeColor="text1"/>
                <w:sz w:val="21"/>
                <w:szCs w:val="21"/>
                <w:vertAlign w:val="superscript"/>
                <w:lang w:val="en-US" w:eastAsia="zh-CN"/>
                <w14:textFill>
                  <w14:solidFill>
                    <w14:schemeClr w14:val="tx1"/>
                  </w14:solidFill>
                </w14:textFill>
              </w:rPr>
              <w:t>3</w:t>
            </w: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/h</w:t>
            </w:r>
          </w:p>
        </w:tc>
        <w:tc>
          <w:tcPr>
            <w:tcW w:w="685"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DA003</w:t>
            </w:r>
          </w:p>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18m/0.5</w:t>
            </w:r>
          </w:p>
        </w:tc>
        <w:tc>
          <w:tcPr>
            <w:tcW w:w="393"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大气</w:t>
            </w:r>
          </w:p>
        </w:tc>
        <w:tc>
          <w:tcPr>
            <w:tcW w:w="712"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食堂油烟</w:t>
            </w:r>
          </w:p>
        </w:tc>
        <w:tc>
          <w:tcPr>
            <w:tcW w:w="452"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食堂</w:t>
            </w:r>
          </w:p>
        </w:tc>
        <w:tc>
          <w:tcPr>
            <w:tcW w:w="464"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油烟</w:t>
            </w:r>
          </w:p>
        </w:tc>
        <w:tc>
          <w:tcPr>
            <w:tcW w:w="373"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无组织</w:t>
            </w:r>
          </w:p>
        </w:tc>
        <w:tc>
          <w:tcPr>
            <w:tcW w:w="518"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油烟净化器</w:t>
            </w:r>
          </w:p>
        </w:tc>
        <w:tc>
          <w:tcPr>
            <w:tcW w:w="452"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油烟净化器</w:t>
            </w:r>
          </w:p>
        </w:tc>
        <w:tc>
          <w:tcPr>
            <w:tcW w:w="497"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w:t>
            </w:r>
          </w:p>
        </w:tc>
        <w:tc>
          <w:tcPr>
            <w:tcW w:w="685"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w:t>
            </w:r>
          </w:p>
        </w:tc>
        <w:tc>
          <w:tcPr>
            <w:tcW w:w="393"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大气</w:t>
            </w:r>
          </w:p>
        </w:tc>
        <w:tc>
          <w:tcPr>
            <w:tcW w:w="712"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2"/>
        <w:rPr>
          <w:rFonts w:hint="eastAsia"/>
          <w:b/>
          <w:bCs/>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2"/>
        <w:rPr>
          <w:b/>
          <w:bCs/>
          <w:sz w:val="24"/>
        </w:rPr>
      </w:pPr>
      <w:r>
        <w:rPr>
          <w:rFonts w:hint="eastAsia"/>
          <w:b/>
          <w:bCs/>
          <w:sz w:val="24"/>
          <w:lang w:val="en-US" w:eastAsia="zh-CN"/>
        </w:rPr>
        <w:t>2、</w:t>
      </w:r>
      <w:r>
        <w:rPr>
          <w:b/>
          <w:bCs/>
          <w:sz w:val="24"/>
        </w:rPr>
        <w:t>废</w:t>
      </w:r>
      <w:r>
        <w:rPr>
          <w:rFonts w:hint="eastAsia"/>
          <w:b/>
          <w:bCs/>
          <w:sz w:val="24"/>
        </w:rPr>
        <w:t>水</w:t>
      </w:r>
      <w:r>
        <w:rPr>
          <w:b/>
          <w:bCs/>
          <w:sz w:val="24"/>
        </w:rPr>
        <w:t>排放及防治措施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eastAsia="宋体" w:cs="Times New Roman"/>
          <w:color w:val="000000" w:themeColor="text1"/>
          <w:sz w:val="24"/>
          <w:lang w:eastAsia="zh-CN"/>
          <w14:textFill>
            <w14:solidFill>
              <w14:schemeClr w14:val="tx1"/>
            </w14:solidFill>
          </w14:textFill>
        </w:rPr>
        <w:t>生产废水和生活污水，生产废水包括包括碱洗漂洗废水、酸洗漂洗废水、助镀池废水、盐酸雾处理废水，其中酸洗稀释用水定期更换，作为危险废物处置。</w:t>
      </w:r>
    </w:p>
    <w:p>
      <w:pPr>
        <w:spacing w:line="360" w:lineRule="auto"/>
        <w:jc w:val="center"/>
        <w:rPr>
          <w:rFonts w:hint="eastAsia" w:hAnsi="宋体"/>
          <w:b/>
          <w:bCs/>
          <w:sz w:val="24"/>
        </w:rPr>
      </w:pPr>
      <w:r>
        <w:rPr>
          <w:rFonts w:hint="eastAsia" w:hAnsi="宋体"/>
          <w:b/>
          <w:bCs/>
          <w:sz w:val="24"/>
        </w:rPr>
        <w:t>表4.2  项目废水治理设施一览表</w:t>
      </w:r>
    </w:p>
    <w:tbl>
      <w:tblPr>
        <w:tblStyle w:val="32"/>
        <w:tblW w:w="500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
        <w:gridCol w:w="906"/>
        <w:gridCol w:w="979"/>
        <w:gridCol w:w="450"/>
        <w:gridCol w:w="830"/>
        <w:gridCol w:w="911"/>
        <w:gridCol w:w="1037"/>
        <w:gridCol w:w="807"/>
        <w:gridCol w:w="461"/>
        <w:gridCol w:w="715"/>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9"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废水类别</w:t>
            </w:r>
          </w:p>
        </w:tc>
        <w:tc>
          <w:tcPr>
            <w:tcW w:w="532"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来源</w:t>
            </w:r>
          </w:p>
        </w:tc>
        <w:tc>
          <w:tcPr>
            <w:tcW w:w="574"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污染物种类</w:t>
            </w:r>
          </w:p>
        </w:tc>
        <w:tc>
          <w:tcPr>
            <w:tcW w:w="263"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排放规律</w:t>
            </w:r>
          </w:p>
        </w:tc>
        <w:tc>
          <w:tcPr>
            <w:tcW w:w="487"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排放量</w:t>
            </w:r>
          </w:p>
        </w:tc>
        <w:tc>
          <w:tcPr>
            <w:tcW w:w="534"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治理设施</w:t>
            </w:r>
          </w:p>
        </w:tc>
        <w:tc>
          <w:tcPr>
            <w:tcW w:w="608"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处理工艺</w:t>
            </w:r>
          </w:p>
        </w:tc>
        <w:tc>
          <w:tcPr>
            <w:tcW w:w="473"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处理能力</w:t>
            </w:r>
          </w:p>
        </w:tc>
        <w:tc>
          <w:tcPr>
            <w:tcW w:w="270"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设计指标</w:t>
            </w:r>
          </w:p>
        </w:tc>
        <w:tc>
          <w:tcPr>
            <w:tcW w:w="419"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废水回用量</w:t>
            </w:r>
          </w:p>
        </w:tc>
        <w:tc>
          <w:tcPr>
            <w:tcW w:w="574"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restar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生产废水</w:t>
            </w:r>
          </w:p>
        </w:tc>
        <w:tc>
          <w:tcPr>
            <w:tcW w:w="532"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碱洗漂洗废水、酸洗漂洗废水</w:t>
            </w:r>
          </w:p>
        </w:tc>
        <w:tc>
          <w:tcPr>
            <w:tcW w:w="574"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pH值、（COD）、</w:t>
            </w: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总铁</w:t>
            </w:r>
          </w:p>
        </w:tc>
        <w:tc>
          <w:tcPr>
            <w:tcW w:w="263"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不外排</w:t>
            </w:r>
          </w:p>
        </w:tc>
        <w:tc>
          <w:tcPr>
            <w:tcW w:w="487"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0</w:t>
            </w:r>
          </w:p>
        </w:tc>
        <w:tc>
          <w:tcPr>
            <w:tcW w:w="534"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自建污水处理站</w:t>
            </w:r>
          </w:p>
        </w:tc>
        <w:tc>
          <w:tcPr>
            <w:tcW w:w="608"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中和+氧化+压滤工艺</w:t>
            </w:r>
          </w:p>
        </w:tc>
        <w:tc>
          <w:tcPr>
            <w:tcW w:w="473" w:type="pct"/>
            <w:vMerge w:val="restar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50t/d</w:t>
            </w:r>
          </w:p>
        </w:tc>
        <w:tc>
          <w:tcPr>
            <w:tcW w:w="270" w:type="pct"/>
            <w:vMerge w:val="restar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19" w:type="pct"/>
            <w:vMerge w:val="restar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25.23t/d</w:t>
            </w:r>
          </w:p>
        </w:tc>
        <w:tc>
          <w:tcPr>
            <w:tcW w:w="574" w:type="pct"/>
            <w:vMerge w:val="restar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经厂区自建污水处理站处理后回用至清洗槽，不外排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continue"/>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532"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助镀池废水</w:t>
            </w:r>
          </w:p>
        </w:tc>
        <w:tc>
          <w:tcPr>
            <w:tcW w:w="574"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pH值、（COD）、</w:t>
            </w: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总铁、总锌</w:t>
            </w:r>
          </w:p>
        </w:tc>
        <w:tc>
          <w:tcPr>
            <w:tcW w:w="263"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不外排</w:t>
            </w:r>
          </w:p>
        </w:tc>
        <w:tc>
          <w:tcPr>
            <w:tcW w:w="487"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0</w:t>
            </w:r>
          </w:p>
        </w:tc>
        <w:tc>
          <w:tcPr>
            <w:tcW w:w="534"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自建污水处理站</w:t>
            </w:r>
          </w:p>
        </w:tc>
        <w:tc>
          <w:tcPr>
            <w:tcW w:w="608"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中和+氧化+压滤工艺</w:t>
            </w:r>
          </w:p>
        </w:tc>
        <w:tc>
          <w:tcPr>
            <w:tcW w:w="473" w:type="pct"/>
            <w:vMerge w:val="continue"/>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270" w:type="pct"/>
            <w:vMerge w:val="continue"/>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419" w:type="pct"/>
            <w:vMerge w:val="continue"/>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574" w:type="pct"/>
            <w:vMerge w:val="continue"/>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生活污水</w:t>
            </w:r>
          </w:p>
        </w:tc>
        <w:tc>
          <w:tcPr>
            <w:tcW w:w="532"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员工生活</w:t>
            </w:r>
          </w:p>
        </w:tc>
        <w:tc>
          <w:tcPr>
            <w:tcW w:w="574" w:type="pct"/>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SS、COD、BOD</w:t>
            </w:r>
            <w:r>
              <w:rPr>
                <w:rFonts w:hint="default" w:ascii="Times New Roman" w:hAnsi="Times New Roman" w:eastAsia="宋体" w:cs="Times New Roman"/>
                <w:b w:val="0"/>
                <w:bCs/>
                <w:color w:val="000000" w:themeColor="text1"/>
                <w:sz w:val="21"/>
                <w:szCs w:val="21"/>
                <w:vertAlign w:val="subscript"/>
                <w:lang w:val="en-US" w:eastAsia="zh-CN"/>
                <w14:textFill>
                  <w14:solidFill>
                    <w14:schemeClr w14:val="tx1"/>
                  </w14:solidFill>
                </w14:textFill>
              </w:rPr>
              <w:t>5</w:t>
            </w: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、NH</w:t>
            </w:r>
            <w:r>
              <w:rPr>
                <w:rFonts w:hint="default" w:ascii="Times New Roman" w:hAnsi="Times New Roman" w:eastAsia="宋体" w:cs="Times New Roman"/>
                <w:b w:val="0"/>
                <w:bCs/>
                <w:color w:val="000000" w:themeColor="text1"/>
                <w:sz w:val="21"/>
                <w:szCs w:val="21"/>
                <w:vertAlign w:val="sub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-N</w:t>
            </w: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、动植物油</w:t>
            </w:r>
          </w:p>
        </w:tc>
        <w:tc>
          <w:tcPr>
            <w:tcW w:w="263"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间歇</w:t>
            </w:r>
          </w:p>
        </w:tc>
        <w:tc>
          <w:tcPr>
            <w:tcW w:w="487"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3.36t</w:t>
            </w: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/a</w:t>
            </w:r>
          </w:p>
        </w:tc>
        <w:tc>
          <w:tcPr>
            <w:tcW w:w="534"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生活污水处理设施</w:t>
            </w:r>
          </w:p>
        </w:tc>
        <w:tc>
          <w:tcPr>
            <w:tcW w:w="608"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隔油池+化粪池</w:t>
            </w:r>
          </w:p>
        </w:tc>
        <w:tc>
          <w:tcPr>
            <w:tcW w:w="473"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5.0t/d</w:t>
            </w:r>
          </w:p>
        </w:tc>
        <w:tc>
          <w:tcPr>
            <w:tcW w:w="270"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19"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574" w:type="pct"/>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预处理后排入平桥污水处理厂</w:t>
            </w:r>
          </w:p>
        </w:tc>
      </w:tr>
    </w:tbl>
    <w:p>
      <w:pPr>
        <w:spacing w:line="360" w:lineRule="auto"/>
        <w:rPr>
          <w:b/>
          <w:bCs/>
          <w:sz w:val="24"/>
        </w:rPr>
      </w:pPr>
      <w:r>
        <w:rPr>
          <w:rFonts w:hint="eastAsia"/>
          <w:b/>
          <w:bCs/>
          <w:sz w:val="24"/>
        </w:rPr>
        <w:t>3、</w:t>
      </w:r>
      <w:r>
        <w:rPr>
          <w:b/>
          <w:bCs/>
          <w:sz w:val="24"/>
        </w:rPr>
        <w:t>噪声排放及防治措施</w:t>
      </w:r>
    </w:p>
    <w:p>
      <w:pPr>
        <w:spacing w:line="360" w:lineRule="auto"/>
        <w:ind w:firstLine="504" w:firstLineChars="200"/>
        <w:jc w:val="left"/>
        <w:rPr>
          <w:rFonts w:hint="eastAsia" w:eastAsia="宋体" w:asciiTheme="majorHAnsi" w:hAnsiTheme="majorHAnsi" w:cstheme="majorHAnsi"/>
          <w:color w:val="000000" w:themeColor="text1"/>
          <w:spacing w:val="6"/>
          <w:sz w:val="24"/>
          <w:lang w:eastAsia="zh-CN"/>
          <w14:textFill>
            <w14:solidFill>
              <w14:schemeClr w14:val="tx1"/>
            </w14:solidFill>
          </w14:textFill>
        </w:rPr>
      </w:pPr>
      <w:r>
        <w:rPr>
          <w:rFonts w:hint="eastAsia" w:eastAsia="宋体" w:asciiTheme="majorHAnsi" w:hAnsiTheme="majorHAnsi" w:cstheme="majorHAnsi"/>
          <w:color w:val="000000" w:themeColor="text1"/>
          <w:spacing w:val="6"/>
          <w:sz w:val="24"/>
          <w14:textFill>
            <w14:solidFill>
              <w14:schemeClr w14:val="tx1"/>
            </w14:solidFill>
          </w14:textFill>
        </w:rPr>
        <w:t>噪声主要来自</w:t>
      </w:r>
      <w:r>
        <w:rPr>
          <w:rFonts w:hint="default" w:ascii="Times New Roman" w:hAnsi="Times New Roman" w:eastAsia="宋体" w:cs="Times New Roman"/>
          <w:color w:val="000000" w:themeColor="text1"/>
          <w:sz w:val="24"/>
          <w14:textFill>
            <w14:solidFill>
              <w14:schemeClr w14:val="tx1"/>
            </w14:solidFill>
          </w14:textFill>
        </w:rPr>
        <w:t>噪声源为</w:t>
      </w:r>
      <w:r>
        <w:rPr>
          <w:rFonts w:hint="default" w:ascii="Times New Roman" w:hAnsi="Times New Roman" w:eastAsia="宋体" w:cs="Times New Roman"/>
          <w:color w:val="000000" w:themeColor="text1"/>
          <w:sz w:val="24"/>
          <w:lang w:eastAsia="zh-CN"/>
          <w14:textFill>
            <w14:solidFill>
              <w14:schemeClr w14:val="tx1"/>
            </w14:solidFill>
          </w14:textFill>
        </w:rPr>
        <w:t>风机、叉车、冷却塔、空压机等设施产生的噪声</w:t>
      </w:r>
      <w:r>
        <w:rPr>
          <w:rFonts w:hint="eastAsia" w:eastAsia="宋体" w:asciiTheme="majorHAnsi" w:hAnsiTheme="majorHAnsi" w:cstheme="majorHAnsi"/>
          <w:color w:val="000000" w:themeColor="text1"/>
          <w:spacing w:val="6"/>
          <w:sz w:val="24"/>
          <w:lang w:eastAsia="zh-CN"/>
          <w14:textFill>
            <w14:solidFill>
              <w14:schemeClr w14:val="tx1"/>
            </w14:solidFill>
          </w14:textFill>
        </w:rPr>
        <w:t>，本项目已</w:t>
      </w:r>
      <w:r>
        <w:rPr>
          <w:rFonts w:eastAsia="宋体" w:asciiTheme="majorHAnsi" w:hAnsiTheme="majorHAnsi" w:cstheme="majorHAnsi"/>
          <w:color w:val="000000" w:themeColor="text1"/>
          <w:spacing w:val="6"/>
          <w:sz w:val="24"/>
          <w14:textFill>
            <w14:solidFill>
              <w14:schemeClr w14:val="tx1"/>
            </w14:solidFill>
          </w14:textFill>
        </w:rPr>
        <w:t>选用低噪声设备，合理布置，建筑隔声，安装减振、消音设备</w:t>
      </w:r>
      <w:r>
        <w:rPr>
          <w:rFonts w:hint="eastAsia" w:eastAsia="宋体" w:asciiTheme="majorHAnsi" w:hAnsiTheme="majorHAnsi" w:cstheme="majorHAnsi"/>
          <w:color w:val="000000" w:themeColor="text1"/>
          <w:spacing w:val="6"/>
          <w:sz w:val="24"/>
          <w:lang w:eastAsia="zh-CN"/>
          <w14:textFill>
            <w14:solidFill>
              <w14:schemeClr w14:val="tx1"/>
            </w14:solidFill>
          </w14:textFill>
        </w:rPr>
        <w:t>等措施。</w:t>
      </w:r>
    </w:p>
    <w:p>
      <w:pPr>
        <w:spacing w:line="360" w:lineRule="auto"/>
        <w:jc w:val="center"/>
        <w:rPr>
          <w:rFonts w:hint="eastAsia" w:hAnsi="宋体"/>
          <w:b/>
          <w:bCs/>
          <w:sz w:val="24"/>
        </w:rPr>
      </w:pPr>
      <w:r>
        <w:rPr>
          <w:rFonts w:hint="eastAsia" w:hAnsi="宋体"/>
          <w:b/>
          <w:bCs/>
          <w:sz w:val="24"/>
        </w:rPr>
        <w:t>表4.</w:t>
      </w:r>
      <w:r>
        <w:rPr>
          <w:rFonts w:hint="eastAsia" w:hAnsi="宋体"/>
          <w:b/>
          <w:bCs/>
          <w:sz w:val="24"/>
          <w:lang w:val="en-US" w:eastAsia="zh-CN"/>
        </w:rPr>
        <w:t>3</w:t>
      </w:r>
      <w:r>
        <w:rPr>
          <w:rFonts w:hint="eastAsia" w:hAnsi="宋体"/>
          <w:b/>
          <w:bCs/>
          <w:sz w:val="24"/>
        </w:rPr>
        <w:t xml:space="preserve">  项目</w:t>
      </w:r>
      <w:r>
        <w:rPr>
          <w:rFonts w:hint="eastAsia" w:hAnsi="宋体"/>
          <w:b/>
          <w:bCs/>
          <w:sz w:val="24"/>
          <w:lang w:eastAsia="zh-CN"/>
        </w:rPr>
        <w:t>噪声</w:t>
      </w:r>
      <w:r>
        <w:rPr>
          <w:rFonts w:hint="eastAsia" w:hAnsi="宋体"/>
          <w:b/>
          <w:bCs/>
          <w:sz w:val="24"/>
        </w:rPr>
        <w:t>治理设施一览表</w:t>
      </w:r>
    </w:p>
    <w:tbl>
      <w:tblPr>
        <w:tblStyle w:val="31"/>
        <w:tblW w:w="5322" w:type="pct"/>
        <w:tblInd w:w="0" w:type="dxa"/>
        <w:tblLayout w:type="fixed"/>
        <w:tblCellMar>
          <w:top w:w="0" w:type="dxa"/>
          <w:left w:w="108" w:type="dxa"/>
          <w:bottom w:w="0" w:type="dxa"/>
          <w:right w:w="108" w:type="dxa"/>
        </w:tblCellMar>
      </w:tblPr>
      <w:tblGrid>
        <w:gridCol w:w="635"/>
        <w:gridCol w:w="1056"/>
        <w:gridCol w:w="860"/>
        <w:gridCol w:w="798"/>
        <w:gridCol w:w="1299"/>
        <w:gridCol w:w="1533"/>
        <w:gridCol w:w="1221"/>
        <w:gridCol w:w="1662"/>
      </w:tblGrid>
      <w:tr>
        <w:tblPrEx>
          <w:tblCellMar>
            <w:top w:w="0" w:type="dxa"/>
            <w:left w:w="108" w:type="dxa"/>
            <w:bottom w:w="0" w:type="dxa"/>
            <w:right w:w="108" w:type="dxa"/>
          </w:tblCellMar>
        </w:tblPrEx>
        <w:trPr>
          <w:trHeight w:val="90" w:hRule="atLeast"/>
        </w:trPr>
        <w:tc>
          <w:tcPr>
            <w:tcW w:w="350" w:type="pct"/>
            <w:tcBorders>
              <w:top w:val="single" w:color="auto" w:sz="2"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序号</w:t>
            </w:r>
          </w:p>
        </w:tc>
        <w:tc>
          <w:tcPr>
            <w:tcW w:w="582" w:type="pct"/>
            <w:tcBorders>
              <w:top w:val="single" w:color="auto" w:sz="2"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设备名称</w:t>
            </w:r>
          </w:p>
        </w:tc>
        <w:tc>
          <w:tcPr>
            <w:tcW w:w="474" w:type="pct"/>
            <w:tcBorders>
              <w:top w:val="single" w:color="auto" w:sz="2"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单位</w:t>
            </w:r>
          </w:p>
        </w:tc>
        <w:tc>
          <w:tcPr>
            <w:tcW w:w="440" w:type="pct"/>
            <w:tcBorders>
              <w:top w:val="single" w:color="auto" w:sz="2"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数量</w:t>
            </w:r>
          </w:p>
        </w:tc>
        <w:tc>
          <w:tcPr>
            <w:tcW w:w="716" w:type="pct"/>
            <w:tcBorders>
              <w:top w:val="single" w:color="auto" w:sz="2"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源强</w:t>
            </w:r>
            <w:r>
              <w:rPr>
                <w:rFonts w:hint="eastAsia"/>
                <w:sz w:val="21"/>
                <w:szCs w:val="18"/>
              </w:rPr>
              <w:t>dB(A)</w:t>
            </w:r>
          </w:p>
        </w:tc>
        <w:tc>
          <w:tcPr>
            <w:tcW w:w="845" w:type="pct"/>
            <w:tcBorders>
              <w:top w:val="single" w:color="auto" w:sz="2" w:space="0"/>
              <w:left w:val="single" w:color="auto" w:sz="4" w:space="0"/>
              <w:bottom w:val="single" w:color="auto" w:sz="4" w:space="0"/>
              <w:right w:val="single" w:color="auto" w:sz="2" w:space="0"/>
            </w:tcBorders>
            <w:shd w:val="clear" w:color="auto" w:fill="auto"/>
            <w:vAlign w:val="center"/>
          </w:tcPr>
          <w:p>
            <w:pPr>
              <w:adjustRightInd w:val="0"/>
              <w:snapToGrid w:val="0"/>
              <w:spacing w:line="360" w:lineRule="exact"/>
              <w:ind w:firstLine="0" w:firstLineChars="0"/>
              <w:jc w:val="center"/>
              <w:rPr>
                <w:rFonts w:eastAsiaTheme="minorEastAsia"/>
                <w:color w:val="000000" w:themeColor="text1"/>
                <w:kern w:val="0"/>
                <w:sz w:val="21"/>
                <w:szCs w:val="21"/>
                <w14:textFill>
                  <w14:solidFill>
                    <w14:schemeClr w14:val="tx1"/>
                  </w14:solidFill>
                </w14:textFill>
              </w:rPr>
            </w:pPr>
            <w:r>
              <w:rPr>
                <w:rFonts w:hint="eastAsia"/>
                <w:sz w:val="21"/>
                <w:szCs w:val="18"/>
              </w:rPr>
              <w:t>噪声源位置</w:t>
            </w:r>
          </w:p>
        </w:tc>
        <w:tc>
          <w:tcPr>
            <w:tcW w:w="673" w:type="pct"/>
            <w:tcBorders>
              <w:top w:val="single" w:color="auto" w:sz="2" w:space="0"/>
              <w:left w:val="single" w:color="auto" w:sz="4" w:space="0"/>
              <w:bottom w:val="single" w:color="auto" w:sz="4" w:space="0"/>
              <w:right w:val="single" w:color="auto" w:sz="2" w:space="0"/>
            </w:tcBorders>
            <w:shd w:val="clear" w:color="auto" w:fill="auto"/>
            <w:vAlign w:val="center"/>
          </w:tcPr>
          <w:p>
            <w:pPr>
              <w:adjustRightInd w:val="0"/>
              <w:snapToGrid w:val="0"/>
              <w:spacing w:line="360" w:lineRule="exact"/>
              <w:ind w:firstLine="0" w:firstLineChars="0"/>
              <w:jc w:val="center"/>
              <w:rPr>
                <w:rFonts w:eastAsiaTheme="minorEastAsia"/>
                <w:color w:val="000000" w:themeColor="text1"/>
                <w:kern w:val="0"/>
                <w:sz w:val="21"/>
                <w:szCs w:val="21"/>
                <w14:textFill>
                  <w14:solidFill>
                    <w14:schemeClr w14:val="tx1"/>
                  </w14:solidFill>
                </w14:textFill>
              </w:rPr>
            </w:pPr>
            <w:r>
              <w:rPr>
                <w:rFonts w:hint="eastAsia"/>
                <w:sz w:val="21"/>
                <w:szCs w:val="18"/>
                <w:lang w:eastAsia="zh-CN"/>
              </w:rPr>
              <w:t>运行方式</w:t>
            </w:r>
          </w:p>
        </w:tc>
        <w:tc>
          <w:tcPr>
            <w:tcW w:w="916" w:type="pct"/>
            <w:tcBorders>
              <w:top w:val="single" w:color="auto" w:sz="2" w:space="0"/>
              <w:left w:val="single" w:color="auto" w:sz="4" w:space="0"/>
              <w:bottom w:val="single" w:color="auto" w:sz="4" w:space="0"/>
              <w:right w:val="single" w:color="auto" w:sz="2" w:space="0"/>
            </w:tcBorders>
            <w:shd w:val="clear" w:color="auto" w:fill="auto"/>
            <w:vAlign w:val="center"/>
          </w:tcPr>
          <w:p>
            <w:pPr>
              <w:adjustRightInd w:val="0"/>
              <w:snapToGrid w:val="0"/>
              <w:spacing w:line="360" w:lineRule="exact"/>
              <w:ind w:firstLine="0" w:firstLineChars="0"/>
              <w:jc w:val="center"/>
              <w:rPr>
                <w:rFonts w:hint="eastAsia"/>
                <w:color w:val="000000" w:themeColor="text1"/>
                <w:kern w:val="0"/>
                <w:sz w:val="21"/>
                <w:szCs w:val="21"/>
                <w:lang w:eastAsia="zh-CN"/>
                <w14:textFill>
                  <w14:solidFill>
                    <w14:schemeClr w14:val="tx1"/>
                  </w14:solidFill>
                </w14:textFill>
              </w:rPr>
            </w:pPr>
            <w:r>
              <w:rPr>
                <w:rFonts w:hint="eastAsia"/>
                <w:sz w:val="21"/>
                <w:szCs w:val="18"/>
                <w:lang w:eastAsia="zh-CN"/>
              </w:rPr>
              <w:t>治理设施</w:t>
            </w:r>
          </w:p>
        </w:tc>
      </w:tr>
      <w:tr>
        <w:tblPrEx>
          <w:tblCellMar>
            <w:top w:w="0" w:type="dxa"/>
            <w:left w:w="108" w:type="dxa"/>
            <w:bottom w:w="0" w:type="dxa"/>
            <w:right w:w="108" w:type="dxa"/>
          </w:tblCellMar>
        </w:tblPrEx>
        <w:trPr>
          <w:trHeight w:val="90"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1</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eastAsiaTheme="minorEastAsia"/>
                <w:color w:val="000000" w:themeColor="text1"/>
                <w:kern w:val="0"/>
                <w:sz w:val="21"/>
                <w:szCs w:val="21"/>
                <w:lang w:eastAsia="zh-CN"/>
                <w14:textFill>
                  <w14:solidFill>
                    <w14:schemeClr w14:val="tx1"/>
                  </w14:solidFill>
                </w14:textFill>
              </w:rPr>
              <w:t>废气处理设施风机</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套</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3</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90</w:t>
            </w:r>
          </w:p>
        </w:tc>
        <w:tc>
          <w:tcPr>
            <w:tcW w:w="845" w:type="pct"/>
            <w:vMerge w:val="restart"/>
            <w:tcBorders>
              <w:top w:val="single" w:color="auto" w:sz="4" w:space="0"/>
              <w:left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厂区</w:t>
            </w: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连续</w:t>
            </w:r>
          </w:p>
        </w:tc>
        <w:tc>
          <w:tcPr>
            <w:tcW w:w="916" w:type="pct"/>
            <w:vMerge w:val="restart"/>
            <w:tcBorders>
              <w:top w:val="single" w:color="auto" w:sz="4" w:space="0"/>
              <w:left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hAnsi="宋体"/>
                <w:bCs/>
                <w:color w:val="000000"/>
              </w:rPr>
              <w:t>采取</w:t>
            </w:r>
            <w:r>
              <w:rPr>
                <w:rFonts w:hAnsi="宋体"/>
                <w:bCs/>
                <w:color w:val="000000"/>
              </w:rPr>
              <w:t>基础减震、设备隔声、厂房隔声以及选用低噪声设备</w:t>
            </w:r>
            <w:r>
              <w:rPr>
                <w:rFonts w:hint="eastAsia" w:hAnsi="宋体"/>
                <w:bCs/>
                <w:color w:val="000000"/>
              </w:rPr>
              <w:t>等措施</w:t>
            </w:r>
          </w:p>
        </w:tc>
      </w:tr>
      <w:tr>
        <w:tblPrEx>
          <w:tblCellMar>
            <w:top w:w="0" w:type="dxa"/>
            <w:left w:w="108" w:type="dxa"/>
            <w:bottom w:w="0" w:type="dxa"/>
            <w:right w:w="108" w:type="dxa"/>
          </w:tblCellMar>
        </w:tblPrEx>
        <w:trPr>
          <w:trHeight w:val="90"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2</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eastAsiaTheme="minorEastAsia"/>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地轨车</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辆</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2</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85</w:t>
            </w:r>
          </w:p>
        </w:tc>
        <w:tc>
          <w:tcPr>
            <w:tcW w:w="845" w:type="pct"/>
            <w:vMerge w:val="continue"/>
            <w:tcBorders>
              <w:left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间歇</w:t>
            </w:r>
          </w:p>
        </w:tc>
        <w:tc>
          <w:tcPr>
            <w:tcW w:w="916" w:type="pct"/>
            <w:vMerge w:val="continue"/>
            <w:tcBorders>
              <w:left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r>
        <w:tblPrEx>
          <w:tblCellMar>
            <w:top w:w="0" w:type="dxa"/>
            <w:left w:w="108" w:type="dxa"/>
            <w:bottom w:w="0" w:type="dxa"/>
            <w:right w:w="108" w:type="dxa"/>
          </w:tblCellMar>
        </w:tblPrEx>
        <w:trPr>
          <w:trHeight w:val="90"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3</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地磅</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台</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3</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80</w:t>
            </w:r>
          </w:p>
        </w:tc>
        <w:tc>
          <w:tcPr>
            <w:tcW w:w="845" w:type="pct"/>
            <w:vMerge w:val="continue"/>
            <w:tcBorders>
              <w:left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间歇</w:t>
            </w:r>
          </w:p>
        </w:tc>
        <w:tc>
          <w:tcPr>
            <w:tcW w:w="916" w:type="pct"/>
            <w:vMerge w:val="continue"/>
            <w:tcBorders>
              <w:left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r>
        <w:tblPrEx>
          <w:tblCellMar>
            <w:top w:w="0" w:type="dxa"/>
            <w:left w:w="108" w:type="dxa"/>
            <w:bottom w:w="0" w:type="dxa"/>
            <w:right w:w="108" w:type="dxa"/>
          </w:tblCellMar>
        </w:tblPrEx>
        <w:trPr>
          <w:trHeight w:val="90"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4</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叉车</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台</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2</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80</w:t>
            </w:r>
          </w:p>
        </w:tc>
        <w:tc>
          <w:tcPr>
            <w:tcW w:w="845" w:type="pct"/>
            <w:vMerge w:val="continue"/>
            <w:tcBorders>
              <w:left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间歇</w:t>
            </w:r>
          </w:p>
        </w:tc>
        <w:tc>
          <w:tcPr>
            <w:tcW w:w="916" w:type="pct"/>
            <w:vMerge w:val="continue"/>
            <w:tcBorders>
              <w:left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r>
        <w:tblPrEx>
          <w:tblCellMar>
            <w:top w:w="0" w:type="dxa"/>
            <w:left w:w="108" w:type="dxa"/>
            <w:bottom w:w="0" w:type="dxa"/>
            <w:right w:w="108" w:type="dxa"/>
          </w:tblCellMar>
        </w:tblPrEx>
        <w:trPr>
          <w:trHeight w:val="90"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5</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行车</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套</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17</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85</w:t>
            </w:r>
          </w:p>
        </w:tc>
        <w:tc>
          <w:tcPr>
            <w:tcW w:w="845" w:type="pct"/>
            <w:vMerge w:val="continue"/>
            <w:tcBorders>
              <w:left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间歇</w:t>
            </w:r>
          </w:p>
        </w:tc>
        <w:tc>
          <w:tcPr>
            <w:tcW w:w="916" w:type="pct"/>
            <w:vMerge w:val="continue"/>
            <w:tcBorders>
              <w:left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r>
        <w:tblPrEx>
          <w:tblCellMar>
            <w:top w:w="0" w:type="dxa"/>
            <w:left w:w="108" w:type="dxa"/>
            <w:bottom w:w="0" w:type="dxa"/>
            <w:right w:w="108" w:type="dxa"/>
          </w:tblCellMar>
        </w:tblPrEx>
        <w:trPr>
          <w:trHeight w:val="90"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6</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Times New Roman" w:hAnsi="Times New Roman" w:eastAsia="宋体" w:cs="Times New Roman"/>
                <w:color w:val="000000" w:themeColor="text1"/>
                <w:kern w:val="0"/>
                <w:sz w:val="21"/>
                <w:szCs w:val="21"/>
                <w:lang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eastAsia="zh-CN" w:bidi="ar"/>
                <w14:textFill>
                  <w14:solidFill>
                    <w14:schemeClr w14:val="tx1"/>
                  </w14:solidFill>
                </w14:textFill>
              </w:rPr>
              <w:t>空压机</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台</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1</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85</w:t>
            </w:r>
          </w:p>
        </w:tc>
        <w:tc>
          <w:tcPr>
            <w:tcW w:w="845" w:type="pct"/>
            <w:vMerge w:val="continue"/>
            <w:tcBorders>
              <w:left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连续</w:t>
            </w:r>
          </w:p>
        </w:tc>
        <w:tc>
          <w:tcPr>
            <w:tcW w:w="916" w:type="pct"/>
            <w:vMerge w:val="continue"/>
            <w:tcBorders>
              <w:left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r>
        <w:tblPrEx>
          <w:tblCellMar>
            <w:top w:w="0" w:type="dxa"/>
            <w:left w:w="108" w:type="dxa"/>
            <w:bottom w:w="0" w:type="dxa"/>
            <w:right w:w="108" w:type="dxa"/>
          </w:tblCellMar>
        </w:tblPrEx>
        <w:trPr>
          <w:trHeight w:val="285" w:hRule="atLeast"/>
        </w:trPr>
        <w:tc>
          <w:tcPr>
            <w:tcW w:w="35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7</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eastAsiaTheme="minorEastAsia"/>
                <w:color w:val="000000" w:themeColor="text1"/>
                <w:kern w:val="0"/>
                <w:sz w:val="21"/>
                <w:szCs w:val="21"/>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冷却塔</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套</w:t>
            </w:r>
          </w:p>
        </w:tc>
        <w:tc>
          <w:tcPr>
            <w:tcW w:w="44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1</w:t>
            </w:r>
          </w:p>
        </w:tc>
        <w:tc>
          <w:tcPr>
            <w:tcW w:w="71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80</w:t>
            </w:r>
          </w:p>
        </w:tc>
        <w:tc>
          <w:tcPr>
            <w:tcW w:w="845" w:type="pct"/>
            <w:vMerge w:val="continue"/>
            <w:tcBorders>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连续</w:t>
            </w:r>
          </w:p>
        </w:tc>
        <w:tc>
          <w:tcPr>
            <w:tcW w:w="916" w:type="pct"/>
            <w:vMerge w:val="continue"/>
            <w:tcBorders>
              <w:left w:val="single" w:color="auto" w:sz="4" w:space="0"/>
              <w:bottom w:val="single" w:color="auto" w:sz="4" w:space="0"/>
              <w:right w:val="single" w:color="auto" w:sz="2" w:space="0"/>
            </w:tcBorders>
            <w:shd w:val="clear" w:color="auto" w:fill="auto"/>
            <w:vAlign w:val="center"/>
          </w:tcPr>
          <w:p>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bl>
    <w:p>
      <w:pPr>
        <w:spacing w:line="360" w:lineRule="auto"/>
        <w:rPr>
          <w:b/>
          <w:bCs/>
          <w:sz w:val="24"/>
        </w:rPr>
      </w:pPr>
      <w:r>
        <w:rPr>
          <w:rFonts w:hint="eastAsia"/>
          <w:b/>
          <w:bCs/>
          <w:sz w:val="24"/>
        </w:rPr>
        <w:t>4、</w:t>
      </w:r>
      <w:r>
        <w:rPr>
          <w:b/>
          <w:bCs/>
          <w:sz w:val="24"/>
        </w:rPr>
        <w:t>固废排放及治理措施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宋体" w:eastAsia="宋体" w:cs="Times New Roman"/>
          <w:b/>
          <w:bCs/>
          <w:sz w:val="24"/>
        </w:rPr>
      </w:pPr>
      <w:bookmarkStart w:id="188" w:name="_Toc515359825"/>
      <w:bookmarkStart w:id="189" w:name="_Toc515360799"/>
      <w:bookmarkStart w:id="190" w:name="_Toc13752752"/>
      <w:r>
        <w:rPr>
          <w:rFonts w:hint="eastAsia" w:ascii="Times New Roman" w:hAnsi="Times New Roman" w:eastAsia="宋体" w:cs="Times New Roman"/>
          <w:color w:val="000000" w:themeColor="text1"/>
          <w:sz w:val="24"/>
          <w:lang w:eastAsia="zh-CN"/>
          <w14:textFill>
            <w14:solidFill>
              <w14:schemeClr w14:val="tx1"/>
            </w14:solidFill>
          </w14:textFill>
        </w:rPr>
        <w:t>营运期</w:t>
      </w:r>
      <w:r>
        <w:rPr>
          <w:rFonts w:hint="default" w:ascii="Times New Roman" w:hAnsi="Times New Roman" w:eastAsia="宋体" w:cs="Times New Roman"/>
          <w:color w:val="000000" w:themeColor="text1"/>
          <w:sz w:val="24"/>
          <w14:textFill>
            <w14:solidFill>
              <w14:schemeClr w14:val="tx1"/>
            </w14:solidFill>
          </w14:textFill>
        </w:rPr>
        <w:t>固体废物主要为一般工业固体废物、危险废物和生活垃圾，一般工业固体废物主要为废包装材料</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废待镀锌件</w:t>
      </w:r>
      <w:r>
        <w:rPr>
          <w:rFonts w:hint="eastAsia" w:cs="Times New Roman"/>
          <w:color w:val="000000" w:themeColor="text1"/>
          <w:sz w:val="24"/>
          <w:lang w:val="en-US" w:eastAsia="zh-CN"/>
          <w14:textFill>
            <w14:solidFill>
              <w14:schemeClr w14:val="tx1"/>
            </w14:solidFill>
          </w14:textFill>
        </w:rPr>
        <w:t>、富锌氧化锌</w:t>
      </w:r>
      <w:r>
        <w:rPr>
          <w:rFonts w:hint="eastAsia" w:ascii="Times New Roman" w:hAnsi="Times New Roman" w:eastAsia="宋体" w:cs="Times New Roman"/>
          <w:color w:val="000000" w:themeColor="text1"/>
          <w:sz w:val="24"/>
          <w:lang w:val="en-US" w:eastAsia="zh-CN"/>
          <w14:textFill>
            <w14:solidFill>
              <w14:schemeClr w14:val="tx1"/>
            </w14:solidFill>
          </w14:textFill>
        </w:rPr>
        <w:t>和镀锌件</w:t>
      </w:r>
      <w:r>
        <w:rPr>
          <w:rFonts w:hint="default" w:ascii="Times New Roman" w:hAnsi="Times New Roman" w:eastAsia="宋体" w:cs="Times New Roman"/>
          <w:color w:val="000000" w:themeColor="text1"/>
          <w:sz w:val="24"/>
          <w14:textFill>
            <w14:solidFill>
              <w14:schemeClr w14:val="tx1"/>
            </w14:solidFill>
          </w14:textFill>
        </w:rPr>
        <w:t>；危险废物包括</w:t>
      </w:r>
      <w:r>
        <w:rPr>
          <w:rFonts w:hint="eastAsia" w:ascii="Times New Roman" w:hAnsi="Times New Roman" w:eastAsia="宋体" w:cs="Times New Roman"/>
          <w:color w:val="000000" w:themeColor="text1"/>
          <w:sz w:val="24"/>
          <w:lang w:val="en-US" w:eastAsia="zh-CN"/>
          <w14:textFill>
            <w14:solidFill>
              <w14:schemeClr w14:val="tx1"/>
            </w14:solidFill>
          </w14:textFill>
        </w:rPr>
        <w:t>酸洗池废液、碱洗池底渣、酸洗池底渣、助镀含铁污泥、污水处理站含铁污泥、</w:t>
      </w:r>
      <w:r>
        <w:rPr>
          <w:rFonts w:hint="default" w:ascii="Times New Roman" w:hAnsi="Times New Roman" w:eastAsia="宋体" w:cs="Times New Roman"/>
          <w:color w:val="000000" w:themeColor="text1"/>
          <w:sz w:val="24"/>
          <w14:textFill>
            <w14:solidFill>
              <w14:schemeClr w14:val="tx1"/>
            </w14:solidFill>
          </w14:textFill>
        </w:rPr>
        <w:t>布袋收尘器收集锌尘</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布袋除尘器更换的滤芯</w:t>
      </w:r>
      <w:r>
        <w:rPr>
          <w:rFonts w:hint="default" w:ascii="Times New Roman" w:hAnsi="Times New Roman" w:eastAsia="宋体" w:cs="Times New Roman"/>
          <w:color w:val="000000" w:themeColor="text1"/>
          <w:sz w:val="24"/>
          <w14:textFill>
            <w14:solidFill>
              <w14:schemeClr w14:val="tx1"/>
            </w14:solidFill>
          </w14:textFill>
        </w:rPr>
        <w:t>。</w:t>
      </w:r>
    </w:p>
    <w:p>
      <w:pPr>
        <w:spacing w:line="360" w:lineRule="auto"/>
        <w:jc w:val="center"/>
        <w:rPr>
          <w:rFonts w:hint="eastAsia" w:ascii="Times New Roman" w:hAnsi="宋体" w:eastAsia="宋体" w:cs="Times New Roman"/>
          <w:b/>
          <w:bCs/>
          <w:sz w:val="24"/>
        </w:rPr>
      </w:pPr>
      <w:r>
        <w:rPr>
          <w:rFonts w:hint="eastAsia" w:ascii="Times New Roman" w:hAnsi="宋体" w:eastAsia="宋体" w:cs="Times New Roman"/>
          <w:b/>
          <w:bCs/>
          <w:sz w:val="24"/>
        </w:rPr>
        <w:t>表4.</w:t>
      </w:r>
      <w:r>
        <w:rPr>
          <w:rFonts w:hint="eastAsia" w:ascii="Times New Roman" w:hAnsi="宋体" w:eastAsia="宋体" w:cs="Times New Roman"/>
          <w:b/>
          <w:bCs/>
          <w:sz w:val="24"/>
          <w:lang w:val="en-US" w:eastAsia="zh-CN"/>
        </w:rPr>
        <w:t>4</w:t>
      </w:r>
      <w:r>
        <w:rPr>
          <w:rFonts w:hint="eastAsia" w:ascii="Times New Roman" w:hAnsi="宋体" w:eastAsia="宋体" w:cs="Times New Roman"/>
          <w:b/>
          <w:bCs/>
          <w:sz w:val="24"/>
        </w:rPr>
        <w:t xml:space="preserve">  固体废物产生及处置情况</w:t>
      </w:r>
    </w:p>
    <w:tbl>
      <w:tblPr>
        <w:tblStyle w:val="31"/>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416"/>
        <w:gridCol w:w="1167"/>
        <w:gridCol w:w="673"/>
        <w:gridCol w:w="898"/>
        <w:gridCol w:w="898"/>
        <w:gridCol w:w="688"/>
        <w:gridCol w:w="656"/>
        <w:gridCol w:w="689"/>
        <w:gridCol w:w="737"/>
        <w:gridCol w:w="68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831"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固废名称</w:t>
            </w:r>
          </w:p>
        </w:tc>
        <w:tc>
          <w:tcPr>
            <w:tcW w:w="685"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来</w:t>
            </w: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源</w:t>
            </w:r>
          </w:p>
        </w:tc>
        <w:tc>
          <w:tcPr>
            <w:tcW w:w="39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性质</w:t>
            </w:r>
          </w:p>
        </w:tc>
        <w:tc>
          <w:tcPr>
            <w:tcW w:w="527"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产生量</w:t>
            </w:r>
          </w:p>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（t/a）</w:t>
            </w:r>
          </w:p>
        </w:tc>
        <w:tc>
          <w:tcPr>
            <w:tcW w:w="527"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处理/处置量</w:t>
            </w:r>
          </w:p>
        </w:tc>
        <w:tc>
          <w:tcPr>
            <w:tcW w:w="404"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暂存场所</w:t>
            </w:r>
          </w:p>
        </w:tc>
        <w:tc>
          <w:tcPr>
            <w:tcW w:w="38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标识标牌</w:t>
            </w:r>
          </w:p>
        </w:tc>
        <w:tc>
          <w:tcPr>
            <w:tcW w:w="404"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台账</w:t>
            </w:r>
          </w:p>
        </w:tc>
        <w:tc>
          <w:tcPr>
            <w:tcW w:w="432"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协议签订情况</w:t>
            </w:r>
          </w:p>
        </w:tc>
        <w:tc>
          <w:tcPr>
            <w:tcW w:w="404"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出入库情况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0" w:hRule="exact"/>
          <w:jc w:val="center"/>
        </w:trPr>
        <w:tc>
          <w:tcPr>
            <w:tcW w:w="831"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废包装材料</w:t>
            </w:r>
          </w:p>
        </w:tc>
        <w:tc>
          <w:tcPr>
            <w:tcW w:w="68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包装</w:t>
            </w:r>
          </w:p>
        </w:tc>
        <w:tc>
          <w:tcPr>
            <w:tcW w:w="395" w:type="pct"/>
            <w:vMerge w:val="restar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一般工业固废</w:t>
            </w:r>
          </w:p>
        </w:tc>
        <w:tc>
          <w:tcPr>
            <w:tcW w:w="527"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3.0</w:t>
            </w:r>
          </w:p>
        </w:tc>
        <w:tc>
          <w:tcPr>
            <w:tcW w:w="527"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3.0</w:t>
            </w:r>
          </w:p>
        </w:tc>
        <w:tc>
          <w:tcPr>
            <w:tcW w:w="404" w:type="pct"/>
            <w:vMerge w:val="restar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一般工业固废暂存场所</w:t>
            </w:r>
          </w:p>
        </w:tc>
        <w:tc>
          <w:tcPr>
            <w:tcW w:w="38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32"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6" w:hRule="exact"/>
          <w:jc w:val="center"/>
        </w:trPr>
        <w:tc>
          <w:tcPr>
            <w:tcW w:w="831"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废待镀锌件和镀锌件</w:t>
            </w:r>
          </w:p>
        </w:tc>
        <w:tc>
          <w:tcPr>
            <w:tcW w:w="685"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生产工段</w:t>
            </w:r>
          </w:p>
        </w:tc>
        <w:tc>
          <w:tcPr>
            <w:tcW w:w="395" w:type="pct"/>
            <w:vMerge w:val="continue"/>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527"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30</w:t>
            </w:r>
          </w:p>
        </w:tc>
        <w:tc>
          <w:tcPr>
            <w:tcW w:w="527"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30</w:t>
            </w:r>
          </w:p>
        </w:tc>
        <w:tc>
          <w:tcPr>
            <w:tcW w:w="404" w:type="pct"/>
            <w:vMerge w:val="continue"/>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38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32"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0" w:hRule="exact"/>
          <w:jc w:val="center"/>
        </w:trPr>
        <w:tc>
          <w:tcPr>
            <w:tcW w:w="831"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锌底渣</w:t>
            </w:r>
          </w:p>
        </w:tc>
        <w:tc>
          <w:tcPr>
            <w:tcW w:w="68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锌锅</w:t>
            </w:r>
          </w:p>
        </w:tc>
        <w:tc>
          <w:tcPr>
            <w:tcW w:w="395" w:type="pct"/>
            <w:vMerge w:val="continue"/>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527"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5.0</w:t>
            </w:r>
          </w:p>
        </w:tc>
        <w:tc>
          <w:tcPr>
            <w:tcW w:w="527"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5.0</w:t>
            </w:r>
          </w:p>
        </w:tc>
        <w:tc>
          <w:tcPr>
            <w:tcW w:w="404" w:type="pct"/>
            <w:vMerge w:val="continue"/>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385"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32"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0" w:hRule="exact"/>
          <w:jc w:val="center"/>
        </w:trPr>
        <w:tc>
          <w:tcPr>
            <w:tcW w:w="831"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富锌氧化锌</w:t>
            </w:r>
          </w:p>
        </w:tc>
        <w:tc>
          <w:tcPr>
            <w:tcW w:w="68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锌锅</w:t>
            </w:r>
          </w:p>
        </w:tc>
        <w:tc>
          <w:tcPr>
            <w:tcW w:w="395" w:type="pct"/>
            <w:vMerge w:val="continue"/>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527"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20.0</w:t>
            </w:r>
          </w:p>
        </w:tc>
        <w:tc>
          <w:tcPr>
            <w:tcW w:w="527"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20.0</w:t>
            </w:r>
          </w:p>
        </w:tc>
        <w:tc>
          <w:tcPr>
            <w:tcW w:w="404" w:type="pct"/>
            <w:vMerge w:val="continue"/>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38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32"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831"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生活垃圾</w:t>
            </w:r>
          </w:p>
        </w:tc>
        <w:tc>
          <w:tcPr>
            <w:tcW w:w="68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厂区</w:t>
            </w:r>
          </w:p>
        </w:tc>
        <w:tc>
          <w:tcPr>
            <w:tcW w:w="39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生活垃圾</w:t>
            </w:r>
          </w:p>
        </w:tc>
        <w:tc>
          <w:tcPr>
            <w:tcW w:w="527"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18</w:t>
            </w:r>
          </w:p>
        </w:tc>
        <w:tc>
          <w:tcPr>
            <w:tcW w:w="527"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18</w:t>
            </w:r>
          </w:p>
        </w:tc>
        <w:tc>
          <w:tcPr>
            <w:tcW w:w="404"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垃圾箱</w:t>
            </w:r>
          </w:p>
        </w:tc>
        <w:tc>
          <w:tcPr>
            <w:tcW w:w="38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32"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2" w:hRule="exact"/>
          <w:jc w:val="center"/>
        </w:trPr>
        <w:tc>
          <w:tcPr>
            <w:tcW w:w="831"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酸洗池废液</w:t>
            </w:r>
          </w:p>
        </w:tc>
        <w:tc>
          <w:tcPr>
            <w:tcW w:w="68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酸洗池</w:t>
            </w:r>
          </w:p>
        </w:tc>
        <w:tc>
          <w:tcPr>
            <w:tcW w:w="395" w:type="pct"/>
            <w:vMerge w:val="restar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危险废物</w:t>
            </w:r>
          </w:p>
        </w:tc>
        <w:tc>
          <w:tcPr>
            <w:tcW w:w="527"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950</w:t>
            </w:r>
          </w:p>
        </w:tc>
        <w:tc>
          <w:tcPr>
            <w:tcW w:w="527"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950</w:t>
            </w:r>
          </w:p>
        </w:tc>
        <w:tc>
          <w:tcPr>
            <w:tcW w:w="404" w:type="pct"/>
            <w:vMerge w:val="restar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危废贮存库</w:t>
            </w:r>
          </w:p>
        </w:tc>
        <w:tc>
          <w:tcPr>
            <w:tcW w:w="385"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32"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0" w:hRule="exact"/>
          <w:jc w:val="center"/>
        </w:trPr>
        <w:tc>
          <w:tcPr>
            <w:tcW w:w="831"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碱洗池底渣</w:t>
            </w:r>
          </w:p>
        </w:tc>
        <w:tc>
          <w:tcPr>
            <w:tcW w:w="68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碱洗池</w:t>
            </w:r>
          </w:p>
        </w:tc>
        <w:tc>
          <w:tcPr>
            <w:tcW w:w="395" w:type="pct"/>
            <w:vMerge w:val="continue"/>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527"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w:t>
            </w:r>
          </w:p>
        </w:tc>
        <w:tc>
          <w:tcPr>
            <w:tcW w:w="527"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w:t>
            </w:r>
          </w:p>
        </w:tc>
        <w:tc>
          <w:tcPr>
            <w:tcW w:w="404" w:type="pct"/>
            <w:vMerge w:val="continue"/>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385"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32"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exact"/>
          <w:jc w:val="center"/>
        </w:trPr>
        <w:tc>
          <w:tcPr>
            <w:tcW w:w="831"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酸洗池底渣</w:t>
            </w:r>
          </w:p>
        </w:tc>
        <w:tc>
          <w:tcPr>
            <w:tcW w:w="68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酸洗池</w:t>
            </w:r>
          </w:p>
        </w:tc>
        <w:tc>
          <w:tcPr>
            <w:tcW w:w="395" w:type="pct"/>
            <w:vMerge w:val="continue"/>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527"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50</w:t>
            </w:r>
          </w:p>
        </w:tc>
        <w:tc>
          <w:tcPr>
            <w:tcW w:w="527"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50</w:t>
            </w:r>
          </w:p>
        </w:tc>
        <w:tc>
          <w:tcPr>
            <w:tcW w:w="404" w:type="pct"/>
            <w:vMerge w:val="continue"/>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385"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32"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6" w:hRule="exact"/>
          <w:jc w:val="center"/>
        </w:trPr>
        <w:tc>
          <w:tcPr>
            <w:tcW w:w="831"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助镀含铁污泥</w:t>
            </w:r>
          </w:p>
        </w:tc>
        <w:tc>
          <w:tcPr>
            <w:tcW w:w="68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助锌池</w:t>
            </w:r>
          </w:p>
        </w:tc>
        <w:tc>
          <w:tcPr>
            <w:tcW w:w="395" w:type="pct"/>
            <w:vMerge w:val="continue"/>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527"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10.8</w:t>
            </w:r>
          </w:p>
        </w:tc>
        <w:tc>
          <w:tcPr>
            <w:tcW w:w="527"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10.8</w:t>
            </w:r>
          </w:p>
        </w:tc>
        <w:tc>
          <w:tcPr>
            <w:tcW w:w="404" w:type="pct"/>
            <w:vMerge w:val="continue"/>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385"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32"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9" w:hRule="exact"/>
          <w:jc w:val="center"/>
        </w:trPr>
        <w:tc>
          <w:tcPr>
            <w:tcW w:w="831"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污水处理站含铁污泥</w:t>
            </w:r>
          </w:p>
        </w:tc>
        <w:tc>
          <w:tcPr>
            <w:tcW w:w="68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污水处理设施</w:t>
            </w:r>
          </w:p>
        </w:tc>
        <w:tc>
          <w:tcPr>
            <w:tcW w:w="395" w:type="pct"/>
            <w:vMerge w:val="continue"/>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527"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18</w:t>
            </w:r>
          </w:p>
        </w:tc>
        <w:tc>
          <w:tcPr>
            <w:tcW w:w="527"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18</w:t>
            </w:r>
          </w:p>
        </w:tc>
        <w:tc>
          <w:tcPr>
            <w:tcW w:w="404" w:type="pct"/>
            <w:vMerge w:val="continue"/>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385"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32"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1" w:hRule="exact"/>
          <w:jc w:val="center"/>
        </w:trPr>
        <w:tc>
          <w:tcPr>
            <w:tcW w:w="831"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布袋收尘器收集锌尘</w:t>
            </w:r>
          </w:p>
        </w:tc>
        <w:tc>
          <w:tcPr>
            <w:tcW w:w="68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废气处理</w:t>
            </w:r>
          </w:p>
        </w:tc>
        <w:tc>
          <w:tcPr>
            <w:tcW w:w="395" w:type="pct"/>
            <w:vMerge w:val="continue"/>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FF"/>
                <w:sz w:val="21"/>
                <w:szCs w:val="21"/>
                <w:vertAlign w:val="baseline"/>
                <w:lang w:val="en-US" w:eastAsia="zh-CN"/>
              </w:rPr>
            </w:pPr>
          </w:p>
        </w:tc>
        <w:tc>
          <w:tcPr>
            <w:tcW w:w="527"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32.02</w:t>
            </w:r>
          </w:p>
        </w:tc>
        <w:tc>
          <w:tcPr>
            <w:tcW w:w="527"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32.02</w:t>
            </w:r>
          </w:p>
        </w:tc>
        <w:tc>
          <w:tcPr>
            <w:tcW w:w="404" w:type="pct"/>
            <w:vMerge w:val="continue"/>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FF"/>
                <w:sz w:val="21"/>
                <w:szCs w:val="21"/>
                <w:vertAlign w:val="baseline"/>
                <w:lang w:val="en-US" w:eastAsia="zh-CN"/>
              </w:rPr>
            </w:pPr>
          </w:p>
        </w:tc>
        <w:tc>
          <w:tcPr>
            <w:tcW w:w="38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32"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6" w:hRule="exact"/>
          <w:jc w:val="center"/>
        </w:trPr>
        <w:tc>
          <w:tcPr>
            <w:tcW w:w="831"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布袋除尘器更换的滤芯</w:t>
            </w:r>
          </w:p>
        </w:tc>
        <w:tc>
          <w:tcPr>
            <w:tcW w:w="68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废气处理</w:t>
            </w:r>
          </w:p>
        </w:tc>
        <w:tc>
          <w:tcPr>
            <w:tcW w:w="395" w:type="pct"/>
            <w:vMerge w:val="continue"/>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527"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1.5</w:t>
            </w:r>
          </w:p>
        </w:tc>
        <w:tc>
          <w:tcPr>
            <w:tcW w:w="527"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1.5</w:t>
            </w:r>
          </w:p>
        </w:tc>
        <w:tc>
          <w:tcPr>
            <w:tcW w:w="404" w:type="pct"/>
            <w:vMerge w:val="continue"/>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385"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32"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c>
          <w:tcPr>
            <w:tcW w:w="404" w:type="pct"/>
            <w:tcBorders>
              <w:tl2br w:val="nil"/>
              <w:tr2bl w:val="nil"/>
            </w:tcBorders>
            <w:vAlign w:val="center"/>
          </w:tcPr>
          <w:p>
            <w:pPr>
              <w:pStyle w:val="36"/>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w:t>
            </w:r>
          </w:p>
        </w:tc>
      </w:tr>
    </w:tbl>
    <w:p>
      <w:pPr>
        <w:pStyle w:val="10"/>
        <w:ind w:left="0" w:leftChars="0" w:firstLine="0" w:firstLineChars="0"/>
        <w:rPr>
          <w:rFonts w:hint="default" w:ascii="Times New Roman" w:hAnsi="Times New Roman" w:eastAsia="宋体" w:cs="Times New Roman"/>
          <w:b/>
          <w:bCs/>
          <w:kern w:val="2"/>
          <w:sz w:val="28"/>
          <w:szCs w:val="28"/>
          <w:lang w:val="en-US" w:eastAsia="zh-CN" w:bidi="ar-SA"/>
        </w:rPr>
      </w:pPr>
      <w:r>
        <w:rPr>
          <w:rFonts w:hint="eastAsia" w:ascii="Times New Roman" w:hAnsi="Times New Roman" w:eastAsia="宋体" w:cs="Times New Roman"/>
          <w:b/>
          <w:bCs/>
          <w:kern w:val="2"/>
          <w:sz w:val="28"/>
          <w:szCs w:val="28"/>
          <w:lang w:val="en-US" w:eastAsia="zh-CN" w:bidi="ar-SA"/>
        </w:rPr>
        <w:t>4.2 其他环境保护措施</w:t>
      </w:r>
    </w:p>
    <w:bookmarkEnd w:id="188"/>
    <w:bookmarkEnd w:id="189"/>
    <w:bookmarkEnd w:id="190"/>
    <w:p>
      <w:pPr>
        <w:pStyle w:val="77"/>
        <w:ind w:firstLine="0" w:firstLineChars="0"/>
        <w:jc w:val="left"/>
        <w:outlineLvl w:val="1"/>
        <w:rPr>
          <w:rFonts w:hint="eastAsia"/>
          <w:b/>
          <w:bCs w:val="0"/>
          <w:lang w:val="en-US" w:eastAsia="zh-CN"/>
        </w:rPr>
      </w:pPr>
      <w:bookmarkStart w:id="191" w:name="_Toc28033"/>
      <w:bookmarkStart w:id="192" w:name="_Toc16218"/>
      <w:bookmarkStart w:id="193" w:name="_Toc515360800"/>
      <w:bookmarkStart w:id="194" w:name="_Toc5838"/>
      <w:bookmarkStart w:id="195" w:name="_Toc24909"/>
      <w:bookmarkStart w:id="196" w:name="_Toc515359826"/>
      <w:bookmarkStart w:id="197" w:name="_Toc30833"/>
      <w:bookmarkStart w:id="198" w:name="_Toc13752753"/>
      <w:bookmarkStart w:id="199" w:name="_Toc3677"/>
      <w:r>
        <w:rPr>
          <w:rFonts w:hint="eastAsia"/>
          <w:b/>
          <w:bCs w:val="0"/>
          <w:lang w:val="en-US" w:eastAsia="zh-CN"/>
        </w:rPr>
        <w:t>4.2.1 环境风险防范措施</w:t>
      </w:r>
      <w:bookmarkEnd w:id="191"/>
    </w:p>
    <w:p>
      <w:pPr>
        <w:pStyle w:val="77"/>
        <w:keepNext w:val="0"/>
        <w:keepLines w:val="0"/>
        <w:pageBreakBefore w:val="0"/>
        <w:widowControl w:val="0"/>
        <w:kinsoku/>
        <w:wordWrap/>
        <w:overflowPunct/>
        <w:topLinePunct w:val="0"/>
        <w:autoSpaceDE/>
        <w:autoSpaceDN/>
        <w:bidi w:val="0"/>
        <w:adjustRightInd/>
        <w:snapToGrid/>
        <w:ind w:firstLine="480" w:firstLineChars="200"/>
        <w:jc w:val="both"/>
        <w:textAlignment w:val="auto"/>
        <w:outlineLvl w:val="1"/>
        <w:rPr>
          <w:rFonts w:hint="eastAsia" w:eastAsia="宋体" w:cs="Times New Roman"/>
          <w:bCs w:val="0"/>
          <w:color w:val="0000FF"/>
          <w:kern w:val="2"/>
          <w:sz w:val="24"/>
          <w:szCs w:val="24"/>
          <w:lang w:val="en-US" w:eastAsia="zh-CN" w:bidi="ar-SA"/>
        </w:rPr>
      </w:pPr>
      <w:bookmarkStart w:id="200" w:name="_Toc14104"/>
      <w:r>
        <w:rPr>
          <w:rFonts w:hint="eastAsia" w:hAnsi="Times New Roman" w:cs="Times New Roman"/>
          <w:szCs w:val="21"/>
          <w:lang w:val="en-US" w:eastAsia="zh-CN"/>
        </w:rPr>
        <w:t>现已按照环评及批复要求新建2座应急事故池，其中1座120m</w:t>
      </w:r>
      <w:r>
        <w:rPr>
          <w:rFonts w:hint="eastAsia" w:hAnsi="Times New Roman" w:cs="Times New Roman"/>
          <w:szCs w:val="21"/>
          <w:vertAlign w:val="superscript"/>
          <w:lang w:val="en-US" w:eastAsia="zh-CN"/>
        </w:rPr>
        <w:t>3</w:t>
      </w:r>
      <w:r>
        <w:rPr>
          <w:rFonts w:hint="eastAsia" w:hAnsi="Times New Roman" w:cs="Times New Roman"/>
          <w:szCs w:val="21"/>
          <w:lang w:val="en-US" w:eastAsia="zh-CN"/>
        </w:rPr>
        <w:t>、1座110m</w:t>
      </w:r>
      <w:r>
        <w:rPr>
          <w:rFonts w:hint="eastAsia" w:hAnsi="Times New Roman" w:cs="Times New Roman"/>
          <w:szCs w:val="21"/>
          <w:vertAlign w:val="superscript"/>
          <w:lang w:val="en-US" w:eastAsia="zh-CN"/>
        </w:rPr>
        <w:t>3</w:t>
      </w:r>
      <w:r>
        <w:rPr>
          <w:rFonts w:hint="eastAsia" w:hAnsi="Times New Roman" w:cs="Times New Roman"/>
          <w:szCs w:val="21"/>
          <w:lang w:val="en-US" w:eastAsia="zh-CN"/>
        </w:rPr>
        <w:t>，位于厂区东侧，有效容积230m</w:t>
      </w:r>
      <w:r>
        <w:rPr>
          <w:rFonts w:hint="eastAsia" w:hAnsi="Times New Roman" w:cs="Times New Roman"/>
          <w:szCs w:val="21"/>
          <w:vertAlign w:val="superscript"/>
          <w:lang w:val="en-US" w:eastAsia="zh-CN"/>
        </w:rPr>
        <w:t>3</w:t>
      </w:r>
      <w:r>
        <w:rPr>
          <w:rFonts w:hint="eastAsia" w:hAnsi="Times New Roman" w:cs="Times New Roman"/>
          <w:szCs w:val="21"/>
          <w:lang w:val="en-US" w:eastAsia="zh-CN"/>
        </w:rPr>
        <w:t>，并对其进行加盖处理；氢氧化钠、氨水、双氧水溶液等溶液容器周围设置围堰；酸洗池、助锌池、返镀池、碱洗池等池体采用混凝土池体并铺设防渗涂层等。厂区设立重点防渗区、一般防渗区（分区防渗图见附图）。</w:t>
      </w:r>
      <w:bookmarkEnd w:id="200"/>
    </w:p>
    <w:p>
      <w:pPr>
        <w:pStyle w:val="77"/>
        <w:ind w:firstLine="0" w:firstLineChars="0"/>
        <w:jc w:val="left"/>
        <w:outlineLvl w:val="1"/>
        <w:rPr>
          <w:rFonts w:hint="eastAsia"/>
          <w:b/>
          <w:bCs w:val="0"/>
          <w:lang w:val="en-US" w:eastAsia="zh-CN"/>
        </w:rPr>
      </w:pPr>
      <w:bookmarkStart w:id="201" w:name="_Toc20546"/>
      <w:r>
        <w:rPr>
          <w:rFonts w:hint="eastAsia"/>
          <w:b/>
          <w:bCs w:val="0"/>
          <w:lang w:val="en-US" w:eastAsia="zh-CN"/>
        </w:rPr>
        <w:t>4.2.2 规范化排污口、监测设施</w:t>
      </w:r>
      <w:bookmarkEnd w:id="201"/>
    </w:p>
    <w:p>
      <w:pPr>
        <w:widowControl/>
        <w:kinsoku w:val="0"/>
        <w:autoSpaceDE w:val="0"/>
        <w:autoSpaceDN w:val="0"/>
        <w:spacing w:line="360" w:lineRule="auto"/>
        <w:ind w:firstLine="480" w:firstLineChars="200"/>
        <w:textAlignment w:val="baseline"/>
        <w:rPr>
          <w:rFonts w:hint="default" w:ascii="Times New Roman" w:hAnsi="Times New Roman" w:eastAsia="宋体" w:cs="Times New Roman"/>
          <w:bCs/>
          <w:kern w:val="2"/>
          <w:sz w:val="24"/>
          <w:szCs w:val="21"/>
          <w:lang w:val="en-US" w:eastAsia="zh-CN" w:bidi="ar-SA"/>
        </w:rPr>
      </w:pPr>
      <w:r>
        <w:rPr>
          <w:rFonts w:hint="eastAsia" w:ascii="Times New Roman" w:hAnsi="Times New Roman" w:eastAsia="宋体" w:cs="Times New Roman"/>
          <w:bCs/>
          <w:kern w:val="2"/>
          <w:sz w:val="24"/>
          <w:szCs w:val="21"/>
          <w:lang w:val="en-US" w:eastAsia="zh-CN" w:bidi="ar-SA"/>
        </w:rPr>
        <w:t>酸洗废气：</w:t>
      </w:r>
      <w:r>
        <w:rPr>
          <w:rFonts w:hint="default" w:ascii="Times New Roman" w:hAnsi="Times New Roman" w:eastAsia="宋体" w:cs="Times New Roman"/>
          <w:bCs/>
          <w:kern w:val="2"/>
          <w:sz w:val="24"/>
          <w:szCs w:val="21"/>
          <w:lang w:val="en-US" w:eastAsia="zh-CN" w:bidi="ar-SA"/>
        </w:rPr>
        <w:t>车间内单独设置设置1座封闭酸洗房（设置酸洗池，清洗池，助镀池、锌锅等），由于风机的作用，酸洗房内呈负压结构，酸洗池上方边缘设有多个酸雾收集口（单个收集口直径0.5m，共设置14个），酸雾由收集口经引风机通过耐酸管道送入2套酸雾吸收塔处理后通过1根18m高的排气筒（DA001）排放</w:t>
      </w:r>
      <w:r>
        <w:rPr>
          <w:rFonts w:hint="eastAsia" w:ascii="Times New Roman" w:hAnsi="Times New Roman" w:eastAsia="宋体" w:cs="Times New Roman"/>
          <w:bCs/>
          <w:kern w:val="2"/>
          <w:sz w:val="24"/>
          <w:szCs w:val="21"/>
          <w:lang w:val="en-US" w:eastAsia="zh-CN" w:bidi="ar-SA"/>
        </w:rPr>
        <w:t>；</w:t>
      </w:r>
      <w:r>
        <w:rPr>
          <w:rFonts w:hint="default" w:ascii="Times New Roman" w:hAnsi="Times New Roman" w:eastAsia="宋体" w:cs="Times New Roman"/>
          <w:bCs/>
          <w:kern w:val="2"/>
          <w:sz w:val="24"/>
          <w:szCs w:val="21"/>
          <w:lang w:val="en-US" w:eastAsia="zh-CN" w:bidi="ar-SA"/>
        </w:rPr>
        <w:t>热镀锌烟尘</w:t>
      </w:r>
      <w:r>
        <w:rPr>
          <w:rFonts w:hint="eastAsia" w:ascii="Times New Roman" w:hAnsi="Times New Roman" w:eastAsia="宋体" w:cs="Times New Roman"/>
          <w:bCs/>
          <w:kern w:val="2"/>
          <w:sz w:val="24"/>
          <w:szCs w:val="21"/>
          <w:lang w:val="en-US" w:eastAsia="zh-CN" w:bidi="ar-SA"/>
        </w:rPr>
        <w:t>：</w:t>
      </w:r>
      <w:r>
        <w:rPr>
          <w:rFonts w:hint="default" w:ascii="Times New Roman" w:hAnsi="Times New Roman" w:eastAsia="宋体" w:cs="Times New Roman"/>
          <w:bCs/>
          <w:kern w:val="2"/>
          <w:sz w:val="24"/>
          <w:szCs w:val="21"/>
          <w:lang w:val="en-US" w:eastAsia="zh-CN" w:bidi="ar-SA"/>
        </w:rPr>
        <w:t>通过锌锅顶部两侧安装负压吸风口及配套弧形板，产生的锌烟经负压收集至布袋除尘器内处理后通过1根18m高排气筒（DA002）排放</w:t>
      </w:r>
      <w:r>
        <w:rPr>
          <w:rFonts w:hint="eastAsia" w:ascii="Times New Roman" w:hAnsi="Times New Roman" w:eastAsia="宋体" w:cs="Times New Roman"/>
          <w:bCs/>
          <w:kern w:val="2"/>
          <w:sz w:val="24"/>
          <w:szCs w:val="21"/>
          <w:lang w:val="en-US" w:eastAsia="zh-CN" w:bidi="ar-SA"/>
        </w:rPr>
        <w:t>；天然气燃烧废气：</w:t>
      </w:r>
      <w:r>
        <w:rPr>
          <w:rFonts w:hint="default" w:ascii="Times New Roman" w:hAnsi="Times New Roman" w:eastAsia="宋体" w:cs="Times New Roman"/>
          <w:bCs/>
          <w:kern w:val="2"/>
          <w:sz w:val="24"/>
          <w:szCs w:val="21"/>
          <w:lang w:val="en-US" w:eastAsia="zh-CN" w:bidi="ar-SA"/>
        </w:rPr>
        <w:t>低氮燃烧后经1根18m排气筒（DA003）外排。</w:t>
      </w:r>
      <w:r>
        <w:rPr>
          <w:rFonts w:hint="eastAsia" w:ascii="Times New Roman" w:hAnsi="Times New Roman" w:eastAsia="宋体" w:cs="Times New Roman"/>
          <w:bCs/>
          <w:kern w:val="2"/>
          <w:sz w:val="24"/>
          <w:szCs w:val="21"/>
          <w:lang w:val="en-US" w:eastAsia="zh-CN" w:bidi="ar-SA"/>
        </w:rPr>
        <w:t>于酸洗废气、热镀锌废气进气筒（出气筒）各开1个监测孔、天然气燃烧废气排气筒出口开1个监测孔，共5个监测孔用于监测废气是否达标排放。</w:t>
      </w:r>
    </w:p>
    <w:p>
      <w:pPr>
        <w:pStyle w:val="77"/>
        <w:ind w:firstLine="0" w:firstLineChars="0"/>
        <w:jc w:val="left"/>
        <w:outlineLvl w:val="1"/>
        <w:rPr>
          <w:rFonts w:ascii="Times New Roman" w:hAnsi="Times New Roman" w:eastAsia="宋体" w:cs="Times New Roman"/>
          <w:b/>
          <w:bCs/>
          <w:kern w:val="2"/>
          <w:sz w:val="28"/>
          <w:szCs w:val="28"/>
          <w:lang w:val="en-US" w:eastAsia="zh-CN" w:bidi="ar-SA"/>
        </w:rPr>
      </w:pPr>
      <w:bookmarkStart w:id="202" w:name="_Toc30690"/>
      <w:r>
        <w:rPr>
          <w:rFonts w:ascii="Times New Roman" w:hAnsi="Times New Roman" w:eastAsia="宋体" w:cs="Times New Roman"/>
          <w:b/>
          <w:bCs/>
          <w:kern w:val="2"/>
          <w:sz w:val="28"/>
          <w:szCs w:val="28"/>
          <w:lang w:val="en-US" w:eastAsia="zh-CN" w:bidi="ar-SA"/>
        </w:rPr>
        <w:t>4.</w:t>
      </w:r>
      <w:r>
        <w:rPr>
          <w:rFonts w:hint="eastAsia" w:hAnsi="Times New Roman" w:cs="Times New Roman"/>
          <w:b/>
          <w:bCs/>
          <w:kern w:val="2"/>
          <w:sz w:val="28"/>
          <w:szCs w:val="28"/>
          <w:lang w:val="en-US" w:eastAsia="zh-CN" w:bidi="ar-SA"/>
        </w:rPr>
        <w:t>3</w:t>
      </w:r>
      <w:r>
        <w:rPr>
          <w:rFonts w:ascii="Times New Roman" w:hAnsi="Times New Roman" w:eastAsia="宋体" w:cs="Times New Roman"/>
          <w:b/>
          <w:bCs/>
          <w:kern w:val="2"/>
          <w:sz w:val="28"/>
          <w:szCs w:val="28"/>
          <w:lang w:val="en-US" w:eastAsia="zh-CN" w:bidi="ar-SA"/>
        </w:rPr>
        <w:t>环保设施投资及“三同时”落实情况</w:t>
      </w:r>
      <w:bookmarkEnd w:id="192"/>
      <w:bookmarkEnd w:id="193"/>
      <w:bookmarkEnd w:id="194"/>
      <w:bookmarkEnd w:id="195"/>
      <w:bookmarkEnd w:id="196"/>
      <w:bookmarkEnd w:id="197"/>
      <w:bookmarkEnd w:id="198"/>
      <w:bookmarkEnd w:id="199"/>
      <w:bookmarkEnd w:id="202"/>
    </w:p>
    <w:p>
      <w:pPr>
        <w:widowControl/>
        <w:kinsoku w:val="0"/>
        <w:autoSpaceDE w:val="0"/>
        <w:autoSpaceDN w:val="0"/>
        <w:spacing w:line="360" w:lineRule="auto"/>
        <w:ind w:firstLine="480" w:firstLineChars="200"/>
        <w:textAlignment w:val="baseline"/>
        <w:rPr>
          <w:rFonts w:hint="eastAsia" w:ascii="Times New Roman" w:hAnsi="Times New Roman" w:eastAsia="宋体" w:cs="Times New Roman"/>
          <w:bCs/>
          <w:kern w:val="2"/>
          <w:sz w:val="24"/>
          <w:szCs w:val="21"/>
          <w:lang w:val="en-US" w:eastAsia="zh-CN" w:bidi="ar-SA"/>
        </w:rPr>
      </w:pPr>
      <w:r>
        <w:rPr>
          <w:rFonts w:hint="eastAsia" w:ascii="Times New Roman" w:hAnsi="Times New Roman" w:eastAsia="宋体" w:cs="Times New Roman"/>
          <w:bCs/>
          <w:kern w:val="2"/>
          <w:sz w:val="24"/>
          <w:szCs w:val="21"/>
          <w:lang w:val="en-US" w:eastAsia="zh-CN" w:bidi="ar-SA"/>
        </w:rPr>
        <w:t>根据建设项目环境保护“三同时”制度，环保措施应与主体工程同步实施。</w:t>
      </w:r>
    </w:p>
    <w:p>
      <w:pPr>
        <w:widowControl/>
        <w:kinsoku w:val="0"/>
        <w:autoSpaceDE w:val="0"/>
        <w:autoSpaceDN w:val="0"/>
        <w:spacing w:line="360" w:lineRule="auto"/>
        <w:ind w:firstLine="480" w:firstLineChars="200"/>
        <w:textAlignment w:val="baseline"/>
        <w:rPr>
          <w:rFonts w:hint="eastAsia" w:ascii="Times New Roman" w:hAnsi="Times New Roman" w:eastAsia="宋体" w:cs="Times New Roman"/>
          <w:bCs/>
          <w:kern w:val="2"/>
          <w:sz w:val="24"/>
          <w:szCs w:val="21"/>
          <w:lang w:val="en-US" w:eastAsia="zh-CN" w:bidi="ar-SA"/>
        </w:rPr>
      </w:pPr>
      <w:r>
        <w:rPr>
          <w:rFonts w:hint="eastAsia" w:ascii="Times New Roman" w:hAnsi="Times New Roman" w:eastAsia="宋体" w:cs="Times New Roman"/>
          <w:bCs/>
          <w:kern w:val="2"/>
          <w:sz w:val="24"/>
          <w:szCs w:val="21"/>
          <w:lang w:val="en-US" w:eastAsia="zh-CN" w:bidi="ar-SA"/>
        </w:rPr>
        <w:t>工程实际总投资12000万元，环保投资950万元，环保投资占总投资额的百分比为7.92%，本项目污染防治措施、处理效果及投资概算表与实际情况对照见下表：</w:t>
      </w:r>
    </w:p>
    <w:p>
      <w:pPr>
        <w:widowControl/>
        <w:spacing w:line="480" w:lineRule="exact"/>
        <w:jc w:val="center"/>
        <w:rPr>
          <w:rFonts w:hint="eastAsia"/>
          <w:b/>
          <w:sz w:val="24"/>
        </w:rPr>
      </w:pPr>
      <w:bookmarkStart w:id="203" w:name="_Toc519348576"/>
      <w:r>
        <w:rPr>
          <w:rFonts w:hAnsi="宋体"/>
          <w:b/>
          <w:sz w:val="24"/>
        </w:rPr>
        <w:t>表4.</w:t>
      </w:r>
      <w:bookmarkEnd w:id="203"/>
      <w:r>
        <w:rPr>
          <w:rFonts w:hint="eastAsia" w:hAnsi="宋体"/>
          <w:b/>
          <w:sz w:val="24"/>
          <w:lang w:val="en-US" w:eastAsia="zh-CN"/>
        </w:rPr>
        <w:t>5</w:t>
      </w:r>
      <w:r>
        <w:rPr>
          <w:rFonts w:hint="eastAsia" w:hAnsi="宋体"/>
          <w:b/>
          <w:sz w:val="24"/>
        </w:rPr>
        <w:t xml:space="preserve">  </w:t>
      </w:r>
      <w:bookmarkStart w:id="204" w:name="_Toc8179"/>
      <w:bookmarkStart w:id="205" w:name="_Toc515359827"/>
      <w:bookmarkStart w:id="206" w:name="_Toc14932"/>
      <w:bookmarkStart w:id="207" w:name="_Toc500944446"/>
      <w:bookmarkStart w:id="208" w:name="_Toc10569"/>
      <w:bookmarkStart w:id="209" w:name="_Toc7217"/>
      <w:bookmarkStart w:id="210" w:name="_Toc21398"/>
      <w:bookmarkStart w:id="211" w:name="_Toc515360801"/>
      <w:bookmarkStart w:id="212" w:name="_Toc501715348"/>
      <w:r>
        <w:rPr>
          <w:rFonts w:hint="eastAsia"/>
          <w:b/>
          <w:sz w:val="24"/>
        </w:rPr>
        <w:t>实际</w:t>
      </w:r>
      <w:r>
        <w:rPr>
          <w:b/>
          <w:sz w:val="24"/>
        </w:rPr>
        <w:t>环保投资</w:t>
      </w:r>
      <w:r>
        <w:rPr>
          <w:rFonts w:hint="eastAsia"/>
          <w:b/>
          <w:sz w:val="24"/>
        </w:rPr>
        <w:t>及“三同时”落实</w:t>
      </w:r>
      <w:r>
        <w:rPr>
          <w:b/>
          <w:sz w:val="24"/>
        </w:rPr>
        <w:t>情况一览</w:t>
      </w:r>
      <w:r>
        <w:rPr>
          <w:rFonts w:hint="eastAsia"/>
          <w:b/>
          <w:sz w:val="24"/>
        </w:rPr>
        <w:t>表</w:t>
      </w:r>
    </w:p>
    <w:tbl>
      <w:tblPr>
        <w:tblStyle w:val="31"/>
        <w:tblW w:w="516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58"/>
        <w:gridCol w:w="541"/>
        <w:gridCol w:w="589"/>
        <w:gridCol w:w="2706"/>
        <w:gridCol w:w="848"/>
        <w:gridCol w:w="2814"/>
        <w:gridCol w:w="8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50"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b/>
                <w:sz w:val="21"/>
                <w:szCs w:val="21"/>
              </w:rPr>
            </w:pPr>
            <w:r>
              <w:rPr>
                <w:rFonts w:hint="default" w:ascii="Times New Roman" w:hAnsi="Times New Roman" w:cs="Times New Roman"/>
                <w:b/>
                <w:w w:val="100"/>
                <w:sz w:val="21"/>
                <w:szCs w:val="21"/>
              </w:rPr>
              <w:t>序</w:t>
            </w:r>
          </w:p>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b/>
                <w:sz w:val="21"/>
                <w:szCs w:val="21"/>
              </w:rPr>
            </w:pPr>
            <w:r>
              <w:rPr>
                <w:rFonts w:hint="default" w:ascii="Times New Roman" w:hAnsi="Times New Roman" w:cs="Times New Roman"/>
                <w:b/>
                <w:w w:val="100"/>
                <w:sz w:val="21"/>
                <w:szCs w:val="21"/>
              </w:rPr>
              <w:t>号</w:t>
            </w:r>
          </w:p>
        </w:tc>
        <w:tc>
          <w:tcPr>
            <w:tcW w:w="315"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b/>
                <w:sz w:val="21"/>
                <w:szCs w:val="21"/>
              </w:rPr>
            </w:pPr>
            <w:r>
              <w:rPr>
                <w:rFonts w:hint="default" w:ascii="Times New Roman" w:hAnsi="Times New Roman" w:cs="Times New Roman"/>
                <w:b/>
                <w:sz w:val="21"/>
                <w:szCs w:val="21"/>
              </w:rPr>
              <w:t>项目名</w:t>
            </w:r>
          </w:p>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b/>
                <w:sz w:val="21"/>
                <w:szCs w:val="21"/>
              </w:rPr>
            </w:pPr>
            <w:r>
              <w:rPr>
                <w:rFonts w:hint="default" w:ascii="Times New Roman" w:hAnsi="Times New Roman" w:cs="Times New Roman"/>
                <w:b/>
                <w:w w:val="100"/>
                <w:sz w:val="21"/>
                <w:szCs w:val="21"/>
              </w:rPr>
              <w:t>称</w:t>
            </w:r>
          </w:p>
        </w:tc>
        <w:tc>
          <w:tcPr>
            <w:tcW w:w="1917" w:type="pct"/>
            <w:gridSpan w:val="2"/>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b/>
                <w:sz w:val="21"/>
                <w:szCs w:val="21"/>
              </w:rPr>
            </w:pPr>
            <w:r>
              <w:rPr>
                <w:rFonts w:hint="default" w:ascii="Times New Roman" w:hAnsi="Times New Roman" w:eastAsia="宋体" w:cs="Times New Roman"/>
                <w:b/>
                <w:sz w:val="21"/>
                <w:szCs w:val="21"/>
                <w:lang w:eastAsia="zh-CN"/>
              </w:rPr>
              <w:t>环评申报</w:t>
            </w:r>
            <w:r>
              <w:rPr>
                <w:rFonts w:hint="default" w:ascii="Times New Roman" w:hAnsi="Times New Roman" w:cs="Times New Roman"/>
                <w:b/>
                <w:sz w:val="21"/>
                <w:szCs w:val="21"/>
              </w:rPr>
              <w:t>内容</w:t>
            </w:r>
          </w:p>
        </w:tc>
        <w:tc>
          <w:tcPr>
            <w:tcW w:w="494"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sz w:val="21"/>
                <w:szCs w:val="21"/>
                <w:lang w:eastAsia="zh-CN"/>
              </w:rPr>
            </w:pPr>
            <w:r>
              <w:rPr>
                <w:rFonts w:hint="default" w:ascii="Times New Roman" w:hAnsi="Times New Roman" w:eastAsia="宋体" w:cs="Times New Roman"/>
                <w:b/>
                <w:sz w:val="21"/>
                <w:szCs w:val="21"/>
                <w:lang w:eastAsia="zh-CN"/>
              </w:rPr>
              <w:t>环评申报投资（万元）</w:t>
            </w:r>
          </w:p>
        </w:tc>
        <w:tc>
          <w:tcPr>
            <w:tcW w:w="1639"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sz w:val="21"/>
                <w:szCs w:val="21"/>
                <w:lang w:eastAsia="zh-CN"/>
              </w:rPr>
            </w:pPr>
            <w:r>
              <w:rPr>
                <w:rFonts w:hint="default" w:ascii="Times New Roman" w:hAnsi="Times New Roman" w:eastAsia="宋体" w:cs="Times New Roman"/>
                <w:b/>
                <w:sz w:val="21"/>
                <w:szCs w:val="21"/>
                <w:lang w:eastAsia="zh-CN"/>
              </w:rPr>
              <w:t>实际建设内容</w:t>
            </w:r>
          </w:p>
        </w:tc>
        <w:tc>
          <w:tcPr>
            <w:tcW w:w="481"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sz w:val="21"/>
                <w:szCs w:val="21"/>
                <w:lang w:eastAsia="zh-CN"/>
              </w:rPr>
            </w:pPr>
            <w:r>
              <w:rPr>
                <w:rFonts w:hint="default" w:ascii="Times New Roman" w:hAnsi="Times New Roman" w:eastAsia="宋体" w:cs="Times New Roman"/>
                <w:b/>
                <w:sz w:val="21"/>
                <w:szCs w:val="21"/>
                <w:lang w:eastAsia="zh-CN"/>
              </w:rPr>
              <w:t>实际投资（万元）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50" w:type="pct"/>
            <w:vMerge w:val="restar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sz w:val="21"/>
                <w:szCs w:val="21"/>
              </w:rPr>
            </w:pPr>
            <w:r>
              <w:rPr>
                <w:rFonts w:hint="default" w:ascii="Times New Roman" w:hAnsi="Times New Roman" w:cs="Times New Roman"/>
                <w:w w:val="100"/>
                <w:sz w:val="21"/>
                <w:szCs w:val="21"/>
              </w:rPr>
              <w:t>1</w:t>
            </w:r>
          </w:p>
        </w:tc>
        <w:tc>
          <w:tcPr>
            <w:tcW w:w="315" w:type="pct"/>
            <w:vMerge w:val="restar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sz w:val="21"/>
                <w:szCs w:val="21"/>
              </w:rPr>
            </w:pPr>
            <w:r>
              <w:rPr>
                <w:rFonts w:hint="eastAsia" w:ascii="Times New Roman" w:hAnsi="Times New Roman" w:cs="Times New Roman"/>
                <w:sz w:val="21"/>
                <w:szCs w:val="21"/>
                <w:lang w:eastAsia="zh-CN"/>
              </w:rPr>
              <w:t>废水</w:t>
            </w:r>
            <w:r>
              <w:rPr>
                <w:rFonts w:hint="default" w:ascii="Times New Roman" w:hAnsi="Times New Roman" w:cs="Times New Roman"/>
                <w:sz w:val="21"/>
                <w:szCs w:val="21"/>
              </w:rPr>
              <w:t>治理</w:t>
            </w:r>
          </w:p>
        </w:tc>
        <w:tc>
          <w:tcPr>
            <w:tcW w:w="343" w:type="pct"/>
            <w:vAlign w:val="center"/>
          </w:tcPr>
          <w:p>
            <w:pPr>
              <w:widowControl/>
              <w:autoSpaceDE w:val="0"/>
              <w:autoSpaceDN w:val="0"/>
              <w:jc w:val="center"/>
              <w:rPr>
                <w:rFonts w:hint="default" w:ascii="Times New Roman" w:hAnsi="Times New Roman" w:cs="Times New Roman" w:eastAsiaTheme="minorEastAsia"/>
                <w:color w:val="000000"/>
                <w:spacing w:val="0"/>
                <w:w w:val="100"/>
                <w:kern w:val="2"/>
                <w:position w:val="0"/>
                <w:sz w:val="21"/>
                <w:szCs w:val="21"/>
                <w:highlight w:val="none"/>
                <w:lang w:val="en-US" w:eastAsia="zh-CN" w:bidi="ar-SA"/>
              </w:rPr>
            </w:pPr>
            <w:r>
              <w:rPr>
                <w:rFonts w:hint="default" w:ascii="Times New Roman" w:hAnsi="Times New Roman" w:eastAsia="宋体" w:cs="Times New Roman"/>
                <w:color w:val="000000" w:themeColor="text1"/>
                <w:szCs w:val="21"/>
                <w14:textFill>
                  <w14:solidFill>
                    <w14:schemeClr w14:val="tx1"/>
                  </w14:solidFill>
                </w14:textFill>
              </w:rPr>
              <w:t>生产废水</w:t>
            </w:r>
          </w:p>
        </w:tc>
        <w:tc>
          <w:tcPr>
            <w:tcW w:w="1573" w:type="pct"/>
            <w:vAlign w:val="center"/>
          </w:tcPr>
          <w:p>
            <w:pPr>
              <w:widowControl/>
              <w:autoSpaceDE w:val="0"/>
              <w:autoSpaceDN w:val="0"/>
              <w:jc w:val="center"/>
              <w:rPr>
                <w:rFonts w:hint="default" w:ascii="Times New Roman" w:hAnsi="Times New Roman" w:cs="Times New Roman" w:eastAsiaTheme="minorEastAsia"/>
                <w:color w:val="auto"/>
                <w:spacing w:val="0"/>
                <w:w w:val="100"/>
                <w:kern w:val="2"/>
                <w:position w:val="0"/>
                <w:sz w:val="21"/>
                <w:szCs w:val="21"/>
                <w:highlight w:val="none"/>
                <w:lang w:val="en-US" w:eastAsia="zh-CN" w:bidi="ar-SA"/>
              </w:rPr>
            </w:pPr>
            <w:r>
              <w:rPr>
                <w:rFonts w:hint="default" w:ascii="Times New Roman" w:hAnsi="Times New Roman" w:eastAsia="宋体" w:cs="Times New Roman"/>
                <w:color w:val="auto"/>
                <w:szCs w:val="21"/>
              </w:rPr>
              <w:t>1 套废水处理设施，</w:t>
            </w:r>
            <w:r>
              <w:rPr>
                <w:rFonts w:hint="default" w:ascii="Times New Roman" w:hAnsi="Times New Roman" w:eastAsia="宋体" w:cs="Times New Roman"/>
                <w:color w:val="auto"/>
                <w:sz w:val="21"/>
                <w:szCs w:val="21"/>
                <w:lang w:val="en-US" w:eastAsia="zh-CN"/>
              </w:rPr>
              <w:t>处理工艺：中和曝气+氧化+压滤，处理规模：50t/d</w:t>
            </w:r>
          </w:p>
        </w:tc>
        <w:tc>
          <w:tcPr>
            <w:tcW w:w="494" w:type="pct"/>
            <w:vAlign w:val="center"/>
          </w:tcPr>
          <w:p>
            <w:pPr>
              <w:widowControl/>
              <w:autoSpaceDE w:val="0"/>
              <w:autoSpaceDN w:val="0"/>
              <w:jc w:val="center"/>
              <w:rPr>
                <w:rFonts w:hint="default" w:ascii="Times New Roman" w:hAnsi="Times New Roman" w:cs="Times New Roman" w:eastAsiaTheme="minorEastAsia"/>
                <w:color w:val="auto"/>
                <w:spacing w:val="0"/>
                <w:w w:val="100"/>
                <w:kern w:val="2"/>
                <w:position w:val="0"/>
                <w:sz w:val="21"/>
                <w:szCs w:val="21"/>
                <w:highlight w:val="none"/>
                <w:lang w:val="en-US" w:eastAsia="zh-CN" w:bidi="ar-SA"/>
              </w:rPr>
            </w:pPr>
            <w:r>
              <w:rPr>
                <w:rFonts w:hint="default" w:ascii="Times New Roman" w:hAnsi="Times New Roman" w:eastAsia="宋体" w:cs="Times New Roman"/>
                <w:color w:val="auto"/>
                <w:szCs w:val="21"/>
                <w:lang w:val="en-US" w:eastAsia="zh-CN"/>
              </w:rPr>
              <w:t>100</w:t>
            </w:r>
          </w:p>
        </w:tc>
        <w:tc>
          <w:tcPr>
            <w:tcW w:w="1639" w:type="pct"/>
            <w:vAlign w:val="center"/>
          </w:tcPr>
          <w:p>
            <w:pPr>
              <w:widowControl/>
              <w:autoSpaceDE w:val="0"/>
              <w:autoSpaceDN w:val="0"/>
              <w:jc w:val="center"/>
              <w:rPr>
                <w:rFonts w:hint="default" w:ascii="Times New Roman" w:hAnsi="Times New Roman" w:cs="Times New Roman" w:eastAsiaTheme="minorEastAsia"/>
                <w:color w:val="auto"/>
                <w:spacing w:val="0"/>
                <w:w w:val="100"/>
                <w:kern w:val="2"/>
                <w:position w:val="0"/>
                <w:sz w:val="21"/>
                <w:szCs w:val="21"/>
                <w:highlight w:val="none"/>
                <w:lang w:val="en-US" w:eastAsia="zh-CN" w:bidi="ar-SA"/>
              </w:rPr>
            </w:pPr>
            <w:r>
              <w:rPr>
                <w:rFonts w:hint="default" w:ascii="Times New Roman" w:hAnsi="Times New Roman" w:eastAsia="宋体" w:cs="Times New Roman"/>
                <w:color w:val="auto"/>
                <w:szCs w:val="21"/>
              </w:rPr>
              <w:t>1 套废水处理设施，</w:t>
            </w:r>
            <w:r>
              <w:rPr>
                <w:rFonts w:hint="default" w:ascii="Times New Roman" w:hAnsi="Times New Roman" w:eastAsia="宋体" w:cs="Times New Roman"/>
                <w:color w:val="auto"/>
                <w:sz w:val="21"/>
                <w:szCs w:val="21"/>
                <w:lang w:val="en-US" w:eastAsia="zh-CN"/>
              </w:rPr>
              <w:t>处理工艺：中和曝气+氧化+压滤，处理规模：50t/d</w:t>
            </w:r>
          </w:p>
        </w:tc>
        <w:tc>
          <w:tcPr>
            <w:tcW w:w="481" w:type="pct"/>
            <w:vAlign w:val="center"/>
          </w:tcPr>
          <w:p>
            <w:pPr>
              <w:widowControl/>
              <w:autoSpaceDE w:val="0"/>
              <w:autoSpaceDN w:val="0"/>
              <w:jc w:val="center"/>
              <w:rPr>
                <w:rFonts w:hint="default" w:ascii="Times New Roman" w:hAnsi="Times New Roman" w:cs="Times New Roman" w:eastAsiaTheme="minorEastAsia"/>
                <w:color w:val="000000"/>
                <w:spacing w:val="0"/>
                <w:w w:val="100"/>
                <w:kern w:val="2"/>
                <w:position w:val="0"/>
                <w:sz w:val="21"/>
                <w:szCs w:val="21"/>
                <w:highlight w:val="none"/>
                <w:lang w:val="en-US" w:eastAsia="zh-CN" w:bidi="ar-SA"/>
              </w:rPr>
            </w:pPr>
            <w:r>
              <w:rPr>
                <w:rFonts w:hint="default" w:ascii="Times New Roman" w:hAnsi="Times New Roman" w:eastAsia="宋体" w:cs="Times New Roman"/>
                <w:color w:val="000000" w:themeColor="text1"/>
                <w:szCs w:val="21"/>
                <w:lang w:val="en-US" w:eastAsia="zh-CN"/>
                <w14:textFill>
                  <w14:solidFill>
                    <w14:schemeClr w14:val="tx1"/>
                  </w14:solidFill>
                </w14:textFill>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50" w:type="pct"/>
            <w:vMerge w:val="continue"/>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w w:val="100"/>
                <w:sz w:val="21"/>
                <w:szCs w:val="21"/>
              </w:rPr>
            </w:pPr>
          </w:p>
        </w:tc>
        <w:tc>
          <w:tcPr>
            <w:tcW w:w="315" w:type="pct"/>
            <w:vMerge w:val="continue"/>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cs="Times New Roman"/>
                <w:sz w:val="21"/>
                <w:szCs w:val="21"/>
                <w:lang w:eastAsia="zh-CN"/>
              </w:rPr>
            </w:pPr>
          </w:p>
        </w:tc>
        <w:tc>
          <w:tcPr>
            <w:tcW w:w="343" w:type="pct"/>
            <w:vAlign w:val="center"/>
          </w:tcPr>
          <w:p>
            <w:pPr>
              <w:widowControl/>
              <w:autoSpaceDE w:val="0"/>
              <w:autoSpaceDN w:val="0"/>
              <w:jc w:val="center"/>
              <w:rPr>
                <w:rFonts w:hint="default" w:ascii="Times New Roman" w:hAnsi="Times New Roman" w:cs="Times New Roman" w:eastAsiaTheme="minorEastAsia"/>
                <w:color w:val="000000"/>
                <w:spacing w:val="0"/>
                <w:w w:val="100"/>
                <w:kern w:val="2"/>
                <w:position w:val="0"/>
                <w:sz w:val="21"/>
                <w:szCs w:val="21"/>
                <w:highlight w:val="none"/>
                <w:lang w:val="en-US" w:eastAsia="zh-CN" w:bidi="ar-SA"/>
              </w:rPr>
            </w:pPr>
            <w:r>
              <w:rPr>
                <w:rFonts w:hint="default" w:ascii="Times New Roman" w:hAnsi="Times New Roman" w:eastAsia="宋体" w:cs="Times New Roman"/>
                <w:color w:val="000000" w:themeColor="text1"/>
                <w:szCs w:val="21"/>
                <w14:textFill>
                  <w14:solidFill>
                    <w14:schemeClr w14:val="tx1"/>
                  </w14:solidFill>
                </w14:textFill>
              </w:rPr>
              <w:t>生活污水</w:t>
            </w:r>
          </w:p>
        </w:tc>
        <w:tc>
          <w:tcPr>
            <w:tcW w:w="1573" w:type="pct"/>
            <w:vAlign w:val="center"/>
          </w:tcPr>
          <w:p>
            <w:pPr>
              <w:widowControl/>
              <w:autoSpaceDE w:val="0"/>
              <w:autoSpaceDN w:val="0"/>
              <w:jc w:val="center"/>
              <w:rPr>
                <w:rFonts w:hint="default" w:ascii="Times New Roman" w:hAnsi="Times New Roman" w:cs="Times New Roman" w:eastAsiaTheme="minorEastAsia"/>
                <w:color w:val="000000"/>
                <w:spacing w:val="0"/>
                <w:w w:val="100"/>
                <w:kern w:val="2"/>
                <w:position w:val="0"/>
                <w:sz w:val="21"/>
                <w:szCs w:val="21"/>
                <w:highlight w:val="none"/>
                <w:lang w:val="en-US" w:eastAsia="zh-CN" w:bidi="ar-SA"/>
              </w:rPr>
            </w:pPr>
            <w:r>
              <w:rPr>
                <w:rFonts w:hint="default" w:ascii="Times New Roman" w:hAnsi="Times New Roman" w:eastAsia="宋体" w:cs="Times New Roman"/>
                <w:color w:val="000000" w:themeColor="text1"/>
                <w:szCs w:val="21"/>
                <w14:textFill>
                  <w14:solidFill>
                    <w14:schemeClr w14:val="tx1"/>
                  </w14:solidFill>
                </w14:textFill>
              </w:rPr>
              <w:t>厂区污水管网建设、化粪池、隔油池</w:t>
            </w:r>
          </w:p>
        </w:tc>
        <w:tc>
          <w:tcPr>
            <w:tcW w:w="494" w:type="pct"/>
            <w:vAlign w:val="center"/>
          </w:tcPr>
          <w:p>
            <w:pPr>
              <w:widowControl/>
              <w:autoSpaceDE w:val="0"/>
              <w:autoSpaceDN w:val="0"/>
              <w:jc w:val="center"/>
              <w:rPr>
                <w:rFonts w:hint="eastAsia" w:ascii="Times New Roman" w:hAnsi="Times New Roman" w:cs="Times New Roman" w:eastAsiaTheme="minorEastAsia"/>
                <w:color w:val="000000"/>
                <w:spacing w:val="0"/>
                <w:w w:val="100"/>
                <w:kern w:val="2"/>
                <w:position w:val="0"/>
                <w:sz w:val="21"/>
                <w:szCs w:val="21"/>
                <w:highlight w:val="none"/>
                <w:lang w:val="en-US" w:eastAsia="zh-CN" w:bidi="ar-SA"/>
              </w:rPr>
            </w:pPr>
            <w:r>
              <w:rPr>
                <w:rFonts w:hint="default" w:ascii="Times New Roman" w:hAnsi="Times New Roman" w:eastAsia="宋体" w:cs="Times New Roman"/>
                <w:color w:val="000000" w:themeColor="text1"/>
                <w:szCs w:val="21"/>
                <w:lang w:val="en-US" w:eastAsia="zh-CN"/>
                <w14:textFill>
                  <w14:solidFill>
                    <w14:schemeClr w14:val="tx1"/>
                  </w14:solidFill>
                </w14:textFill>
              </w:rPr>
              <w:t>50</w:t>
            </w:r>
          </w:p>
        </w:tc>
        <w:tc>
          <w:tcPr>
            <w:tcW w:w="1639" w:type="pct"/>
            <w:vAlign w:val="center"/>
          </w:tcPr>
          <w:p>
            <w:pPr>
              <w:widowControl/>
              <w:autoSpaceDE w:val="0"/>
              <w:autoSpaceDN w:val="0"/>
              <w:jc w:val="center"/>
              <w:rPr>
                <w:rFonts w:hint="eastAsia" w:ascii="Times New Roman" w:hAnsi="Times New Roman" w:cs="Times New Roman" w:eastAsiaTheme="minorEastAsia"/>
                <w:color w:val="000000"/>
                <w:spacing w:val="0"/>
                <w:w w:val="100"/>
                <w:kern w:val="2"/>
                <w:position w:val="0"/>
                <w:sz w:val="21"/>
                <w:szCs w:val="21"/>
                <w:highlight w:val="none"/>
                <w:lang w:val="en-US" w:eastAsia="zh-CN" w:bidi="ar-SA"/>
              </w:rPr>
            </w:pPr>
            <w:r>
              <w:rPr>
                <w:rFonts w:hint="default" w:ascii="Times New Roman" w:hAnsi="Times New Roman" w:eastAsia="宋体" w:cs="Times New Roman"/>
                <w:color w:val="000000" w:themeColor="text1"/>
                <w:szCs w:val="21"/>
                <w14:textFill>
                  <w14:solidFill>
                    <w14:schemeClr w14:val="tx1"/>
                  </w14:solidFill>
                </w14:textFill>
              </w:rPr>
              <w:t>厂区污水管网建设、化粪池、隔油池</w:t>
            </w:r>
          </w:p>
        </w:tc>
        <w:tc>
          <w:tcPr>
            <w:tcW w:w="481" w:type="pct"/>
            <w:vAlign w:val="center"/>
          </w:tcPr>
          <w:p>
            <w:pPr>
              <w:widowControl/>
              <w:autoSpaceDE w:val="0"/>
              <w:autoSpaceDN w:val="0"/>
              <w:jc w:val="center"/>
              <w:rPr>
                <w:rFonts w:hint="eastAsia" w:ascii="Times New Roman" w:hAnsi="Times New Roman" w:cs="Times New Roman" w:eastAsiaTheme="minorEastAsia"/>
                <w:color w:val="000000"/>
                <w:spacing w:val="0"/>
                <w:w w:val="100"/>
                <w:kern w:val="2"/>
                <w:position w:val="0"/>
                <w:sz w:val="21"/>
                <w:szCs w:val="21"/>
                <w:highlight w:val="none"/>
                <w:lang w:val="en-US" w:eastAsia="zh-CN" w:bidi="ar-SA"/>
              </w:rPr>
            </w:pPr>
            <w:r>
              <w:rPr>
                <w:rFonts w:hint="default" w:ascii="Times New Roman" w:hAnsi="Times New Roman" w:eastAsia="宋体" w:cs="Times New Roman"/>
                <w:color w:val="000000" w:themeColor="text1"/>
                <w:szCs w:val="21"/>
                <w:lang w:val="en-US" w:eastAsia="zh-CN"/>
                <w14:textFill>
                  <w14:solidFill>
                    <w14:schemeClr w14:val="tx1"/>
                  </w14:solidFill>
                </w14:textFill>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0" w:type="pct"/>
            <w:vMerge w:val="restar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sz w:val="21"/>
                <w:szCs w:val="21"/>
              </w:rPr>
            </w:pPr>
            <w:r>
              <w:rPr>
                <w:rFonts w:hint="default" w:ascii="Times New Roman" w:hAnsi="Times New Roman" w:cs="Times New Roman"/>
                <w:w w:val="100"/>
                <w:sz w:val="21"/>
                <w:szCs w:val="21"/>
              </w:rPr>
              <w:t>2</w:t>
            </w:r>
          </w:p>
        </w:tc>
        <w:tc>
          <w:tcPr>
            <w:tcW w:w="315" w:type="pct"/>
            <w:vMerge w:val="restar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大气防治</w:t>
            </w:r>
          </w:p>
        </w:tc>
        <w:tc>
          <w:tcPr>
            <w:tcW w:w="343" w:type="pct"/>
            <w:vAlign w:val="center"/>
          </w:tcPr>
          <w:p>
            <w:pPr>
              <w:widowControl/>
              <w:jc w:val="center"/>
              <w:rPr>
                <w:rFonts w:hint="default" w:ascii="Times New Roman" w:hAnsi="Times New Roman" w:cs="Times New Roman" w:eastAsiaTheme="minorEastAsia"/>
                <w:color w:val="000000"/>
                <w:spacing w:val="0"/>
                <w:w w:val="100"/>
                <w:position w:val="0"/>
                <w:sz w:val="21"/>
                <w:szCs w:val="21"/>
                <w:highlight w:val="none"/>
                <w:lang w:val="en-US" w:eastAsia="zh-CN"/>
              </w:rPr>
            </w:pPr>
            <w:r>
              <w:rPr>
                <w:rFonts w:hint="default" w:ascii="Times New Roman" w:hAnsi="Times New Roman" w:eastAsia="宋体" w:cs="Times New Roman"/>
                <w:color w:val="000000" w:themeColor="text1"/>
                <w:szCs w:val="21"/>
                <w:lang w:eastAsia="zh-CN"/>
                <w14:textFill>
                  <w14:solidFill>
                    <w14:schemeClr w14:val="tx1"/>
                  </w14:solidFill>
                </w14:textFill>
              </w:rPr>
              <w:t>酸洗池</w:t>
            </w:r>
            <w:r>
              <w:rPr>
                <w:rFonts w:hint="default" w:ascii="Times New Roman" w:hAnsi="Times New Roman" w:eastAsia="宋体" w:cs="Times New Roman"/>
                <w:color w:val="000000" w:themeColor="text1"/>
                <w:szCs w:val="21"/>
                <w14:textFill>
                  <w14:solidFill>
                    <w14:schemeClr w14:val="tx1"/>
                  </w14:solidFill>
                </w14:textFill>
              </w:rPr>
              <w:t>、</w:t>
            </w:r>
            <w:r>
              <w:rPr>
                <w:rFonts w:hint="default" w:ascii="Times New Roman" w:hAnsi="Times New Roman" w:eastAsia="宋体" w:cs="Times New Roman"/>
                <w:color w:val="000000" w:themeColor="text1"/>
                <w:szCs w:val="21"/>
                <w:lang w:eastAsia="zh-CN"/>
                <w14:textFill>
                  <w14:solidFill>
                    <w14:schemeClr w14:val="tx1"/>
                  </w14:solidFill>
                </w14:textFill>
              </w:rPr>
              <w:t>助镀池</w:t>
            </w:r>
            <w:r>
              <w:rPr>
                <w:rFonts w:hint="default" w:ascii="Times New Roman" w:hAnsi="Times New Roman" w:eastAsia="宋体" w:cs="Times New Roman"/>
                <w:color w:val="000000" w:themeColor="text1"/>
                <w:szCs w:val="21"/>
                <w14:textFill>
                  <w14:solidFill>
                    <w14:schemeClr w14:val="tx1"/>
                  </w14:solidFill>
                </w14:textFill>
              </w:rPr>
              <w:t>废气</w:t>
            </w:r>
          </w:p>
        </w:tc>
        <w:tc>
          <w:tcPr>
            <w:tcW w:w="1573" w:type="pct"/>
            <w:vAlign w:val="center"/>
          </w:tcPr>
          <w:p>
            <w:pPr>
              <w:pStyle w:val="38"/>
              <w:adjustRightInd/>
              <w:spacing w:line="240" w:lineRule="auto"/>
              <w:ind w:firstLine="0" w:firstLineChars="0"/>
              <w:jc w:val="center"/>
              <w:rPr>
                <w:rFonts w:hint="default" w:ascii="Times New Roman" w:hAnsi="Times New Roman" w:cs="Times New Roman" w:eastAsiaTheme="minorEastAsia"/>
                <w:color w:val="000000"/>
                <w:spacing w:val="0"/>
                <w:w w:val="100"/>
                <w:position w:val="0"/>
                <w:sz w:val="21"/>
                <w:szCs w:val="21"/>
                <w:highlight w:val="none"/>
                <w:lang w:val="en-US" w:eastAsia="zh-CN"/>
              </w:rPr>
            </w:pPr>
            <w:r>
              <w:rPr>
                <w:rFonts w:hint="default" w:ascii="Times New Roman" w:hAnsi="Times New Roman" w:eastAsia="宋体" w:cs="Times New Roman"/>
                <w:color w:val="000000" w:themeColor="text1"/>
                <w:sz w:val="21"/>
                <w:szCs w:val="21"/>
                <w:lang w:eastAsia="zh-CN"/>
                <w14:textFill>
                  <w14:solidFill>
                    <w14:schemeClr w14:val="tx1"/>
                  </w14:solidFill>
                </w14:textFill>
              </w:rPr>
              <w:t>酸洗池</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default" w:ascii="Times New Roman" w:hAnsi="Times New Roman" w:eastAsia="宋体" w:cs="Times New Roman"/>
                <w:color w:val="000000" w:themeColor="text1"/>
                <w:sz w:val="21"/>
                <w:szCs w:val="21"/>
                <w:lang w:eastAsia="zh-CN"/>
                <w14:textFill>
                  <w14:solidFill>
                    <w14:schemeClr w14:val="tx1"/>
                  </w14:solidFill>
                </w14:textFill>
              </w:rPr>
              <w:t>助镀池</w:t>
            </w:r>
            <w:r>
              <w:rPr>
                <w:rFonts w:hint="default" w:ascii="Times New Roman" w:hAnsi="Times New Roman" w:eastAsia="宋体" w:cs="Times New Roman"/>
                <w:color w:val="000000" w:themeColor="text1"/>
                <w:sz w:val="21"/>
                <w:szCs w:val="21"/>
                <w14:textFill>
                  <w14:solidFill>
                    <w14:schemeClr w14:val="tx1"/>
                  </w14:solidFill>
                </w14:textFill>
              </w:rPr>
              <w:t>废气：</w:t>
            </w:r>
            <w:r>
              <w:rPr>
                <w:rFonts w:hint="default" w:ascii="Times New Roman" w:hAnsi="Times New Roman" w:eastAsia="宋体" w:cs="Times New Roman"/>
                <w:color w:val="000000" w:themeColor="text1"/>
                <w:sz w:val="21"/>
                <w:szCs w:val="21"/>
                <w:lang w:eastAsia="zh-CN"/>
                <w14:textFill>
                  <w14:solidFill>
                    <w14:schemeClr w14:val="tx1"/>
                  </w14:solidFill>
                </w14:textFill>
              </w:rPr>
              <w:t>转换坑至助镀池全部封闭形成负压系统，产生的废气经负压收集管道收集至</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2套碱液喷淋塔内（三级喷淋）后集中经1根18m高排气筒（DA001）排放</w:t>
            </w:r>
          </w:p>
        </w:tc>
        <w:tc>
          <w:tcPr>
            <w:tcW w:w="494" w:type="pct"/>
            <w:vAlign w:val="center"/>
          </w:tcPr>
          <w:p>
            <w:pPr>
              <w:widowControl/>
              <w:autoSpaceDE w:val="0"/>
              <w:autoSpaceDN w:val="0"/>
              <w:jc w:val="center"/>
              <w:rPr>
                <w:rFonts w:hint="default" w:ascii="Times New Roman" w:hAnsi="Times New Roman" w:cs="Times New Roman" w:eastAsiaTheme="minorEastAsia"/>
                <w:color w:val="000000"/>
                <w:spacing w:val="0"/>
                <w:w w:val="100"/>
                <w:position w:val="0"/>
                <w:sz w:val="21"/>
                <w:szCs w:val="21"/>
                <w:highlight w:val="none"/>
                <w:lang w:val="en-US" w:eastAsia="zh-CN"/>
              </w:rPr>
            </w:pPr>
            <w:r>
              <w:rPr>
                <w:rFonts w:hint="eastAsia" w:ascii="Times New Roman" w:hAnsi="Times New Roman" w:eastAsia="宋体" w:cs="Times New Roman"/>
                <w:color w:val="000000" w:themeColor="text1"/>
                <w:szCs w:val="21"/>
                <w:lang w:val="en-US" w:eastAsia="zh-CN"/>
                <w14:textFill>
                  <w14:solidFill>
                    <w14:schemeClr w14:val="tx1"/>
                  </w14:solidFill>
                </w14:textFill>
              </w:rPr>
              <w:t>200</w:t>
            </w:r>
          </w:p>
        </w:tc>
        <w:tc>
          <w:tcPr>
            <w:tcW w:w="1639" w:type="pct"/>
            <w:vAlign w:val="center"/>
          </w:tcPr>
          <w:p>
            <w:pPr>
              <w:pStyle w:val="38"/>
              <w:adjustRightInd/>
              <w:spacing w:line="240" w:lineRule="auto"/>
              <w:ind w:firstLine="0" w:firstLineChars="0"/>
              <w:jc w:val="center"/>
              <w:rPr>
                <w:rFonts w:hint="default" w:ascii="Times New Roman" w:hAnsi="Times New Roman" w:cs="Times New Roman" w:eastAsiaTheme="minorEastAsia"/>
                <w:color w:val="000000"/>
                <w:spacing w:val="0"/>
                <w:w w:val="100"/>
                <w:position w:val="0"/>
                <w:sz w:val="21"/>
                <w:szCs w:val="21"/>
                <w:highlight w:val="none"/>
                <w:lang w:val="en-US" w:eastAsia="zh-CN"/>
              </w:rPr>
            </w:pPr>
            <w:r>
              <w:rPr>
                <w:rFonts w:hint="default" w:ascii="Times New Roman" w:hAnsi="Times New Roman" w:eastAsia="宋体" w:cs="Times New Roman"/>
                <w:color w:val="000000" w:themeColor="text1"/>
                <w:sz w:val="21"/>
                <w:szCs w:val="21"/>
                <w:lang w:eastAsia="zh-CN"/>
                <w14:textFill>
                  <w14:solidFill>
                    <w14:schemeClr w14:val="tx1"/>
                  </w14:solidFill>
                </w14:textFill>
              </w:rPr>
              <w:t>酸洗池</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default" w:ascii="Times New Roman" w:hAnsi="Times New Roman" w:eastAsia="宋体" w:cs="Times New Roman"/>
                <w:color w:val="000000" w:themeColor="text1"/>
                <w:sz w:val="21"/>
                <w:szCs w:val="21"/>
                <w:lang w:eastAsia="zh-CN"/>
                <w14:textFill>
                  <w14:solidFill>
                    <w14:schemeClr w14:val="tx1"/>
                  </w14:solidFill>
                </w14:textFill>
              </w:rPr>
              <w:t>助镀池</w:t>
            </w:r>
            <w:r>
              <w:rPr>
                <w:rFonts w:hint="default" w:ascii="Times New Roman" w:hAnsi="Times New Roman" w:eastAsia="宋体" w:cs="Times New Roman"/>
                <w:color w:val="000000" w:themeColor="text1"/>
                <w:sz w:val="21"/>
                <w:szCs w:val="21"/>
                <w14:textFill>
                  <w14:solidFill>
                    <w14:schemeClr w14:val="tx1"/>
                  </w14:solidFill>
                </w14:textFill>
              </w:rPr>
              <w:t>废气：</w:t>
            </w:r>
            <w:r>
              <w:rPr>
                <w:rFonts w:hint="default" w:ascii="Times New Roman" w:hAnsi="Times New Roman" w:eastAsia="宋体" w:cs="Times New Roman"/>
                <w:color w:val="000000" w:themeColor="text1"/>
                <w:sz w:val="21"/>
                <w:szCs w:val="21"/>
                <w:lang w:eastAsia="zh-CN"/>
                <w14:textFill>
                  <w14:solidFill>
                    <w14:schemeClr w14:val="tx1"/>
                  </w14:solidFill>
                </w14:textFill>
              </w:rPr>
              <w:t>转换坑至助镀池全部封闭形成负压系统，产生的废气经负压收集管道收集至</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2套碱液喷淋塔内（三级喷淋）后集中经1根18m高排气筒（DA001）排放</w:t>
            </w:r>
          </w:p>
        </w:tc>
        <w:tc>
          <w:tcPr>
            <w:tcW w:w="481" w:type="pct"/>
            <w:vAlign w:val="center"/>
          </w:tcPr>
          <w:p>
            <w:pPr>
              <w:widowControl/>
              <w:autoSpaceDE w:val="0"/>
              <w:autoSpaceDN w:val="0"/>
              <w:jc w:val="center"/>
              <w:rPr>
                <w:rFonts w:hint="default" w:ascii="Times New Roman" w:hAnsi="Times New Roman" w:cs="Times New Roman" w:eastAsiaTheme="minorEastAsia"/>
                <w:color w:val="000000"/>
                <w:spacing w:val="0"/>
                <w:w w:val="100"/>
                <w:position w:val="0"/>
                <w:sz w:val="21"/>
                <w:szCs w:val="21"/>
                <w:highlight w:val="none"/>
                <w:lang w:val="en-US" w:eastAsia="zh-CN"/>
              </w:rPr>
            </w:pPr>
            <w:r>
              <w:rPr>
                <w:rFonts w:hint="eastAsia" w:ascii="Times New Roman" w:hAnsi="Times New Roman" w:eastAsia="宋体" w:cs="Times New Roman"/>
                <w:color w:val="000000" w:themeColor="text1"/>
                <w:szCs w:val="21"/>
                <w:lang w:val="en-US" w:eastAsia="zh-CN"/>
                <w14:textFill>
                  <w14:solidFill>
                    <w14:schemeClr w14:val="tx1"/>
                  </w14:solidFill>
                </w14:textFill>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0" w:type="pct"/>
            <w:vMerge w:val="continue"/>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w w:val="100"/>
                <w:sz w:val="21"/>
                <w:szCs w:val="21"/>
              </w:rPr>
            </w:pPr>
          </w:p>
        </w:tc>
        <w:tc>
          <w:tcPr>
            <w:tcW w:w="315" w:type="pct"/>
            <w:vMerge w:val="continue"/>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sz w:val="21"/>
                <w:szCs w:val="21"/>
              </w:rPr>
            </w:pPr>
          </w:p>
        </w:tc>
        <w:tc>
          <w:tcPr>
            <w:tcW w:w="343" w:type="pct"/>
            <w:vAlign w:val="center"/>
          </w:tcPr>
          <w:p>
            <w:pPr>
              <w:widowControl/>
              <w:jc w:val="center"/>
              <w:rPr>
                <w:rFonts w:hint="default" w:ascii="Times New Roman" w:hAnsi="Times New Roman" w:cs="Times New Roman" w:eastAsiaTheme="minorEastAsia"/>
                <w:color w:val="000000"/>
                <w:spacing w:val="0"/>
                <w:w w:val="100"/>
                <w:position w:val="0"/>
                <w:sz w:val="21"/>
                <w:szCs w:val="21"/>
                <w:highlight w:val="none"/>
                <w:lang w:val="en-US" w:eastAsia="zh-CN"/>
              </w:rPr>
            </w:pPr>
            <w:r>
              <w:rPr>
                <w:rFonts w:hint="default" w:ascii="Times New Roman" w:hAnsi="Times New Roman" w:eastAsia="宋体" w:cs="Times New Roman"/>
                <w:color w:val="000000" w:themeColor="text1"/>
                <w:szCs w:val="21"/>
                <w14:textFill>
                  <w14:solidFill>
                    <w14:schemeClr w14:val="tx1"/>
                  </w14:solidFill>
                </w14:textFill>
              </w:rPr>
              <w:t>锌锅废气</w:t>
            </w:r>
          </w:p>
        </w:tc>
        <w:tc>
          <w:tcPr>
            <w:tcW w:w="1573" w:type="pct"/>
            <w:vAlign w:val="center"/>
          </w:tcPr>
          <w:p>
            <w:pPr>
              <w:pStyle w:val="38"/>
              <w:adjustRightInd/>
              <w:spacing w:line="240" w:lineRule="auto"/>
              <w:ind w:firstLine="0" w:firstLineChars="0"/>
              <w:jc w:val="center"/>
              <w:rPr>
                <w:rFonts w:hint="default" w:ascii="Times New Roman" w:hAnsi="Times New Roman" w:cs="Times New Roman" w:eastAsiaTheme="minorEastAsia"/>
                <w:color w:val="000000"/>
                <w:spacing w:val="0"/>
                <w:w w:val="100"/>
                <w:position w:val="0"/>
                <w:sz w:val="21"/>
                <w:szCs w:val="21"/>
                <w:highlight w:val="none"/>
                <w:lang w:val="en-US" w:eastAsia="zh-CN"/>
              </w:rPr>
            </w:pPr>
            <w:r>
              <w:rPr>
                <w:rFonts w:hint="default" w:ascii="Times New Roman" w:hAnsi="Times New Roman" w:eastAsia="宋体" w:cs="Times New Roman"/>
                <w:color w:val="000000" w:themeColor="text1"/>
                <w:sz w:val="21"/>
                <w:szCs w:val="21"/>
                <w14:textFill>
                  <w14:solidFill>
                    <w14:schemeClr w14:val="tx1"/>
                  </w14:solidFill>
                </w14:textFill>
              </w:rPr>
              <w:t>通过锌锅顶部两侧安装负压吸风口及</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配套</w:t>
            </w:r>
            <w:r>
              <w:rPr>
                <w:rFonts w:hint="default" w:ascii="Times New Roman" w:hAnsi="Times New Roman" w:eastAsia="宋体" w:cs="Times New Roman"/>
                <w:color w:val="000000" w:themeColor="text1"/>
                <w:sz w:val="21"/>
                <w:szCs w:val="21"/>
                <w14:textFill>
                  <w14:solidFill>
                    <w14:schemeClr w14:val="tx1"/>
                  </w14:solidFill>
                </w14:textFill>
              </w:rPr>
              <w:t>弧形板</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及封闭柔性罩</w:t>
            </w:r>
            <w:r>
              <w:rPr>
                <w:rFonts w:hint="default" w:ascii="Times New Roman" w:hAnsi="Times New Roman" w:eastAsia="宋体" w:cs="Times New Roman"/>
                <w:color w:val="000000" w:themeColor="text1"/>
                <w:sz w:val="21"/>
                <w:szCs w:val="21"/>
                <w14:textFill>
                  <w14:solidFill>
                    <w14:schemeClr w14:val="tx1"/>
                  </w14:solidFill>
                </w14:textFill>
              </w:rPr>
              <w:t>，产生的锌烟经负压收集至布袋除尘器内处理后通过1根18m高排气筒（DA002）排放</w:t>
            </w:r>
          </w:p>
        </w:tc>
        <w:tc>
          <w:tcPr>
            <w:tcW w:w="494" w:type="pct"/>
            <w:vAlign w:val="center"/>
          </w:tcPr>
          <w:p>
            <w:pPr>
              <w:widowControl/>
              <w:autoSpaceDE w:val="0"/>
              <w:autoSpaceDN w:val="0"/>
              <w:jc w:val="center"/>
              <w:rPr>
                <w:rFonts w:hint="default" w:ascii="Times New Roman" w:hAnsi="Times New Roman" w:cs="Times New Roman" w:eastAsiaTheme="minorEastAsia"/>
                <w:color w:val="000000"/>
                <w:spacing w:val="0"/>
                <w:w w:val="100"/>
                <w:position w:val="0"/>
                <w:sz w:val="21"/>
                <w:szCs w:val="21"/>
                <w:highlight w:val="none"/>
                <w:lang w:val="en-US" w:eastAsia="zh-CN"/>
              </w:rPr>
            </w:pPr>
            <w:r>
              <w:rPr>
                <w:rFonts w:hint="default" w:ascii="Times New Roman" w:hAnsi="Times New Roman" w:eastAsia="宋体" w:cs="Times New Roman"/>
                <w:color w:val="000000" w:themeColor="text1"/>
                <w:szCs w:val="21"/>
                <w:lang w:val="en-US" w:eastAsia="zh-CN"/>
                <w14:textFill>
                  <w14:solidFill>
                    <w14:schemeClr w14:val="tx1"/>
                  </w14:solidFill>
                </w14:textFill>
              </w:rPr>
              <w:t>300</w:t>
            </w:r>
          </w:p>
        </w:tc>
        <w:tc>
          <w:tcPr>
            <w:tcW w:w="1639" w:type="pct"/>
            <w:vAlign w:val="center"/>
          </w:tcPr>
          <w:p>
            <w:pPr>
              <w:pStyle w:val="38"/>
              <w:adjustRightInd/>
              <w:spacing w:line="240" w:lineRule="auto"/>
              <w:ind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通过锌锅顶部两侧安装负压吸风口及</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配套</w:t>
            </w:r>
            <w:r>
              <w:rPr>
                <w:rFonts w:hint="default" w:ascii="Times New Roman" w:hAnsi="Times New Roman" w:eastAsia="宋体" w:cs="Times New Roman"/>
                <w:color w:val="000000" w:themeColor="text1"/>
                <w:sz w:val="21"/>
                <w:szCs w:val="21"/>
                <w14:textFill>
                  <w14:solidFill>
                    <w14:schemeClr w14:val="tx1"/>
                  </w14:solidFill>
                </w14:textFill>
              </w:rPr>
              <w:t>弧形板，产生的锌烟经负压收集至布袋除尘器内处理后通过1根18m高排气筒（DA002）排放</w:t>
            </w:r>
          </w:p>
        </w:tc>
        <w:tc>
          <w:tcPr>
            <w:tcW w:w="481" w:type="pct"/>
            <w:vAlign w:val="center"/>
          </w:tcPr>
          <w:p>
            <w:pPr>
              <w:pStyle w:val="38"/>
              <w:adjustRightIn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0" w:type="pct"/>
            <w:vMerge w:val="continue"/>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w w:val="100"/>
                <w:sz w:val="21"/>
                <w:szCs w:val="21"/>
              </w:rPr>
            </w:pPr>
          </w:p>
        </w:tc>
        <w:tc>
          <w:tcPr>
            <w:tcW w:w="315" w:type="pct"/>
            <w:vMerge w:val="continue"/>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sz w:val="21"/>
                <w:szCs w:val="21"/>
              </w:rPr>
            </w:pPr>
          </w:p>
        </w:tc>
        <w:tc>
          <w:tcPr>
            <w:tcW w:w="343" w:type="pct"/>
            <w:vAlign w:val="center"/>
          </w:tcPr>
          <w:p>
            <w:pPr>
              <w:widowControl/>
              <w:jc w:val="center"/>
              <w:rPr>
                <w:rFonts w:hint="default" w:ascii="Times New Roman" w:hAnsi="Times New Roman" w:cs="Times New Roman" w:eastAsiaTheme="minorEastAsia"/>
                <w:color w:val="000000"/>
                <w:spacing w:val="0"/>
                <w:w w:val="100"/>
                <w:position w:val="0"/>
                <w:sz w:val="21"/>
                <w:szCs w:val="21"/>
                <w:highlight w:val="none"/>
                <w:lang w:val="en-US" w:eastAsia="zh-CN"/>
              </w:rPr>
            </w:pPr>
            <w:r>
              <w:rPr>
                <w:rFonts w:hint="default" w:ascii="Times New Roman" w:hAnsi="Times New Roman" w:eastAsia="宋体" w:cs="Times New Roman"/>
                <w:color w:val="000000" w:themeColor="text1"/>
                <w:sz w:val="21"/>
                <w:szCs w:val="21"/>
                <w14:textFill>
                  <w14:solidFill>
                    <w14:schemeClr w14:val="tx1"/>
                  </w14:solidFill>
                </w14:textFill>
              </w:rPr>
              <w:t>天然气废气</w:t>
            </w:r>
          </w:p>
        </w:tc>
        <w:tc>
          <w:tcPr>
            <w:tcW w:w="1573" w:type="pct"/>
            <w:vAlign w:val="center"/>
          </w:tcPr>
          <w:p>
            <w:pPr>
              <w:pStyle w:val="38"/>
              <w:adjustRightInd/>
              <w:spacing w:line="240" w:lineRule="auto"/>
              <w:ind w:firstLine="0" w:firstLineChars="0"/>
              <w:jc w:val="center"/>
              <w:rPr>
                <w:rFonts w:hint="default" w:ascii="Times New Roman" w:hAnsi="Times New Roman" w:cs="Times New Roman" w:eastAsiaTheme="minorEastAsia"/>
                <w:color w:val="000000"/>
                <w:spacing w:val="0"/>
                <w:w w:val="100"/>
                <w:position w:val="0"/>
                <w:sz w:val="21"/>
                <w:szCs w:val="21"/>
                <w:highlight w:val="none"/>
                <w:lang w:val="en-US" w:eastAsia="zh-CN"/>
              </w:rPr>
            </w:pPr>
            <w:r>
              <w:rPr>
                <w:rFonts w:hint="default" w:ascii="Times New Roman" w:hAnsi="Times New Roman" w:eastAsia="宋体" w:cs="Times New Roman"/>
                <w:color w:val="000000" w:themeColor="text1"/>
                <w:sz w:val="21"/>
                <w:szCs w:val="21"/>
                <w14:textFill>
                  <w14:solidFill>
                    <w14:schemeClr w14:val="tx1"/>
                  </w14:solidFill>
                </w14:textFill>
              </w:rPr>
              <w:t>天然气废气经</w:t>
            </w:r>
            <w:r>
              <w:rPr>
                <w:rFonts w:hint="default" w:ascii="Times New Roman" w:hAnsi="Times New Roman" w:eastAsia="宋体" w:cs="Times New Roman"/>
                <w:color w:val="000000" w:themeColor="text1"/>
                <w:sz w:val="21"/>
                <w:szCs w:val="21"/>
                <w:lang w:eastAsia="zh-CN"/>
                <w14:textFill>
                  <w14:solidFill>
                    <w14:schemeClr w14:val="tx1"/>
                  </w14:solidFill>
                </w14:textFill>
              </w:rPr>
              <w:t>低氮燃烧后通过</w:t>
            </w:r>
            <w:r>
              <w:rPr>
                <w:rFonts w:hint="default" w:ascii="Times New Roman" w:hAnsi="Times New Roman" w:eastAsia="宋体" w:cs="Times New Roman"/>
                <w:color w:val="000000" w:themeColor="text1"/>
                <w:sz w:val="21"/>
                <w:szCs w:val="21"/>
                <w14:textFill>
                  <w14:solidFill>
                    <w14:schemeClr w14:val="tx1"/>
                  </w14:solidFill>
                </w14:textFill>
              </w:rPr>
              <w:t>1根</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14:textFill>
                  <w14:solidFill>
                    <w14:schemeClr w14:val="tx1"/>
                  </w14:solidFill>
                </w14:textFill>
              </w:rPr>
              <w:t>8m高排气筒（DA00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）排放</w:t>
            </w:r>
          </w:p>
        </w:tc>
        <w:tc>
          <w:tcPr>
            <w:tcW w:w="494" w:type="pct"/>
            <w:vAlign w:val="center"/>
          </w:tcPr>
          <w:p>
            <w:pPr>
              <w:widowControl/>
              <w:autoSpaceDE w:val="0"/>
              <w:autoSpaceDN w:val="0"/>
              <w:jc w:val="center"/>
              <w:rPr>
                <w:rFonts w:hint="default" w:ascii="Times New Roman" w:hAnsi="Times New Roman" w:cs="Times New Roman" w:eastAsiaTheme="minorEastAsia"/>
                <w:color w:val="000000"/>
                <w:spacing w:val="0"/>
                <w:w w:val="100"/>
                <w:position w:val="0"/>
                <w:sz w:val="21"/>
                <w:szCs w:val="21"/>
                <w:highlight w:val="none"/>
                <w:lang w:val="en-US" w:eastAsia="zh-CN"/>
              </w:rPr>
            </w:pPr>
            <w:r>
              <w:rPr>
                <w:rFonts w:hint="default" w:ascii="Times New Roman" w:hAnsi="Times New Roman" w:eastAsia="宋体" w:cs="Times New Roman"/>
                <w:color w:val="000000" w:themeColor="text1"/>
                <w:szCs w:val="21"/>
                <w:lang w:val="en-US" w:eastAsia="zh-CN"/>
                <w14:textFill>
                  <w14:solidFill>
                    <w14:schemeClr w14:val="tx1"/>
                  </w14:solidFill>
                </w14:textFill>
              </w:rPr>
              <w:t>30</w:t>
            </w:r>
          </w:p>
        </w:tc>
        <w:tc>
          <w:tcPr>
            <w:tcW w:w="1639" w:type="pct"/>
            <w:vAlign w:val="center"/>
          </w:tcPr>
          <w:p>
            <w:pPr>
              <w:pStyle w:val="38"/>
              <w:adjustRightInd/>
              <w:spacing w:line="240" w:lineRule="auto"/>
              <w:ind w:firstLine="0" w:firstLineChars="0"/>
              <w:jc w:val="center"/>
              <w:rPr>
                <w:rFonts w:hint="default" w:ascii="Times New Roman" w:hAnsi="Times New Roman" w:cs="Times New Roman" w:eastAsiaTheme="minorEastAsia"/>
                <w:color w:val="000000"/>
                <w:spacing w:val="0"/>
                <w:w w:val="100"/>
                <w:position w:val="0"/>
                <w:sz w:val="21"/>
                <w:szCs w:val="21"/>
                <w:highlight w:val="none"/>
                <w:lang w:eastAsia="zh-CN"/>
              </w:rPr>
            </w:pPr>
            <w:r>
              <w:rPr>
                <w:rFonts w:hint="default" w:ascii="Times New Roman" w:hAnsi="Times New Roman" w:eastAsia="宋体" w:cs="Times New Roman"/>
                <w:color w:val="000000" w:themeColor="text1"/>
                <w:sz w:val="21"/>
                <w:szCs w:val="21"/>
                <w14:textFill>
                  <w14:solidFill>
                    <w14:schemeClr w14:val="tx1"/>
                  </w14:solidFill>
                </w14:textFill>
              </w:rPr>
              <w:t>天然气废气经</w:t>
            </w:r>
            <w:r>
              <w:rPr>
                <w:rFonts w:hint="default" w:ascii="Times New Roman" w:hAnsi="Times New Roman" w:eastAsia="宋体" w:cs="Times New Roman"/>
                <w:color w:val="000000" w:themeColor="text1"/>
                <w:sz w:val="21"/>
                <w:szCs w:val="21"/>
                <w:lang w:eastAsia="zh-CN"/>
                <w14:textFill>
                  <w14:solidFill>
                    <w14:schemeClr w14:val="tx1"/>
                  </w14:solidFill>
                </w14:textFill>
              </w:rPr>
              <w:t>低氮燃烧后通过</w:t>
            </w:r>
            <w:r>
              <w:rPr>
                <w:rFonts w:hint="default" w:ascii="Times New Roman" w:hAnsi="Times New Roman" w:eastAsia="宋体" w:cs="Times New Roman"/>
                <w:color w:val="000000" w:themeColor="text1"/>
                <w:sz w:val="21"/>
                <w:szCs w:val="21"/>
                <w14:textFill>
                  <w14:solidFill>
                    <w14:schemeClr w14:val="tx1"/>
                  </w14:solidFill>
                </w14:textFill>
              </w:rPr>
              <w:t>1根</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14:textFill>
                  <w14:solidFill>
                    <w14:schemeClr w14:val="tx1"/>
                  </w14:solidFill>
                </w14:textFill>
              </w:rPr>
              <w:t>8m高排气筒（DA00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）排放</w:t>
            </w:r>
          </w:p>
        </w:tc>
        <w:tc>
          <w:tcPr>
            <w:tcW w:w="481" w:type="pct"/>
            <w:vAlign w:val="center"/>
          </w:tcPr>
          <w:p>
            <w:pPr>
              <w:widowControl/>
              <w:autoSpaceDE w:val="0"/>
              <w:autoSpaceDN w:val="0"/>
              <w:jc w:val="center"/>
              <w:rPr>
                <w:rFonts w:hint="default" w:ascii="Times New Roman" w:hAnsi="Times New Roman" w:cs="Times New Roman" w:eastAsiaTheme="minorEastAsia"/>
                <w:color w:val="000000"/>
                <w:spacing w:val="0"/>
                <w:w w:val="100"/>
                <w:position w:val="0"/>
                <w:sz w:val="21"/>
                <w:szCs w:val="21"/>
                <w:highlight w:val="none"/>
                <w:lang w:val="en-US" w:eastAsia="zh-CN"/>
              </w:rPr>
            </w:pPr>
            <w:r>
              <w:rPr>
                <w:rFonts w:hint="default" w:ascii="Times New Roman" w:hAnsi="Times New Roman" w:eastAsia="宋体" w:cs="Times New Roman"/>
                <w:color w:val="000000" w:themeColor="text1"/>
                <w:szCs w:val="21"/>
                <w:lang w:val="en-US" w:eastAsia="zh-CN"/>
                <w14:textFill>
                  <w14:solidFill>
                    <w14:schemeClr w14:val="tx1"/>
                  </w14:solidFill>
                </w14:textFill>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50" w:type="pct"/>
            <w:vMerge w:val="restar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w w:val="100"/>
                <w:sz w:val="21"/>
                <w:szCs w:val="21"/>
              </w:rPr>
            </w:pPr>
            <w:r>
              <w:rPr>
                <w:rFonts w:hint="default" w:ascii="Times New Roman" w:hAnsi="Times New Roman" w:cs="Times New Roman"/>
                <w:w w:val="100"/>
                <w:sz w:val="21"/>
                <w:szCs w:val="21"/>
              </w:rPr>
              <w:t>3</w:t>
            </w:r>
          </w:p>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sz w:val="21"/>
                <w:szCs w:val="21"/>
              </w:rPr>
            </w:pPr>
          </w:p>
        </w:tc>
        <w:tc>
          <w:tcPr>
            <w:tcW w:w="315" w:type="pct"/>
            <w:vMerge w:val="restar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固废处理</w:t>
            </w:r>
          </w:p>
        </w:tc>
        <w:tc>
          <w:tcPr>
            <w:tcW w:w="343" w:type="pct"/>
            <w:vAlign w:val="center"/>
          </w:tcPr>
          <w:p>
            <w:pPr>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themeColor="text1"/>
                <w:szCs w:val="21"/>
                <w14:textFill>
                  <w14:solidFill>
                    <w14:schemeClr w14:val="tx1"/>
                  </w14:solidFill>
                </w14:textFill>
              </w:rPr>
              <w:t>一般工业固废</w:t>
            </w:r>
          </w:p>
        </w:tc>
        <w:tc>
          <w:tcPr>
            <w:tcW w:w="1573" w:type="pct"/>
            <w:vAlign w:val="center"/>
          </w:tcPr>
          <w:p>
            <w:pPr>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themeColor="text1"/>
                <w:szCs w:val="21"/>
                <w14:textFill>
                  <w14:solidFill>
                    <w14:schemeClr w14:val="tx1"/>
                  </w14:solidFill>
                </w14:textFill>
              </w:rPr>
              <w:t>建设一般固废临时存放场所</w:t>
            </w:r>
          </w:p>
        </w:tc>
        <w:tc>
          <w:tcPr>
            <w:tcW w:w="494" w:type="pct"/>
            <w:vMerge w:val="restar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color w:val="000000" w:themeColor="text1"/>
                <w:szCs w:val="21"/>
                <w:lang w:val="en-US" w:eastAsia="zh-CN"/>
                <w14:textFill>
                  <w14:solidFill>
                    <w14:schemeClr w14:val="tx1"/>
                  </w14:solidFill>
                </w14:textFill>
              </w:rPr>
              <w:t>50</w:t>
            </w:r>
          </w:p>
        </w:tc>
        <w:tc>
          <w:tcPr>
            <w:tcW w:w="1639" w:type="pct"/>
            <w:vAlign w:val="center"/>
          </w:tcPr>
          <w:p>
            <w:pPr>
              <w:widowControl/>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color w:val="000000" w:themeColor="text1"/>
                <w:szCs w:val="21"/>
                <w14:textFill>
                  <w14:solidFill>
                    <w14:schemeClr w14:val="tx1"/>
                  </w14:solidFill>
                </w14:textFill>
              </w:rPr>
              <w:t>建设一般固废临时存放场所</w:t>
            </w:r>
          </w:p>
        </w:tc>
        <w:tc>
          <w:tcPr>
            <w:tcW w:w="481" w:type="pct"/>
            <w:vMerge w:val="restar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50" w:type="pct"/>
            <w:vMerge w:val="continue"/>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w w:val="100"/>
                <w:sz w:val="21"/>
                <w:szCs w:val="21"/>
              </w:rPr>
            </w:pPr>
          </w:p>
        </w:tc>
        <w:tc>
          <w:tcPr>
            <w:tcW w:w="315" w:type="pct"/>
            <w:vMerge w:val="continue"/>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sz w:val="21"/>
                <w:szCs w:val="21"/>
              </w:rPr>
            </w:pPr>
          </w:p>
        </w:tc>
        <w:tc>
          <w:tcPr>
            <w:tcW w:w="343" w:type="pct"/>
            <w:vAlign w:val="center"/>
          </w:tcPr>
          <w:p>
            <w:pPr>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themeColor="text1"/>
                <w:szCs w:val="21"/>
                <w14:textFill>
                  <w14:solidFill>
                    <w14:schemeClr w14:val="tx1"/>
                  </w14:solidFill>
                </w14:textFill>
              </w:rPr>
              <w:t>危险废物</w:t>
            </w:r>
          </w:p>
        </w:tc>
        <w:tc>
          <w:tcPr>
            <w:tcW w:w="1573" w:type="pct"/>
            <w:vAlign w:val="center"/>
          </w:tcPr>
          <w:p>
            <w:pPr>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themeColor="text1"/>
                <w:szCs w:val="21"/>
                <w14:textFill>
                  <w14:solidFill>
                    <w14:schemeClr w14:val="tx1"/>
                  </w14:solidFill>
                </w14:textFill>
              </w:rPr>
              <w:t>新建危险废物暂存间，规范化收集暂存，定期委托有资质单位处置</w:t>
            </w:r>
          </w:p>
        </w:tc>
        <w:tc>
          <w:tcPr>
            <w:tcW w:w="494" w:type="pct"/>
            <w:vMerge w:val="continue"/>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eastAsia="zh-CN"/>
              </w:rPr>
            </w:pPr>
          </w:p>
        </w:tc>
        <w:tc>
          <w:tcPr>
            <w:tcW w:w="1639" w:type="pct"/>
            <w:vAlign w:val="center"/>
          </w:tcPr>
          <w:p>
            <w:pPr>
              <w:widowControl/>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color w:val="000000" w:themeColor="text1"/>
                <w:szCs w:val="21"/>
                <w14:textFill>
                  <w14:solidFill>
                    <w14:schemeClr w14:val="tx1"/>
                  </w14:solidFill>
                </w14:textFill>
              </w:rPr>
              <w:t>新建危险废物暂存间，规范化收集暂存，定期委托有资质单位处置</w:t>
            </w:r>
          </w:p>
        </w:tc>
        <w:tc>
          <w:tcPr>
            <w:tcW w:w="481" w:type="pct"/>
            <w:vMerge w:val="continue"/>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150" w:type="pct"/>
            <w:vMerge w:val="continue"/>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w w:val="100"/>
                <w:sz w:val="21"/>
                <w:szCs w:val="21"/>
              </w:rPr>
            </w:pPr>
          </w:p>
        </w:tc>
        <w:tc>
          <w:tcPr>
            <w:tcW w:w="315" w:type="pct"/>
            <w:vMerge w:val="continue"/>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sz w:val="21"/>
                <w:szCs w:val="21"/>
              </w:rPr>
            </w:pPr>
          </w:p>
        </w:tc>
        <w:tc>
          <w:tcPr>
            <w:tcW w:w="343" w:type="pct"/>
            <w:vAlign w:val="center"/>
          </w:tcPr>
          <w:p>
            <w:pPr>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themeColor="text1"/>
                <w:szCs w:val="21"/>
                <w14:textFill>
                  <w14:solidFill>
                    <w14:schemeClr w14:val="tx1"/>
                  </w14:solidFill>
                </w14:textFill>
              </w:rPr>
              <w:t>生活垃圾</w:t>
            </w:r>
          </w:p>
        </w:tc>
        <w:tc>
          <w:tcPr>
            <w:tcW w:w="1573" w:type="pct"/>
            <w:vAlign w:val="center"/>
          </w:tcPr>
          <w:p>
            <w:pPr>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themeColor="text1"/>
                <w:szCs w:val="21"/>
                <w14:textFill>
                  <w14:solidFill>
                    <w14:schemeClr w14:val="tx1"/>
                  </w14:solidFill>
                </w14:textFill>
              </w:rPr>
              <w:t>垃圾桶收集，环卫部门清运</w:t>
            </w:r>
          </w:p>
        </w:tc>
        <w:tc>
          <w:tcPr>
            <w:tcW w:w="494" w:type="pct"/>
            <w:vMerge w:val="continue"/>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eastAsia="zh-CN"/>
              </w:rPr>
            </w:pPr>
          </w:p>
        </w:tc>
        <w:tc>
          <w:tcPr>
            <w:tcW w:w="1639" w:type="pct"/>
            <w:vAlign w:val="center"/>
          </w:tcPr>
          <w:p>
            <w:pPr>
              <w:widowControl/>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color w:val="000000" w:themeColor="text1"/>
                <w:szCs w:val="21"/>
                <w14:textFill>
                  <w14:solidFill>
                    <w14:schemeClr w14:val="tx1"/>
                  </w14:solidFill>
                </w14:textFill>
              </w:rPr>
              <w:t>垃圾桶收集，环卫部门清运</w:t>
            </w:r>
          </w:p>
        </w:tc>
        <w:tc>
          <w:tcPr>
            <w:tcW w:w="481" w:type="pct"/>
            <w:vMerge w:val="continue"/>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7" w:hRule="atLeast"/>
        </w:trPr>
        <w:tc>
          <w:tcPr>
            <w:tcW w:w="150"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4</w:t>
            </w:r>
          </w:p>
        </w:tc>
        <w:tc>
          <w:tcPr>
            <w:tcW w:w="315"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噪声处理</w:t>
            </w:r>
          </w:p>
        </w:tc>
        <w:tc>
          <w:tcPr>
            <w:tcW w:w="1917" w:type="pct"/>
            <w:gridSpan w:val="2"/>
            <w:tcBorders>
              <w:top w:val="single" w:color="000000" w:sz="2" w:space="0"/>
              <w:bottom w:val="single" w:color="000000" w:sz="2" w:space="0"/>
            </w:tcBorders>
            <w:vAlign w:val="center"/>
          </w:tcPr>
          <w:p>
            <w:pPr>
              <w:keepNext w:val="0"/>
              <w:keepLines w:val="0"/>
              <w:widowControl/>
              <w:suppressLineNumbers w:val="0"/>
              <w:jc w:val="center"/>
              <w:rPr>
                <w:rFonts w:hint="default" w:ascii="Times New Roman" w:hAnsi="Times New Roman" w:eastAsia="Times New Roman" w:cs="Times New Roman"/>
                <w:kern w:val="2"/>
                <w:sz w:val="21"/>
                <w:szCs w:val="21"/>
                <w:lang w:val="en-US" w:eastAsia="zh-CN" w:bidi="ar-SA"/>
              </w:rPr>
            </w:pPr>
            <w:r>
              <w:rPr>
                <w:rFonts w:hint="default" w:ascii="Times New Roman" w:hAnsi="Times New Roman" w:eastAsia="宋体" w:cs="Times New Roman"/>
                <w:color w:val="000000" w:themeColor="text1"/>
                <w:szCs w:val="21"/>
                <w14:textFill>
                  <w14:solidFill>
                    <w14:schemeClr w14:val="tx1"/>
                  </w14:solidFill>
                </w14:textFill>
              </w:rPr>
              <w:t>噪声设备配套减震、减噪措施、厂房隔音</w:t>
            </w:r>
          </w:p>
        </w:tc>
        <w:tc>
          <w:tcPr>
            <w:tcW w:w="494"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kern w:val="2"/>
                <w:sz w:val="21"/>
                <w:szCs w:val="21"/>
                <w:lang w:val="en-US" w:eastAsia="zh-CN" w:bidi="ar-SA"/>
              </w:rPr>
            </w:pPr>
            <w:r>
              <w:rPr>
                <w:rFonts w:hint="eastAsia" w:ascii="Times New Roman" w:hAnsi="Times New Roman" w:eastAsia="Times New Roman" w:cs="Times New Roman"/>
                <w:kern w:val="2"/>
                <w:sz w:val="21"/>
                <w:szCs w:val="21"/>
                <w:lang w:val="en-US" w:eastAsia="zh-CN" w:bidi="ar-SA"/>
              </w:rPr>
              <w:t>10</w:t>
            </w:r>
          </w:p>
        </w:tc>
        <w:tc>
          <w:tcPr>
            <w:tcW w:w="1639"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kern w:val="2"/>
                <w:sz w:val="21"/>
                <w:szCs w:val="21"/>
                <w:lang w:val="en-US" w:eastAsia="zh-CN" w:bidi="ar-SA"/>
              </w:rPr>
            </w:pPr>
            <w:r>
              <w:rPr>
                <w:rFonts w:hint="default" w:ascii="Times New Roman" w:hAnsi="Times New Roman" w:eastAsia="宋体" w:cs="Times New Roman"/>
                <w:color w:val="000000" w:themeColor="text1"/>
                <w:szCs w:val="21"/>
                <w14:textFill>
                  <w14:solidFill>
                    <w14:schemeClr w14:val="tx1"/>
                  </w14:solidFill>
                </w14:textFill>
              </w:rPr>
              <w:t>噪声设备配套减震、减噪措施、厂房隔音</w:t>
            </w:r>
          </w:p>
        </w:tc>
        <w:tc>
          <w:tcPr>
            <w:tcW w:w="481"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kern w:val="2"/>
                <w:sz w:val="21"/>
                <w:szCs w:val="21"/>
                <w:lang w:val="en-US" w:eastAsia="zh-CN" w:bidi="ar-SA"/>
              </w:rPr>
            </w:pPr>
            <w:r>
              <w:rPr>
                <w:rFonts w:hint="eastAsia" w:ascii="Times New Roman" w:hAnsi="Times New Roman" w:eastAsia="Times New Roman" w:cs="Times New Roman"/>
                <w:kern w:val="2"/>
                <w:sz w:val="21"/>
                <w:szCs w:val="21"/>
                <w:lang w:val="en-US" w:eastAsia="zh-CN" w:bidi="ar-SA"/>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 w:hRule="atLeast"/>
        </w:trPr>
        <w:tc>
          <w:tcPr>
            <w:tcW w:w="150"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5</w:t>
            </w:r>
          </w:p>
        </w:tc>
        <w:tc>
          <w:tcPr>
            <w:tcW w:w="315"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风险防范</w:t>
            </w:r>
          </w:p>
        </w:tc>
        <w:tc>
          <w:tcPr>
            <w:tcW w:w="1917" w:type="pct"/>
            <w:gridSpan w:val="2"/>
            <w:tcBorders>
              <w:top w:val="single" w:color="000000" w:sz="2" w:space="0"/>
              <w:bottom w:val="single" w:color="000000" w:sz="2" w:space="0"/>
            </w:tcBorders>
            <w:vAlign w:val="center"/>
          </w:tcPr>
          <w:p>
            <w:pPr>
              <w:keepNext w:val="0"/>
              <w:keepLines w:val="0"/>
              <w:widowControl/>
              <w:suppressLineNumbers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设置雨水切换阀，</w:t>
            </w:r>
            <w:r>
              <w:rPr>
                <w:rFonts w:hint="default" w:ascii="Times New Roman" w:hAnsi="Times New Roman" w:eastAsia="宋体" w:cs="Times New Roman"/>
                <w:color w:val="000000" w:themeColor="text1"/>
                <w:szCs w:val="21"/>
                <w:lang w:eastAsia="zh-CN"/>
                <w14:textFill>
                  <w14:solidFill>
                    <w14:schemeClr w14:val="tx1"/>
                  </w14:solidFill>
                </w14:textFill>
              </w:rPr>
              <w:t>原辅材料</w:t>
            </w:r>
            <w:r>
              <w:rPr>
                <w:rFonts w:hint="default" w:ascii="Times New Roman" w:hAnsi="Times New Roman" w:eastAsia="宋体" w:cs="Times New Roman"/>
                <w:color w:val="000000" w:themeColor="text1"/>
                <w:szCs w:val="21"/>
                <w14:textFill>
                  <w14:solidFill>
                    <w14:schemeClr w14:val="tx1"/>
                  </w14:solidFill>
                </w14:textFill>
              </w:rPr>
              <w:t>存放区设置围堰，建设容积为</w:t>
            </w:r>
            <w:r>
              <w:rPr>
                <w:rFonts w:hint="default" w:ascii="Times New Roman" w:hAnsi="Times New Roman" w:eastAsia="宋体" w:cs="Times New Roman"/>
                <w:color w:val="000000" w:themeColor="text1"/>
                <w:szCs w:val="21"/>
                <w:lang w:val="en-US" w:eastAsia="zh-CN"/>
                <w14:textFill>
                  <w14:solidFill>
                    <w14:schemeClr w14:val="tx1"/>
                  </w14:solidFill>
                </w14:textFill>
              </w:rPr>
              <w:t>400</w:t>
            </w:r>
            <w:r>
              <w:rPr>
                <w:rFonts w:hint="default" w:ascii="Times New Roman" w:hAnsi="Times New Roman" w:eastAsia="宋体" w:cs="Times New Roman"/>
                <w:color w:val="000000" w:themeColor="text1"/>
                <w:szCs w:val="21"/>
                <w14:textFill>
                  <w14:solidFill>
                    <w14:schemeClr w14:val="tx1"/>
                  </w14:solidFill>
                </w14:textFill>
              </w:rPr>
              <w:t>m</w:t>
            </w:r>
            <w:r>
              <w:rPr>
                <w:rFonts w:hint="default" w:ascii="Times New Roman" w:hAnsi="Times New Roman" w:eastAsia="宋体" w:cs="Times New Roman"/>
                <w:color w:val="000000" w:themeColor="text1"/>
                <w:szCs w:val="21"/>
                <w:vertAlign w:val="superscript"/>
                <w14:textFill>
                  <w14:solidFill>
                    <w14:schemeClr w14:val="tx1"/>
                  </w14:solidFill>
                </w14:textFill>
              </w:rPr>
              <w:t>3</w:t>
            </w:r>
            <w:r>
              <w:rPr>
                <w:rFonts w:hint="default" w:ascii="Times New Roman" w:hAnsi="Times New Roman" w:eastAsia="宋体" w:cs="Times New Roman"/>
                <w:color w:val="000000" w:themeColor="text1"/>
                <w:szCs w:val="21"/>
                <w14:textFill>
                  <w14:solidFill>
                    <w14:schemeClr w14:val="tx1"/>
                  </w14:solidFill>
                </w14:textFill>
              </w:rPr>
              <w:t xml:space="preserve"> 的事故应急池</w:t>
            </w:r>
            <w:r>
              <w:rPr>
                <w:rFonts w:hint="default" w:ascii="Times New Roman" w:hAnsi="Times New Roman" w:eastAsia="宋体" w:cs="Times New Roman"/>
                <w:color w:val="000000" w:themeColor="text1"/>
                <w:szCs w:val="21"/>
                <w:lang w:val="en-US" w:eastAsia="zh-CN"/>
                <w14:textFill>
                  <w14:solidFill>
                    <w14:schemeClr w14:val="tx1"/>
                  </w14:solidFill>
                </w14:textFill>
              </w:rPr>
              <w:t>1</w:t>
            </w:r>
            <w:r>
              <w:rPr>
                <w:rFonts w:hint="default" w:ascii="Times New Roman" w:hAnsi="Times New Roman" w:eastAsia="宋体" w:cs="Times New Roman"/>
                <w:color w:val="000000" w:themeColor="text1"/>
                <w:szCs w:val="21"/>
                <w14:textFill>
                  <w14:solidFill>
                    <w14:schemeClr w14:val="tx1"/>
                  </w14:solidFill>
                </w14:textFill>
              </w:rPr>
              <w:t>座，厂区应成立突然环境事件应急处置小组， 配备突发事件环境风险应急物资，编制突发事件风险应急预案，并定期演练</w:t>
            </w:r>
          </w:p>
        </w:tc>
        <w:tc>
          <w:tcPr>
            <w:tcW w:w="494"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kern w:val="2"/>
                <w:sz w:val="21"/>
                <w:szCs w:val="21"/>
                <w:lang w:val="en-US" w:eastAsia="zh-CN" w:bidi="ar-SA"/>
              </w:rPr>
            </w:pPr>
            <w:r>
              <w:rPr>
                <w:rFonts w:hint="eastAsia" w:ascii="Times New Roman" w:hAnsi="Times New Roman" w:eastAsia="Times New Roman" w:cs="Times New Roman"/>
                <w:kern w:val="2"/>
                <w:sz w:val="21"/>
                <w:szCs w:val="21"/>
                <w:lang w:val="en-US" w:eastAsia="zh-CN" w:bidi="ar-SA"/>
              </w:rPr>
              <w:t>250</w:t>
            </w:r>
          </w:p>
        </w:tc>
        <w:tc>
          <w:tcPr>
            <w:tcW w:w="1639"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设置雨水切换阀，</w:t>
            </w:r>
            <w:r>
              <w:rPr>
                <w:rFonts w:hint="default" w:ascii="Times New Roman" w:hAnsi="Times New Roman" w:eastAsia="宋体" w:cs="Times New Roman"/>
                <w:color w:val="000000" w:themeColor="text1"/>
                <w:szCs w:val="21"/>
                <w:lang w:eastAsia="zh-CN"/>
                <w14:textFill>
                  <w14:solidFill>
                    <w14:schemeClr w14:val="tx1"/>
                  </w14:solidFill>
                </w14:textFill>
              </w:rPr>
              <w:t>原辅材料</w:t>
            </w:r>
            <w:r>
              <w:rPr>
                <w:rFonts w:hint="default" w:ascii="Times New Roman" w:hAnsi="Times New Roman" w:eastAsia="宋体" w:cs="Times New Roman"/>
                <w:color w:val="000000" w:themeColor="text1"/>
                <w:szCs w:val="21"/>
                <w14:textFill>
                  <w14:solidFill>
                    <w14:schemeClr w14:val="tx1"/>
                  </w14:solidFill>
                </w14:textFill>
              </w:rPr>
              <w:t>存放区设置围堰，</w:t>
            </w:r>
            <w:r>
              <w:rPr>
                <w:rFonts w:hint="eastAsia" w:ascii="Times New Roman" w:hAnsi="Times New Roman" w:cs="Times New Roman"/>
                <w:color w:val="000000" w:themeColor="text1"/>
                <w:sz w:val="21"/>
                <w:szCs w:val="21"/>
                <w:lang w:eastAsia="zh-CN"/>
                <w14:textFill>
                  <w14:solidFill>
                    <w14:schemeClr w14:val="tx1"/>
                  </w14:solidFill>
                </w14:textFill>
              </w:rPr>
              <w:t>新建</w:t>
            </w:r>
            <w:r>
              <w:rPr>
                <w:rFonts w:hint="eastAsia" w:ascii="Times New Roman" w:hAnsi="Times New Roman" w:cs="Times New Roman"/>
                <w:color w:val="000000" w:themeColor="text1"/>
                <w:sz w:val="21"/>
                <w:szCs w:val="21"/>
                <w:lang w:val="en-US" w:eastAsia="zh-CN"/>
                <w14:textFill>
                  <w14:solidFill>
                    <w14:schemeClr w14:val="tx1"/>
                  </w14:solidFill>
                </w14:textFill>
              </w:rPr>
              <w:t>2座应急事故池，其中1座120m</w:t>
            </w:r>
            <w:r>
              <w:rPr>
                <w:rFonts w:hint="eastAsia" w:ascii="Times New Roman" w:hAnsi="Times New Roman" w:cs="Times New Roman"/>
                <w:color w:val="000000" w:themeColor="text1"/>
                <w:sz w:val="21"/>
                <w:szCs w:val="21"/>
                <w:vertAlign w:val="superscript"/>
                <w:lang w:val="en-US" w:eastAsia="zh-CN"/>
                <w14:textFill>
                  <w14:solidFill>
                    <w14:schemeClr w14:val="tx1"/>
                  </w14:solidFill>
                </w14:textFill>
              </w:rPr>
              <w:t>3</w:t>
            </w:r>
            <w:r>
              <w:rPr>
                <w:rFonts w:hint="eastAsia" w:ascii="Times New Roman" w:hAnsi="Times New Roman" w:cs="Times New Roman"/>
                <w:color w:val="000000" w:themeColor="text1"/>
                <w:sz w:val="21"/>
                <w:szCs w:val="21"/>
                <w:lang w:val="en-US" w:eastAsia="zh-CN"/>
                <w14:textFill>
                  <w14:solidFill>
                    <w14:schemeClr w14:val="tx1"/>
                  </w14:solidFill>
                </w14:textFill>
              </w:rPr>
              <w:t>、1座110m</w:t>
            </w:r>
            <w:r>
              <w:rPr>
                <w:rFonts w:hint="eastAsia" w:ascii="Times New Roman" w:hAnsi="Times New Roman" w:cs="Times New Roman"/>
                <w:color w:val="000000" w:themeColor="text1"/>
                <w:sz w:val="21"/>
                <w:szCs w:val="21"/>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Cs w:val="21"/>
                <w14:textFill>
                  <w14:solidFill>
                    <w14:schemeClr w14:val="tx1"/>
                  </w14:solidFill>
                </w14:textFill>
              </w:rPr>
              <w:t>，厂区应成立突然环境事件应急处置小组， 配备突发事件环境风险应急物资，</w:t>
            </w:r>
            <w:r>
              <w:rPr>
                <w:rFonts w:hint="eastAsia" w:cs="Times New Roman"/>
                <w:color w:val="000000" w:themeColor="text1"/>
                <w:szCs w:val="21"/>
                <w:lang w:eastAsia="zh-CN"/>
                <w14:textFill>
                  <w14:solidFill>
                    <w14:schemeClr w14:val="tx1"/>
                  </w14:solidFill>
                </w14:textFill>
              </w:rPr>
              <w:t>已编制突发环境事件应急预案（备案号：</w:t>
            </w:r>
            <w:r>
              <w:rPr>
                <w:rFonts w:hint="eastAsia" w:ascii="Times New Roman" w:hAnsi="Times New Roman" w:cs="Times New Roman"/>
                <w:color w:val="000000" w:themeColor="text1"/>
                <w:sz w:val="21"/>
                <w:szCs w:val="21"/>
                <w:lang w:val="en-US" w:eastAsia="zh-CN"/>
                <w14:textFill>
                  <w14:solidFill>
                    <w14:schemeClr w14:val="tx1"/>
                  </w14:solidFill>
                </w14:textFill>
              </w:rPr>
              <w:t>341503-2023-051-M</w:t>
            </w:r>
            <w:r>
              <w:rPr>
                <w:rFonts w:hint="eastAsia" w:cs="Times New Roman"/>
                <w:color w:val="000000" w:themeColor="text1"/>
                <w:szCs w:val="21"/>
                <w:lang w:eastAsia="zh-CN"/>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，并定期演练</w:t>
            </w:r>
          </w:p>
        </w:tc>
        <w:tc>
          <w:tcPr>
            <w:tcW w:w="481"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kern w:val="2"/>
                <w:sz w:val="21"/>
                <w:szCs w:val="21"/>
                <w:lang w:val="en-US" w:eastAsia="zh-CN" w:bidi="ar-SA"/>
              </w:rPr>
            </w:pPr>
            <w:r>
              <w:rPr>
                <w:rFonts w:hint="eastAsia" w:ascii="Times New Roman" w:hAnsi="Times New Roman" w:eastAsia="Times New Roman" w:cs="Times New Roman"/>
                <w:kern w:val="2"/>
                <w:sz w:val="21"/>
                <w:szCs w:val="21"/>
                <w:lang w:val="en-US" w:eastAsia="zh-CN" w:bidi="ar-SA"/>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7" w:hRule="atLeast"/>
        </w:trPr>
        <w:tc>
          <w:tcPr>
            <w:tcW w:w="150"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6</w:t>
            </w:r>
          </w:p>
        </w:tc>
        <w:tc>
          <w:tcPr>
            <w:tcW w:w="315" w:type="pct"/>
            <w:vAlign w:val="center"/>
          </w:tcPr>
          <w:p>
            <w:pPr>
              <w:widowControl/>
              <w:autoSpaceDE w:val="0"/>
              <w:autoSpaceDN w:val="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生态环境</w:t>
            </w:r>
          </w:p>
        </w:tc>
        <w:tc>
          <w:tcPr>
            <w:tcW w:w="1917" w:type="pct"/>
            <w:gridSpan w:val="2"/>
            <w:tcBorders>
              <w:top w:val="single" w:color="000000" w:sz="2" w:space="0"/>
              <w:bottom w:val="single" w:color="000000" w:sz="2" w:space="0"/>
            </w:tcBorders>
            <w:vAlign w:val="center"/>
          </w:tcPr>
          <w:p>
            <w:pPr>
              <w:widowControl/>
              <w:autoSpaceDE w:val="0"/>
              <w:autoSpaceDN w:val="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场区绿化</w:t>
            </w:r>
          </w:p>
        </w:tc>
        <w:tc>
          <w:tcPr>
            <w:tcW w:w="494"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kern w:val="2"/>
                <w:sz w:val="21"/>
                <w:szCs w:val="21"/>
                <w:lang w:val="en-US" w:eastAsia="zh-CN" w:bidi="ar-SA"/>
              </w:rPr>
            </w:pPr>
            <w:r>
              <w:rPr>
                <w:rFonts w:hint="eastAsia" w:ascii="Times New Roman" w:hAnsi="Times New Roman" w:eastAsia="Times New Roman" w:cs="Times New Roman"/>
                <w:kern w:val="2"/>
                <w:sz w:val="21"/>
                <w:szCs w:val="21"/>
                <w:lang w:val="en-US" w:eastAsia="zh-CN" w:bidi="ar-SA"/>
              </w:rPr>
              <w:t>10</w:t>
            </w:r>
          </w:p>
        </w:tc>
        <w:tc>
          <w:tcPr>
            <w:tcW w:w="1639"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场区绿化</w:t>
            </w:r>
          </w:p>
        </w:tc>
        <w:tc>
          <w:tcPr>
            <w:tcW w:w="481"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kern w:val="2"/>
                <w:sz w:val="21"/>
                <w:szCs w:val="21"/>
                <w:lang w:val="en-US" w:eastAsia="zh-CN" w:bidi="ar-SA"/>
              </w:rPr>
            </w:pPr>
            <w:r>
              <w:rPr>
                <w:rFonts w:hint="eastAsia" w:ascii="Times New Roman" w:hAnsi="Times New Roman" w:eastAsia="Times New Roman" w:cs="Times New Roman"/>
                <w:kern w:val="2"/>
                <w:sz w:val="21"/>
                <w:szCs w:val="21"/>
                <w:lang w:val="en-US" w:eastAsia="zh-CN" w:bidi="ar-SA"/>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7" w:hRule="atLeast"/>
        </w:trPr>
        <w:tc>
          <w:tcPr>
            <w:tcW w:w="2384" w:type="pct"/>
            <w:gridSpan w:val="4"/>
            <w:tcBorders>
              <w:bottom w:val="single" w:color="000000" w:sz="2" w:space="0"/>
            </w:tcBorders>
            <w:vAlign w:val="center"/>
          </w:tcPr>
          <w:p>
            <w:pPr>
              <w:widowControl/>
              <w:autoSpaceDE w:val="0"/>
              <w:autoSpaceDN w:val="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ascii="Times New Roman" w:hAnsi="Times New Roman" w:eastAsia="宋体" w:cs="Times New Roman"/>
                <w:color w:val="000000" w:themeColor="text1"/>
                <w:szCs w:val="21"/>
                <w:lang w:eastAsia="zh-CN"/>
                <w14:textFill>
                  <w14:solidFill>
                    <w14:schemeClr w14:val="tx1"/>
                  </w14:solidFill>
                </w14:textFill>
              </w:rPr>
              <w:t>合计</w:t>
            </w:r>
          </w:p>
        </w:tc>
        <w:tc>
          <w:tcPr>
            <w:tcW w:w="494"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kern w:val="2"/>
                <w:sz w:val="21"/>
                <w:szCs w:val="21"/>
                <w:lang w:val="en-US" w:eastAsia="zh-CN" w:bidi="ar-SA"/>
              </w:rPr>
            </w:pPr>
            <w:r>
              <w:rPr>
                <w:rFonts w:hint="eastAsia" w:ascii="Times New Roman" w:hAnsi="Times New Roman" w:eastAsia="Times New Roman" w:cs="Times New Roman"/>
                <w:kern w:val="2"/>
                <w:sz w:val="21"/>
                <w:szCs w:val="21"/>
                <w:lang w:val="en-US" w:eastAsia="zh-CN" w:bidi="ar-SA"/>
              </w:rPr>
              <w:t>1000</w:t>
            </w:r>
          </w:p>
        </w:tc>
        <w:tc>
          <w:tcPr>
            <w:tcW w:w="1639" w:type="pct"/>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p>
        </w:tc>
        <w:tc>
          <w:tcPr>
            <w:tcW w:w="481" w:type="pct"/>
            <w:tcBorders>
              <w:bottom w:val="single" w:color="000000" w:sz="2" w:space="0"/>
            </w:tcBorders>
            <w:vAlign w:val="center"/>
          </w:tcPr>
          <w:p>
            <w:pPr>
              <w:pStyle w:val="11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kern w:val="2"/>
                <w:sz w:val="21"/>
                <w:szCs w:val="21"/>
                <w:lang w:val="en-US" w:eastAsia="zh-CN" w:bidi="ar-SA"/>
              </w:rPr>
            </w:pPr>
            <w:r>
              <w:rPr>
                <w:rFonts w:hint="eastAsia" w:ascii="Times New Roman" w:hAnsi="Times New Roman" w:eastAsia="Times New Roman" w:cs="Times New Roman"/>
                <w:kern w:val="2"/>
                <w:sz w:val="21"/>
                <w:szCs w:val="21"/>
                <w:lang w:val="en-US" w:eastAsia="zh-CN" w:bidi="ar-SA"/>
              </w:rPr>
              <w:t>950</w:t>
            </w:r>
          </w:p>
        </w:tc>
      </w:tr>
    </w:tbl>
    <w:p>
      <w:pPr>
        <w:pStyle w:val="88"/>
        <w:spacing w:line="360" w:lineRule="auto"/>
        <w:jc w:val="left"/>
      </w:pPr>
      <w:r>
        <w:rPr>
          <w:rFonts w:hint="eastAsia"/>
        </w:rPr>
        <w:br w:type="page"/>
      </w:r>
      <w:bookmarkStart w:id="213" w:name="_Toc26839"/>
      <w:r>
        <w:rPr>
          <w:rFonts w:hint="eastAsia"/>
        </w:rPr>
        <w:t xml:space="preserve">第五章 </w:t>
      </w:r>
      <w:r>
        <w:t>环评报告</w:t>
      </w:r>
      <w:r>
        <w:rPr>
          <w:rFonts w:hint="eastAsia"/>
        </w:rPr>
        <w:t>书</w:t>
      </w:r>
      <w:r>
        <w:t>的主要结论与建议及审批部门审批决定</w:t>
      </w:r>
      <w:bookmarkEnd w:id="204"/>
      <w:bookmarkEnd w:id="205"/>
      <w:bookmarkEnd w:id="206"/>
      <w:bookmarkEnd w:id="207"/>
      <w:bookmarkEnd w:id="208"/>
      <w:bookmarkEnd w:id="209"/>
      <w:bookmarkEnd w:id="210"/>
      <w:bookmarkEnd w:id="211"/>
      <w:bookmarkEnd w:id="212"/>
      <w:bookmarkEnd w:id="213"/>
    </w:p>
    <w:p>
      <w:pPr>
        <w:spacing w:line="360" w:lineRule="auto"/>
        <w:outlineLvl w:val="1"/>
        <w:rPr>
          <w:rStyle w:val="67"/>
          <w:rFonts w:hint="default" w:ascii="Times New Roman" w:hAnsi="Times New Roman"/>
          <w:b/>
          <w:sz w:val="28"/>
          <w:szCs w:val="28"/>
        </w:rPr>
      </w:pPr>
      <w:bookmarkStart w:id="214" w:name="_Toc501715349"/>
      <w:bookmarkStart w:id="215" w:name="_Toc515359828"/>
      <w:bookmarkStart w:id="216" w:name="_Toc19669"/>
      <w:bookmarkStart w:id="217" w:name="_Toc23275"/>
      <w:bookmarkStart w:id="218" w:name="_Toc500944447"/>
      <w:bookmarkStart w:id="219" w:name="_Toc24124"/>
      <w:bookmarkStart w:id="220" w:name="_Toc2507"/>
      <w:bookmarkStart w:id="221" w:name="_Toc17493"/>
      <w:bookmarkStart w:id="222" w:name="_Toc515360802"/>
      <w:r>
        <w:rPr>
          <w:rStyle w:val="67"/>
          <w:rFonts w:hint="default" w:ascii="Times New Roman" w:hAnsi="Times New Roman"/>
          <w:b/>
          <w:sz w:val="28"/>
          <w:szCs w:val="28"/>
        </w:rPr>
        <w:t>5.1环评报告书的主要结论与建议</w:t>
      </w:r>
      <w:bookmarkEnd w:id="214"/>
      <w:bookmarkEnd w:id="215"/>
      <w:bookmarkEnd w:id="216"/>
      <w:bookmarkEnd w:id="217"/>
      <w:bookmarkEnd w:id="218"/>
      <w:bookmarkEnd w:id="219"/>
      <w:bookmarkEnd w:id="220"/>
      <w:bookmarkEnd w:id="221"/>
      <w:bookmarkEnd w:id="222"/>
    </w:p>
    <w:p>
      <w:pPr>
        <w:spacing w:line="360" w:lineRule="auto"/>
        <w:jc w:val="center"/>
        <w:rPr>
          <w:rStyle w:val="67"/>
          <w:rFonts w:hint="default" w:ascii="Times New Roman"/>
          <w:b/>
        </w:rPr>
      </w:pPr>
      <w:r>
        <w:rPr>
          <w:rStyle w:val="67"/>
          <w:rFonts w:hint="default" w:ascii="Times New Roman"/>
          <w:b/>
        </w:rPr>
        <w:t xml:space="preserve">表5.1  </w:t>
      </w:r>
      <w:r>
        <w:rPr>
          <w:b/>
          <w:sz w:val="24"/>
        </w:rPr>
        <w:t>环境影响评价结论和环保设施落实情况一览表</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3"/>
        <w:gridCol w:w="4682"/>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519" w:type="pct"/>
            <w:noWrap w:val="0"/>
            <w:vAlign w:val="center"/>
          </w:tcPr>
          <w:p>
            <w:pPr>
              <w:jc w:val="center"/>
              <w:rPr>
                <w:sz w:val="21"/>
                <w:szCs w:val="21"/>
              </w:rPr>
            </w:pPr>
            <w:bookmarkStart w:id="223" w:name="_Toc18627"/>
            <w:bookmarkStart w:id="224" w:name="_Toc12827"/>
            <w:bookmarkStart w:id="225" w:name="_Toc20778"/>
            <w:bookmarkStart w:id="226" w:name="_Toc20864"/>
            <w:r>
              <w:rPr>
                <w:rFonts w:hint="eastAsia"/>
                <w:sz w:val="21"/>
                <w:szCs w:val="21"/>
              </w:rPr>
              <w:t>项目</w:t>
            </w:r>
          </w:p>
        </w:tc>
        <w:tc>
          <w:tcPr>
            <w:tcW w:w="2749" w:type="pct"/>
            <w:noWrap w:val="0"/>
            <w:vAlign w:val="center"/>
          </w:tcPr>
          <w:p>
            <w:pPr>
              <w:jc w:val="center"/>
              <w:rPr>
                <w:sz w:val="21"/>
                <w:szCs w:val="21"/>
              </w:rPr>
            </w:pPr>
            <w:r>
              <w:rPr>
                <w:rFonts w:hint="eastAsia"/>
                <w:sz w:val="21"/>
                <w:szCs w:val="21"/>
              </w:rPr>
              <w:t>结论</w:t>
            </w:r>
          </w:p>
        </w:tc>
        <w:tc>
          <w:tcPr>
            <w:tcW w:w="1731" w:type="pct"/>
            <w:noWrap w:val="0"/>
            <w:vAlign w:val="center"/>
          </w:tcPr>
          <w:p>
            <w:pPr>
              <w:jc w:val="center"/>
              <w:rPr>
                <w:sz w:val="21"/>
                <w:szCs w:val="21"/>
              </w:rPr>
            </w:pPr>
            <w:r>
              <w:rPr>
                <w:rFonts w:hint="eastAsia"/>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6" w:hRule="atLeast"/>
          <w:jc w:val="center"/>
        </w:trPr>
        <w:tc>
          <w:tcPr>
            <w:tcW w:w="519" w:type="pct"/>
            <w:noWrap w:val="0"/>
            <w:vAlign w:val="center"/>
          </w:tcPr>
          <w:p>
            <w:pPr>
              <w:jc w:val="center"/>
              <w:rPr>
                <w:sz w:val="21"/>
                <w:szCs w:val="21"/>
              </w:rPr>
            </w:pPr>
            <w:r>
              <w:rPr>
                <w:rFonts w:hint="eastAsia"/>
              </w:rPr>
              <w:t>大气环境影响分析结论</w:t>
            </w:r>
          </w:p>
        </w:tc>
        <w:tc>
          <w:tcPr>
            <w:tcW w:w="2749" w:type="pct"/>
            <w:noWrap w:val="0"/>
            <w:vAlign w:val="center"/>
          </w:tcPr>
          <w:p>
            <w:pPr>
              <w:pStyle w:val="27"/>
              <w:keepNext w:val="0"/>
              <w:keepLines w:val="0"/>
              <w:widowControl/>
              <w:suppressLineNumbers w:val="0"/>
              <w:spacing w:before="0" w:beforeAutospacing="0" w:after="0" w:afterAutospacing="0"/>
              <w:ind w:left="0" w:right="0" w:firstLine="0"/>
              <w:jc w:val="center"/>
              <w:rPr>
                <w:rFonts w:hint="eastAsia" w:eastAsia="宋体"/>
                <w:sz w:val="21"/>
                <w:szCs w:val="21"/>
                <w:lang w:eastAsia="zh-CN"/>
              </w:rPr>
            </w:pPr>
            <w:r>
              <w:rPr>
                <w:rFonts w:hint="eastAsia" w:eastAsia="宋体"/>
                <w:sz w:val="21"/>
                <w:szCs w:val="21"/>
                <w:lang w:eastAsia="zh-CN"/>
              </w:rPr>
              <w:t>根据《环境影响评价技术导则 大气环境》（HJ2.2-2018）及结合预测结果可知：</w:t>
            </w:r>
          </w:p>
          <w:p>
            <w:pPr>
              <w:pStyle w:val="27"/>
              <w:keepNext w:val="0"/>
              <w:keepLines w:val="0"/>
              <w:widowControl/>
              <w:suppressLineNumbers w:val="0"/>
              <w:spacing w:before="0" w:beforeAutospacing="0" w:after="0" w:afterAutospacing="0"/>
              <w:ind w:left="0" w:right="0" w:firstLine="0"/>
              <w:jc w:val="center"/>
              <w:rPr>
                <w:rFonts w:hint="eastAsia" w:eastAsia="宋体"/>
                <w:sz w:val="21"/>
                <w:szCs w:val="21"/>
                <w:lang w:eastAsia="zh-CN"/>
              </w:rPr>
            </w:pPr>
            <w:r>
              <w:rPr>
                <w:rFonts w:hint="eastAsia" w:eastAsia="宋体"/>
                <w:sz w:val="21"/>
                <w:szCs w:val="21"/>
                <w:lang w:val="en-US" w:eastAsia="zh-CN"/>
              </w:rPr>
              <w:t>氯化氢排放浓度满足《电镀污染物排放标准》（GB 21900-2008）表5中新建企业大气污染物排放浓度限值，排放浓度满足</w:t>
            </w:r>
            <w:r>
              <w:rPr>
                <w:rFonts w:hint="eastAsia" w:eastAsia="宋体"/>
                <w:sz w:val="21"/>
                <w:szCs w:val="21"/>
                <w:lang w:eastAsia="zh-CN"/>
              </w:rPr>
              <w:t>《恶臭污染物排放标准》（GB14554-93）中表2恶臭污染物排放标准值；</w:t>
            </w:r>
            <w:r>
              <w:rPr>
                <w:rFonts w:hint="eastAsia" w:eastAsia="宋体"/>
                <w:sz w:val="21"/>
                <w:szCs w:val="21"/>
                <w:lang w:val="en-US" w:eastAsia="zh-CN"/>
              </w:rPr>
              <w:t>颗粒物排放浓度满足</w:t>
            </w:r>
            <w:r>
              <w:rPr>
                <w:rFonts w:hint="eastAsia" w:eastAsia="宋体"/>
                <w:sz w:val="21"/>
                <w:szCs w:val="21"/>
                <w:lang w:eastAsia="zh-CN"/>
              </w:rPr>
              <w:t>《大气污染物综合排放标准》（GB16297-1996）表2中二级标准及无组织排放监控浓度限值；天然气燃烧废气中的颗粒物、二氧化硫（SO</w:t>
            </w:r>
            <w:r>
              <w:rPr>
                <w:rFonts w:hint="eastAsia" w:eastAsia="宋体"/>
                <w:sz w:val="21"/>
                <w:szCs w:val="21"/>
                <w:vertAlign w:val="subscript"/>
                <w:lang w:eastAsia="zh-CN"/>
              </w:rPr>
              <w:t>2</w:t>
            </w:r>
            <w:r>
              <w:rPr>
                <w:rFonts w:hint="eastAsia" w:eastAsia="宋体"/>
                <w:sz w:val="21"/>
                <w:szCs w:val="21"/>
                <w:lang w:eastAsia="zh-CN"/>
              </w:rPr>
              <w:t>）、氮氧化物（NOx）</w:t>
            </w:r>
            <w:r>
              <w:rPr>
                <w:rFonts w:hint="eastAsia" w:eastAsia="宋体"/>
                <w:sz w:val="21"/>
                <w:szCs w:val="21"/>
                <w:lang w:val="en-US" w:eastAsia="zh-CN"/>
              </w:rPr>
              <w:t>排放结果满足</w:t>
            </w:r>
            <w:r>
              <w:rPr>
                <w:rFonts w:hint="eastAsia" w:eastAsia="宋体"/>
                <w:sz w:val="21"/>
                <w:szCs w:val="21"/>
                <w:lang w:eastAsia="zh-CN"/>
              </w:rPr>
              <w:t>《关于印发&lt;工业炉窑大气污染综合治理方案&gt;的通知》（环大气（2019）56号）中限值要求；</w:t>
            </w:r>
          </w:p>
          <w:p>
            <w:pPr>
              <w:pStyle w:val="27"/>
              <w:keepNext w:val="0"/>
              <w:keepLines w:val="0"/>
              <w:widowControl/>
              <w:suppressLineNumbers w:val="0"/>
              <w:spacing w:before="0" w:beforeAutospacing="0" w:after="0" w:afterAutospacing="0"/>
              <w:ind w:left="0" w:right="0" w:firstLine="0"/>
              <w:jc w:val="center"/>
              <w:rPr>
                <w:rFonts w:hint="eastAsia" w:eastAsia="宋体"/>
                <w:sz w:val="21"/>
                <w:szCs w:val="21"/>
                <w:lang w:eastAsia="zh-CN"/>
              </w:rPr>
            </w:pPr>
            <w:r>
              <w:rPr>
                <w:rFonts w:hint="eastAsia" w:eastAsia="宋体"/>
                <w:sz w:val="21"/>
                <w:szCs w:val="21"/>
                <w:lang w:eastAsia="zh-CN"/>
              </w:rPr>
              <w:t>综上，项目的废气排放对周边环境影响是可接受的</w:t>
            </w:r>
          </w:p>
        </w:tc>
        <w:tc>
          <w:tcPr>
            <w:tcW w:w="1731" w:type="pct"/>
            <w:noWrap w:val="0"/>
            <w:vAlign w:val="center"/>
          </w:tcPr>
          <w:p>
            <w:pPr>
              <w:pStyle w:val="40"/>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auto"/>
              <w:outlineLvl w:val="2"/>
              <w:rPr>
                <w:rFonts w:hint="eastAsia" w:eastAsia="宋体"/>
                <w:sz w:val="21"/>
                <w:szCs w:val="21"/>
                <w:lang w:eastAsia="zh-CN"/>
              </w:rPr>
            </w:pPr>
            <w:r>
              <w:rPr>
                <w:rFonts w:hint="eastAsia"/>
                <w:sz w:val="21"/>
                <w:szCs w:val="21"/>
                <w:lang w:eastAsia="zh-CN"/>
              </w:rPr>
              <w:t>根据监测结果，酸洗废气排气筒（</w:t>
            </w:r>
            <w:r>
              <w:rPr>
                <w:rFonts w:hint="eastAsia"/>
                <w:sz w:val="21"/>
                <w:szCs w:val="21"/>
                <w:lang w:val="en-US" w:eastAsia="zh-CN"/>
              </w:rPr>
              <w:t>DA001</w:t>
            </w:r>
            <w:r>
              <w:rPr>
                <w:rFonts w:hint="eastAsia"/>
                <w:sz w:val="21"/>
                <w:szCs w:val="21"/>
                <w:lang w:eastAsia="zh-CN"/>
              </w:rPr>
              <w:t>）</w:t>
            </w:r>
            <w:r>
              <w:rPr>
                <w:rFonts w:hint="eastAsia"/>
                <w:sz w:val="21"/>
                <w:szCs w:val="21"/>
                <w:lang w:val="en-US" w:eastAsia="zh-CN"/>
              </w:rPr>
              <w:t>氯化氢排放满足《电镀污染物排放标准》（GB 21900-2008）表5中新建企业大气污染物排放浓度限值；锌锅废气排气筒（DA002）颗粒物排放满足</w:t>
            </w:r>
            <w:r>
              <w:rPr>
                <w:rFonts w:hint="eastAsia"/>
                <w:sz w:val="21"/>
                <w:szCs w:val="21"/>
                <w:lang w:eastAsia="zh-CN"/>
              </w:rPr>
              <w:t>《大气污染物综合排放标准》（GB16297-1996）表2中二级标准、氯化氢</w:t>
            </w:r>
            <w:r>
              <w:rPr>
                <w:rFonts w:hint="eastAsia"/>
                <w:sz w:val="21"/>
                <w:szCs w:val="21"/>
                <w:lang w:val="en-US" w:eastAsia="zh-CN"/>
              </w:rPr>
              <w:t>排放满足《电镀污染物排放标准》（GB 21900-2008）表5中新建企业大气污染物排放浓度限值、氨排放满足</w:t>
            </w:r>
            <w:r>
              <w:rPr>
                <w:rFonts w:hint="eastAsia"/>
                <w:sz w:val="21"/>
                <w:szCs w:val="21"/>
                <w:lang w:eastAsia="zh-CN"/>
              </w:rPr>
              <w:t>《恶臭污染物排放标准》（GB14554-93）中表2恶臭污染物排放标准值；</w:t>
            </w:r>
            <w:r>
              <w:rPr>
                <w:rFonts w:hint="eastAsia"/>
                <w:sz w:val="21"/>
                <w:szCs w:val="21"/>
                <w:lang w:val="en-US" w:eastAsia="zh-CN"/>
              </w:rPr>
              <w:t>天然气燃烧废气排放筒（DA003）颗粒物、SO</w:t>
            </w:r>
            <w:r>
              <w:rPr>
                <w:rFonts w:hint="eastAsia"/>
                <w:sz w:val="21"/>
                <w:szCs w:val="21"/>
                <w:vertAlign w:val="subscript"/>
                <w:lang w:val="en-US" w:eastAsia="zh-CN"/>
              </w:rPr>
              <w:t>2</w:t>
            </w:r>
            <w:r>
              <w:rPr>
                <w:rFonts w:hint="eastAsia"/>
                <w:sz w:val="21"/>
                <w:szCs w:val="21"/>
                <w:lang w:val="en-US" w:eastAsia="zh-CN"/>
              </w:rPr>
              <w:t>、NO</w:t>
            </w:r>
            <w:r>
              <w:rPr>
                <w:rFonts w:hint="eastAsia"/>
                <w:sz w:val="21"/>
                <w:szCs w:val="21"/>
                <w:vertAlign w:val="subscript"/>
                <w:lang w:val="en-US" w:eastAsia="zh-CN"/>
              </w:rPr>
              <w:t>X</w:t>
            </w:r>
            <w:r>
              <w:rPr>
                <w:rFonts w:hint="eastAsia"/>
                <w:sz w:val="21"/>
                <w:szCs w:val="21"/>
                <w:lang w:val="en-US" w:eastAsia="zh-CN"/>
              </w:rPr>
              <w:t>排放满足</w:t>
            </w:r>
            <w:r>
              <w:rPr>
                <w:rFonts w:hint="eastAsia"/>
                <w:sz w:val="21"/>
                <w:szCs w:val="21"/>
                <w:lang w:eastAsia="zh-CN"/>
              </w:rPr>
              <w:t>《关于印发&lt;工业炉窑大气污染综合治理方案&gt;的通知》（环大气（2019）56号）中限值要求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519" w:type="pct"/>
            <w:noWrap w:val="0"/>
            <w:vAlign w:val="center"/>
          </w:tcPr>
          <w:p>
            <w:pPr>
              <w:jc w:val="center"/>
              <w:rPr>
                <w:rFonts w:hint="default" w:ascii="Times New Roman" w:hAnsi="Times New Roman" w:eastAsia="宋体" w:cs="Times New Roman"/>
                <w:kern w:val="0"/>
                <w:sz w:val="21"/>
                <w:szCs w:val="21"/>
                <w:lang w:val="en-US" w:eastAsia="zh-CN" w:bidi="ar"/>
              </w:rPr>
            </w:pPr>
            <w:r>
              <w:rPr>
                <w:rFonts w:hint="eastAsia" w:ascii="Times New Roman" w:hAnsi="Times New Roman" w:eastAsia="宋体" w:cs="Times New Roman"/>
                <w:kern w:val="0"/>
                <w:sz w:val="21"/>
                <w:szCs w:val="21"/>
                <w:lang w:val="en-US" w:eastAsia="zh-CN" w:bidi="ar"/>
              </w:rPr>
              <w:t>地表水环境影响分析结论</w:t>
            </w:r>
          </w:p>
        </w:tc>
        <w:tc>
          <w:tcPr>
            <w:tcW w:w="2749" w:type="pct"/>
            <w:noWrap w:val="0"/>
            <w:vAlign w:val="center"/>
          </w:tcPr>
          <w:p>
            <w:pPr>
              <w:pStyle w:val="27"/>
              <w:keepNext w:val="0"/>
              <w:keepLines w:val="0"/>
              <w:widowControl/>
              <w:suppressLineNumbers w:val="0"/>
              <w:spacing w:before="0" w:beforeAutospacing="0" w:after="0" w:afterAutospacing="0"/>
              <w:ind w:left="0" w:right="0" w:firstLine="0"/>
              <w:jc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本项目实行雨污分流排水体制。项目排放废水的主要为生活污水经化粪池预处理后接管至平桥污水处理厂处理。</w:t>
            </w:r>
          </w:p>
          <w:p>
            <w:pPr>
              <w:pStyle w:val="27"/>
              <w:keepNext w:val="0"/>
              <w:keepLines w:val="0"/>
              <w:widowControl/>
              <w:suppressLineNumbers w:val="0"/>
              <w:spacing w:before="0" w:beforeAutospacing="0" w:after="0" w:afterAutospacing="0"/>
              <w:ind w:left="0" w:right="0" w:firstLine="0"/>
              <w:jc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本项目废水经城市污水管网接管平桥污水处理厂处理，不直接排入区域地表水环境，对区域水环境质量影响较小</w:t>
            </w:r>
          </w:p>
        </w:tc>
        <w:tc>
          <w:tcPr>
            <w:tcW w:w="1731" w:type="pct"/>
            <w:noWrap w:val="0"/>
            <w:vAlign w:val="center"/>
          </w:tcPr>
          <w:p>
            <w:pPr>
              <w:spacing w:line="240" w:lineRule="auto"/>
              <w:jc w:val="center"/>
              <w:rPr>
                <w:rFonts w:hint="eastAsia" w:ascii="Times New Roman" w:hAnsi="Times New Roman" w:eastAsia="宋体" w:cs="Times New Roman"/>
                <w:kern w:val="0"/>
                <w:sz w:val="21"/>
                <w:szCs w:val="21"/>
                <w:lang w:val="en-US" w:eastAsia="zh-CN" w:bidi="ar"/>
              </w:rPr>
            </w:pPr>
            <w:r>
              <w:rPr>
                <w:rFonts w:hint="eastAsia" w:ascii="Times New Roman" w:hAnsi="Times New Roman" w:eastAsia="宋体" w:cs="Times New Roman"/>
                <w:kern w:val="0"/>
                <w:sz w:val="21"/>
                <w:szCs w:val="21"/>
                <w:lang w:val="en-US" w:eastAsia="zh-CN" w:bidi="ar"/>
              </w:rPr>
              <w:t>厂区生产废水经自建污水处理站处理后回用于清洗工段，不外排；</w:t>
            </w:r>
            <w:r>
              <w:rPr>
                <w:rFonts w:hint="default" w:ascii="Times New Roman" w:hAnsi="Times New Roman" w:eastAsia="宋体" w:cs="Times New Roman"/>
                <w:kern w:val="0"/>
                <w:sz w:val="21"/>
                <w:szCs w:val="21"/>
                <w:lang w:val="en-US" w:eastAsia="zh-CN" w:bidi="ar"/>
              </w:rPr>
              <w:t>生活污水经化粪池预处理后接管至平桥污水处理厂处理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519" w:type="pct"/>
            <w:noWrap w:val="0"/>
            <w:vAlign w:val="center"/>
          </w:tcPr>
          <w:p>
            <w:pPr>
              <w:jc w:val="center"/>
              <w:rPr>
                <w:rFonts w:hint="eastAsia" w:ascii="Times New Roman" w:hAnsi="Times New Roman" w:eastAsia="宋体" w:cs="Times New Roman"/>
                <w:kern w:val="0"/>
                <w:sz w:val="21"/>
                <w:szCs w:val="21"/>
                <w:lang w:val="en-US" w:eastAsia="zh-CN" w:bidi="ar"/>
              </w:rPr>
            </w:pPr>
            <w:r>
              <w:rPr>
                <w:rFonts w:hint="eastAsia" w:ascii="Times New Roman" w:hAnsi="Times New Roman" w:eastAsia="宋体" w:cs="Times New Roman"/>
                <w:kern w:val="0"/>
                <w:sz w:val="21"/>
                <w:szCs w:val="21"/>
                <w:lang w:val="en-US" w:eastAsia="zh-CN" w:bidi="ar"/>
              </w:rPr>
              <w:t>地下水环境影响分析结论</w:t>
            </w:r>
          </w:p>
        </w:tc>
        <w:tc>
          <w:tcPr>
            <w:tcW w:w="2749" w:type="pct"/>
            <w:noWrap w:val="0"/>
            <w:vAlign w:val="center"/>
          </w:tcPr>
          <w:p>
            <w:pPr>
              <w:pStyle w:val="27"/>
              <w:keepNext w:val="0"/>
              <w:keepLines w:val="0"/>
              <w:widowControl/>
              <w:suppressLineNumbers w:val="0"/>
              <w:spacing w:before="0" w:beforeAutospacing="0" w:after="0" w:afterAutospacing="0"/>
              <w:ind w:left="0" w:right="0" w:firstLine="0"/>
              <w:jc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项目废水满足平桥污水处理厂接管标准后进入</w:t>
            </w:r>
            <w:r>
              <w:rPr>
                <w:rFonts w:hint="eastAsia" w:ascii="Times New Roman" w:hAnsi="Times New Roman" w:eastAsia="宋体" w:cs="Times New Roman"/>
                <w:kern w:val="0"/>
                <w:sz w:val="21"/>
                <w:szCs w:val="21"/>
                <w:lang w:val="en-US" w:eastAsia="zh-CN" w:bidi="ar"/>
              </w:rPr>
              <w:t>平桥</w:t>
            </w:r>
            <w:r>
              <w:rPr>
                <w:rFonts w:hint="default" w:ascii="Times New Roman" w:hAnsi="Times New Roman" w:eastAsia="宋体" w:cs="Times New Roman"/>
                <w:kern w:val="0"/>
                <w:sz w:val="21"/>
                <w:szCs w:val="21"/>
                <w:lang w:val="en-US" w:eastAsia="zh-CN" w:bidi="ar"/>
              </w:rPr>
              <w:t>污水处理</w:t>
            </w:r>
            <w:r>
              <w:rPr>
                <w:rFonts w:hint="eastAsia" w:ascii="Times New Roman" w:hAnsi="Times New Roman" w:eastAsia="宋体" w:cs="Times New Roman"/>
                <w:kern w:val="0"/>
                <w:sz w:val="21"/>
                <w:szCs w:val="21"/>
                <w:lang w:val="en-US" w:eastAsia="zh-CN" w:bidi="ar"/>
              </w:rPr>
              <w:t>厂</w:t>
            </w:r>
            <w:r>
              <w:rPr>
                <w:rFonts w:hint="default" w:ascii="Times New Roman" w:hAnsi="Times New Roman" w:eastAsia="宋体" w:cs="Times New Roman"/>
                <w:kern w:val="0"/>
                <w:sz w:val="21"/>
                <w:szCs w:val="21"/>
                <w:lang w:val="en-US" w:eastAsia="zh-CN" w:bidi="ar"/>
              </w:rPr>
              <w:t>处理。厂内排水管道按照《给水排水管道工程施工及验收规范》（GB50268-2008）中防渗要求进行建设；化粪池、隔油池按照《给水排水构筑物工程施工及验收规范》（GB50141-2008）中防渗要求进行建设。只要不出现大量的持续渗漏，不会导致大范围的地下水污染。项目用于贮存原料及产物等均设计在地面以上，发生泄漏事故可及时发现，且地面按照相关要求做好防渗。</w:t>
            </w:r>
          </w:p>
          <w:p>
            <w:pPr>
              <w:pStyle w:val="27"/>
              <w:keepNext w:val="0"/>
              <w:keepLines w:val="0"/>
              <w:widowControl/>
              <w:suppressLineNumbers w:val="0"/>
              <w:spacing w:before="0" w:beforeAutospacing="0" w:after="0" w:afterAutospacing="0"/>
              <w:ind w:left="0" w:right="0" w:firstLine="0"/>
              <w:jc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综上分析，建设项目场区地下水不敏感，污染物排放简单，在落实好防渗、防污措施后，本项目污染物能得到有效处理，对地下水环境影响较小</w:t>
            </w:r>
          </w:p>
        </w:tc>
        <w:tc>
          <w:tcPr>
            <w:tcW w:w="1731" w:type="pct"/>
            <w:noWrap w:val="0"/>
            <w:vAlign w:val="center"/>
          </w:tcPr>
          <w:p>
            <w:pPr>
              <w:spacing w:line="240" w:lineRule="auto"/>
              <w:jc w:val="center"/>
              <w:rPr>
                <w:rFonts w:hint="eastAsia" w:ascii="Times New Roman" w:hAnsi="Times New Roman" w:eastAsia="宋体" w:cs="Times New Roman"/>
                <w:kern w:val="0"/>
                <w:sz w:val="21"/>
                <w:szCs w:val="21"/>
                <w:lang w:val="en-US" w:eastAsia="zh-CN" w:bidi="ar"/>
              </w:rPr>
            </w:pPr>
            <w:r>
              <w:rPr>
                <w:rFonts w:hint="eastAsia" w:ascii="Times New Roman" w:hAnsi="Times New Roman" w:eastAsia="宋体" w:cs="Times New Roman"/>
                <w:kern w:val="0"/>
                <w:sz w:val="21"/>
                <w:szCs w:val="21"/>
                <w:lang w:val="en-US" w:eastAsia="zh-CN" w:bidi="ar"/>
              </w:rPr>
              <w:t>已对热镀锌生产线、污水处理设施、危废贮存库、事故应急池、危险化学品仓库等区域进行重点防渗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519" w:type="pct"/>
            <w:noWrap w:val="0"/>
            <w:vAlign w:val="center"/>
          </w:tcPr>
          <w:p>
            <w:pPr>
              <w:jc w:val="center"/>
              <w:rPr>
                <w:rFonts w:hint="eastAsia"/>
                <w:sz w:val="21"/>
                <w:szCs w:val="21"/>
                <w:lang w:val="en-US" w:eastAsia="zh-CN"/>
              </w:rPr>
            </w:pPr>
            <w:r>
              <w:rPr>
                <w:rFonts w:hint="eastAsia"/>
                <w:sz w:val="21"/>
                <w:szCs w:val="21"/>
                <w:lang w:val="en-US" w:eastAsia="zh-CN"/>
              </w:rPr>
              <w:t>土壤</w:t>
            </w:r>
            <w:r>
              <w:rPr>
                <w:rFonts w:hint="eastAsia"/>
                <w:sz w:val="21"/>
                <w:szCs w:val="21"/>
              </w:rPr>
              <w:t>环境影响分析结论</w:t>
            </w:r>
          </w:p>
        </w:tc>
        <w:tc>
          <w:tcPr>
            <w:tcW w:w="2749" w:type="pct"/>
            <w:noWrap w:val="0"/>
            <w:vAlign w:val="center"/>
          </w:tcPr>
          <w:p>
            <w:pPr>
              <w:pStyle w:val="27"/>
              <w:keepNext w:val="0"/>
              <w:keepLines w:val="0"/>
              <w:widowControl/>
              <w:suppressLineNumbers w:val="0"/>
              <w:spacing w:before="0" w:beforeAutospacing="0" w:after="0" w:afterAutospacing="0"/>
              <w:ind w:left="0" w:right="0" w:firstLine="0"/>
              <w:jc w:val="center"/>
              <w:rPr>
                <w:rFonts w:hint="default"/>
                <w:sz w:val="21"/>
                <w:szCs w:val="21"/>
              </w:rPr>
            </w:pPr>
            <w:r>
              <w:rPr>
                <w:rFonts w:hint="default"/>
                <w:sz w:val="21"/>
                <w:szCs w:val="21"/>
              </w:rPr>
              <w:t>根据项目工程分析和土壤环境影响识别结果可知，项目对土壤环境的影响途径主要为大气沉降，主要来自热镀锌工段使用的盐酸等。根据本项目土壤监测，区域土壤环境质量能够满足《土壤环境质量 建设用地土壤污染风险管控标准（试行）》（GB36600-2018）中第二类建设用地筛选值限值要求，项目对土壤环境影响是可接受的</w:t>
            </w:r>
          </w:p>
        </w:tc>
        <w:tc>
          <w:tcPr>
            <w:tcW w:w="1731" w:type="pct"/>
            <w:noWrap w:val="0"/>
            <w:vAlign w:val="center"/>
          </w:tcPr>
          <w:p>
            <w:pPr>
              <w:spacing w:line="240" w:lineRule="auto"/>
              <w:jc w:val="center"/>
              <w:rPr>
                <w:rFonts w:hint="eastAsia" w:eastAsia="宋体"/>
                <w:sz w:val="21"/>
                <w:szCs w:val="21"/>
                <w:lang w:eastAsia="zh-CN"/>
              </w:rPr>
            </w:pPr>
            <w:r>
              <w:rPr>
                <w:rFonts w:hint="eastAsia"/>
                <w:sz w:val="21"/>
                <w:szCs w:val="21"/>
                <w:lang w:eastAsia="zh-CN"/>
              </w:rPr>
              <w:t>热镀锌生产线、危险化学品仓库进行重点防渗，并设置事故应急池；定期对项目土壤进行自行监测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519" w:type="pct"/>
            <w:noWrap w:val="0"/>
            <w:vAlign w:val="center"/>
          </w:tcPr>
          <w:p>
            <w:pPr>
              <w:jc w:val="center"/>
              <w:rPr>
                <w:sz w:val="21"/>
                <w:szCs w:val="21"/>
              </w:rPr>
            </w:pPr>
            <w:r>
              <w:rPr>
                <w:rFonts w:hint="eastAsia"/>
                <w:sz w:val="21"/>
                <w:szCs w:val="21"/>
              </w:rPr>
              <w:t>噪声治理</w:t>
            </w:r>
          </w:p>
        </w:tc>
        <w:tc>
          <w:tcPr>
            <w:tcW w:w="2749" w:type="pct"/>
            <w:noWrap w:val="0"/>
            <w:vAlign w:val="center"/>
          </w:tcPr>
          <w:p>
            <w:pPr>
              <w:pStyle w:val="27"/>
              <w:keepNext w:val="0"/>
              <w:keepLines w:val="0"/>
              <w:widowControl/>
              <w:suppressLineNumbers w:val="0"/>
              <w:spacing w:before="0" w:beforeAutospacing="0" w:after="0" w:afterAutospacing="0"/>
              <w:ind w:left="0" w:right="0" w:firstLine="0"/>
              <w:jc w:val="center"/>
              <w:rPr>
                <w:sz w:val="21"/>
                <w:szCs w:val="21"/>
              </w:rPr>
            </w:pPr>
            <w:r>
              <w:rPr>
                <w:rFonts w:hint="default"/>
                <w:sz w:val="21"/>
                <w:szCs w:val="21"/>
              </w:rPr>
              <w:t>根据预测结果，本项目营运期各厂界昼、夜间噪声贡献值均能够满足《工业企业厂界环境噪声排放标准》（GB12348-2008）中3类区标准要求。项目区属于规划工业集中区，周边</w:t>
            </w:r>
            <w:r>
              <w:rPr>
                <w:rFonts w:hint="eastAsia"/>
                <w:sz w:val="21"/>
                <w:szCs w:val="21"/>
                <w:lang w:val="en-US" w:eastAsia="zh-CN"/>
              </w:rPr>
              <w:t>50m</w:t>
            </w:r>
            <w:r>
              <w:rPr>
                <w:rFonts w:hint="default"/>
                <w:sz w:val="21"/>
                <w:szCs w:val="21"/>
              </w:rPr>
              <w:t>范围内无声环境保护目标。因此，在严格执行本环评提出的各类噪声防治措施后，项目营运期区域声环境质量可以满足相应环境功能区标准要求，对区域声环境影响</w:t>
            </w:r>
            <w:r>
              <w:rPr>
                <w:rFonts w:hint="eastAsia"/>
                <w:sz w:val="21"/>
                <w:szCs w:val="21"/>
                <w:lang w:eastAsia="zh-CN"/>
              </w:rPr>
              <w:t>是可接受的</w:t>
            </w:r>
          </w:p>
        </w:tc>
        <w:tc>
          <w:tcPr>
            <w:tcW w:w="1731" w:type="pct"/>
            <w:noWrap w:val="0"/>
            <w:vAlign w:val="center"/>
          </w:tcPr>
          <w:p>
            <w:pPr>
              <w:jc w:val="center"/>
              <w:rPr>
                <w:rFonts w:hint="eastAsia"/>
                <w:sz w:val="21"/>
                <w:szCs w:val="21"/>
                <w:lang w:eastAsia="zh-CN"/>
              </w:rPr>
            </w:pPr>
            <w:r>
              <w:rPr>
                <w:rFonts w:hint="eastAsia"/>
                <w:sz w:val="21"/>
                <w:szCs w:val="21"/>
              </w:rPr>
              <w:t>已落实，项目厂界噪声满足《工业企业厂界环境噪声排放标准》（</w:t>
            </w:r>
            <w:r>
              <w:rPr>
                <w:sz w:val="21"/>
                <w:szCs w:val="21"/>
              </w:rPr>
              <w:t>GB12348-2008</w:t>
            </w:r>
            <w:r>
              <w:rPr>
                <w:rFonts w:hint="eastAsia"/>
                <w:sz w:val="21"/>
                <w:szCs w:val="21"/>
              </w:rPr>
              <w:t>）中</w:t>
            </w:r>
            <w:r>
              <w:rPr>
                <w:rFonts w:hint="eastAsia"/>
                <w:sz w:val="21"/>
                <w:szCs w:val="21"/>
                <w:lang w:val="en-US" w:eastAsia="zh-CN"/>
              </w:rPr>
              <w:t>3</w:t>
            </w:r>
            <w:r>
              <w:rPr>
                <w:rFonts w:hint="eastAsia"/>
                <w:sz w:val="21"/>
                <w:szCs w:val="21"/>
              </w:rPr>
              <w:t>类区标准要求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jc w:val="center"/>
        </w:trPr>
        <w:tc>
          <w:tcPr>
            <w:tcW w:w="519" w:type="pct"/>
            <w:noWrap w:val="0"/>
            <w:vAlign w:val="center"/>
          </w:tcPr>
          <w:p>
            <w:pPr>
              <w:jc w:val="center"/>
              <w:rPr>
                <w:sz w:val="21"/>
                <w:szCs w:val="21"/>
              </w:rPr>
            </w:pPr>
            <w:r>
              <w:rPr>
                <w:rFonts w:hint="eastAsia"/>
                <w:sz w:val="21"/>
                <w:szCs w:val="21"/>
              </w:rPr>
              <w:t>固废治理</w:t>
            </w:r>
          </w:p>
        </w:tc>
        <w:tc>
          <w:tcPr>
            <w:tcW w:w="2749" w:type="pct"/>
            <w:noWrap w:val="0"/>
            <w:vAlign w:val="center"/>
          </w:tcPr>
          <w:p>
            <w:pPr>
              <w:pStyle w:val="27"/>
              <w:keepNext w:val="0"/>
              <w:keepLines w:val="0"/>
              <w:widowControl/>
              <w:suppressLineNumbers w:val="0"/>
              <w:spacing w:before="0" w:beforeAutospacing="0" w:after="0" w:afterAutospacing="0"/>
              <w:ind w:left="0" w:right="0" w:firstLine="0"/>
              <w:jc w:val="center"/>
              <w:rPr>
                <w:sz w:val="21"/>
                <w:szCs w:val="21"/>
              </w:rPr>
            </w:pPr>
            <w:r>
              <w:rPr>
                <w:rFonts w:hint="default"/>
                <w:sz w:val="21"/>
                <w:szCs w:val="21"/>
              </w:rPr>
              <w:t>项目建成运行后，产生的各种固体废弃物均可以根据各种固废不同的属性，进行相应的处理，从而实现固废的资源化和无害化处理。项目产生的固废不外排，不会对区域环境造成不利影响</w:t>
            </w:r>
          </w:p>
        </w:tc>
        <w:tc>
          <w:tcPr>
            <w:tcW w:w="1731" w:type="pct"/>
            <w:noWrap w:val="0"/>
            <w:vAlign w:val="center"/>
          </w:tcPr>
          <w:p>
            <w:pPr>
              <w:jc w:val="center"/>
              <w:rPr>
                <w:rFonts w:hint="eastAsia" w:eastAsia="宋体"/>
                <w:sz w:val="21"/>
                <w:szCs w:val="21"/>
                <w:lang w:eastAsia="zh-CN"/>
              </w:rPr>
            </w:pPr>
            <w:r>
              <w:rPr>
                <w:rFonts w:hint="eastAsia" w:eastAsia="宋体"/>
                <w:sz w:val="21"/>
                <w:szCs w:val="21"/>
                <w:lang w:val="en-US" w:eastAsia="zh-CN"/>
              </w:rPr>
              <w:t>废包装材料、废待镀锌件和镀锌件、锌底渣</w:t>
            </w:r>
            <w:r>
              <w:rPr>
                <w:rFonts w:hint="eastAsia"/>
                <w:sz w:val="21"/>
                <w:szCs w:val="21"/>
                <w:lang w:val="en-US" w:eastAsia="zh-CN"/>
              </w:rPr>
              <w:t>、富锌氧化锌</w:t>
            </w:r>
            <w:r>
              <w:rPr>
                <w:rFonts w:hint="eastAsia" w:eastAsia="宋体"/>
                <w:sz w:val="21"/>
                <w:szCs w:val="21"/>
                <w:lang w:val="en-US" w:eastAsia="zh-CN"/>
              </w:rPr>
              <w:t>集中收集暂存于一般工业固废暂存场所，定期资源外售；酸洗池废液、碱洗池底渣、酸洗池底渣、助镀含铁污泥、污水处理站含铁污泥、布袋收尘器收集锌尘、布袋除尘器更换的滤芯分类收集，规范贮存于危废贮存库，定期交由有资质单位处置；生活垃圾交由环卫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9" w:hRule="atLeast"/>
          <w:jc w:val="center"/>
        </w:trPr>
        <w:tc>
          <w:tcPr>
            <w:tcW w:w="519" w:type="pct"/>
            <w:noWrap w:val="0"/>
            <w:vAlign w:val="center"/>
          </w:tcPr>
          <w:p>
            <w:pPr>
              <w:jc w:val="center"/>
              <w:rPr>
                <w:rFonts w:hint="eastAsia"/>
                <w:sz w:val="21"/>
                <w:szCs w:val="21"/>
              </w:rPr>
            </w:pPr>
            <w:r>
              <w:rPr>
                <w:rFonts w:hint="eastAsia"/>
                <w:sz w:val="21"/>
                <w:szCs w:val="21"/>
              </w:rPr>
              <w:t>环评总结论</w:t>
            </w:r>
          </w:p>
        </w:tc>
        <w:tc>
          <w:tcPr>
            <w:tcW w:w="2749" w:type="pct"/>
            <w:noWrap w:val="0"/>
            <w:vAlign w:val="center"/>
          </w:tcPr>
          <w:p>
            <w:pPr>
              <w:pStyle w:val="27"/>
              <w:keepNext w:val="0"/>
              <w:keepLines w:val="0"/>
              <w:widowControl/>
              <w:suppressLineNumbers w:val="0"/>
              <w:spacing w:before="0" w:beforeAutospacing="0" w:after="0" w:afterAutospacing="0"/>
              <w:ind w:right="0"/>
              <w:jc w:val="center"/>
              <w:rPr>
                <w:sz w:val="21"/>
                <w:szCs w:val="21"/>
              </w:rPr>
            </w:pPr>
            <w:r>
              <w:rPr>
                <w:rFonts w:hint="default"/>
                <w:sz w:val="21"/>
                <w:szCs w:val="21"/>
              </w:rPr>
              <w:t>综上所述，本项目符合国家产业政策，选址合理，本项目拟采取的各项污染治理措施技术经济可行，污染物得到有效控制，采取了环评提出的环保措施可实现</w:t>
            </w:r>
            <w:r>
              <w:rPr>
                <w:rFonts w:hint="default"/>
                <w:sz w:val="21"/>
                <w:szCs w:val="21"/>
                <w:lang w:eastAsia="zh-CN"/>
              </w:rPr>
              <w:t>“</w:t>
            </w:r>
            <w:r>
              <w:rPr>
                <w:rFonts w:hint="default"/>
                <w:sz w:val="21"/>
                <w:szCs w:val="21"/>
              </w:rPr>
              <w:t>三废</w:t>
            </w:r>
            <w:r>
              <w:rPr>
                <w:rFonts w:hint="default"/>
                <w:sz w:val="21"/>
                <w:szCs w:val="21"/>
                <w:lang w:eastAsia="zh-CN"/>
              </w:rPr>
              <w:t>”</w:t>
            </w:r>
            <w:r>
              <w:rPr>
                <w:rFonts w:hint="default"/>
                <w:sz w:val="21"/>
                <w:szCs w:val="21"/>
              </w:rPr>
              <w:t>和噪声达标排放，对评价区域环境影响较小，不会改变该区域环境功能；工程在施工期会对局部环境产生一定影响，采取污染防治措施后对环境产生的影响较小，运营期拟采用的污染防治措施技术经济可行；环境风险在可接受水平内。项目采取网络平台公示、报纸公示、现场张贴等方式开展了公众参与调查工作，公众参与调查过程中未收到群众反馈意见。因此，从环境影响评价的角度分析，本项目的建设是可行的</w:t>
            </w:r>
          </w:p>
        </w:tc>
        <w:tc>
          <w:tcPr>
            <w:tcW w:w="1731" w:type="pct"/>
            <w:noWrap w:val="0"/>
            <w:vAlign w:val="center"/>
          </w:tcPr>
          <w:p>
            <w:pPr>
              <w:jc w:val="center"/>
              <w:rPr>
                <w:rFonts w:hint="eastAsia" w:eastAsia="宋体"/>
                <w:sz w:val="21"/>
                <w:szCs w:val="21"/>
                <w:lang w:val="en-US" w:eastAsia="zh-CN"/>
              </w:rPr>
            </w:pPr>
            <w:r>
              <w:rPr>
                <w:rFonts w:hint="eastAsia"/>
                <w:sz w:val="21"/>
                <w:szCs w:val="21"/>
                <w:lang w:val="en-US" w:eastAsia="zh-CN"/>
              </w:rPr>
              <w:t>符合</w:t>
            </w:r>
          </w:p>
        </w:tc>
      </w:tr>
    </w:tbl>
    <w:p>
      <w:pPr>
        <w:pStyle w:val="49"/>
        <w:ind w:firstLine="0"/>
        <w:outlineLvl w:val="1"/>
        <w:rPr>
          <w:rFonts w:ascii="Times New Roman" w:hAnsi="Times New Roman"/>
          <w:b/>
          <w:sz w:val="28"/>
          <w:szCs w:val="28"/>
        </w:rPr>
      </w:pPr>
      <w:bookmarkStart w:id="227" w:name="_Toc134"/>
    </w:p>
    <w:p>
      <w:pPr>
        <w:pStyle w:val="49"/>
        <w:ind w:firstLine="0"/>
        <w:outlineLvl w:val="1"/>
        <w:rPr>
          <w:rFonts w:ascii="Times New Roman" w:hAnsi="Times New Roman"/>
          <w:b/>
          <w:bCs/>
          <w:sz w:val="28"/>
          <w:szCs w:val="28"/>
        </w:rPr>
      </w:pPr>
      <w:r>
        <w:rPr>
          <w:rFonts w:ascii="Times New Roman" w:hAnsi="Times New Roman"/>
          <w:b/>
          <w:sz w:val="28"/>
          <w:szCs w:val="28"/>
        </w:rPr>
        <w:t>5.2关于项目环境影响报告书的批复</w:t>
      </w:r>
      <w:bookmarkEnd w:id="223"/>
      <w:bookmarkEnd w:id="224"/>
      <w:bookmarkEnd w:id="225"/>
      <w:bookmarkEnd w:id="226"/>
      <w:bookmarkEnd w:id="227"/>
    </w:p>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rPr>
      </w:pPr>
      <w:bookmarkStart w:id="228" w:name="_Toc18367"/>
      <w:bookmarkStart w:id="229" w:name="_Toc2618"/>
      <w:bookmarkStart w:id="230" w:name="_Toc4027"/>
      <w:bookmarkStart w:id="231" w:name="_Toc22039"/>
      <w:r>
        <w:rPr>
          <w:rFonts w:hint="default" w:ascii="Times New Roman" w:hAnsi="Times New Roman" w:cs="Times New Roman"/>
        </w:rPr>
        <w:t>一、项目实施可能对大气和地下水环境等产生不利影响，在全面落实《报告书》和本批复提出的各项污染防治措施后，所产生的环境不利影响可以得到一定控制和缓解。我局原则同意《报告书》结论及其提出的环境保护措施。</w:t>
      </w:r>
    </w:p>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lang w:eastAsia="zh-CN"/>
        </w:rPr>
      </w:pPr>
      <w:r>
        <w:rPr>
          <w:rFonts w:hint="default" w:ascii="Times New Roman" w:hAnsi="Times New Roman" w:cs="Times New Roman"/>
        </w:rPr>
        <w:t>二、在项目建设和运营过程中，应全面落实《报告书》提出的各项污染防治措施，并重点做好以下工作</w:t>
      </w:r>
      <w:r>
        <w:rPr>
          <w:rFonts w:hint="eastAsia" w:cs="Times New Roman"/>
          <w:lang w:eastAsia="zh-CN"/>
        </w:rPr>
        <w:t>：</w:t>
      </w:r>
    </w:p>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rPr>
      </w:pPr>
      <w:r>
        <w:rPr>
          <w:rFonts w:hint="default" w:ascii="Times New Roman" w:hAnsi="Times New Roman" w:cs="Times New Roman"/>
        </w:rPr>
        <w:t>1.工艺废气实行分类收集和分质处理，严格控制无组织排放，按规范要求设置废气排放口。</w:t>
      </w:r>
    </w:p>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rPr>
      </w:pPr>
      <w:r>
        <w:rPr>
          <w:rFonts w:hint="default" w:ascii="Times New Roman" w:hAnsi="Times New Roman" w:cs="Times New Roman"/>
        </w:rPr>
        <w:t>1#车间内酸洗池、助镀池、转换坑、锌锅池、返镀池、冷却池等区域应作封闭设计形成负压系统，产生的酸性废气经负压收集管道收集至2套碱液喷淋塔处理后经1根18 高排气简排放</w:t>
      </w:r>
      <w:r>
        <w:rPr>
          <w:rFonts w:hint="eastAsia" w:cs="Times New Roman"/>
          <w:lang w:eastAsia="zh-CN"/>
        </w:rPr>
        <w:t>（</w:t>
      </w:r>
      <w:r>
        <w:rPr>
          <w:rFonts w:hint="default" w:ascii="Times New Roman" w:hAnsi="Times New Roman" w:cs="Times New Roman"/>
        </w:rPr>
        <w:t>DA001</w:t>
      </w:r>
      <w:r>
        <w:rPr>
          <w:rFonts w:hint="eastAsia" w:cs="Times New Roman"/>
          <w:lang w:eastAsia="zh-CN"/>
        </w:rPr>
        <w:t>）</w:t>
      </w:r>
      <w:r>
        <w:rPr>
          <w:rFonts w:hint="default" w:ascii="Times New Roman" w:hAnsi="Times New Roman" w:cs="Times New Roman"/>
        </w:rPr>
        <w:t>。锌锅顶部两侧安装负压吸风口及弧形板，上方使用滑动式耐高温幕布封闭，产生的锌烟经负压收集至布袋除尘器处理后通过1根18m 高排气简排放</w:t>
      </w:r>
      <w:r>
        <w:rPr>
          <w:rFonts w:hint="eastAsia" w:cs="Times New Roman"/>
          <w:lang w:eastAsia="zh-CN"/>
        </w:rPr>
        <w:t>（</w:t>
      </w:r>
      <w:r>
        <w:rPr>
          <w:rFonts w:hint="default" w:ascii="Times New Roman" w:hAnsi="Times New Roman" w:cs="Times New Roman"/>
        </w:rPr>
        <w:t>DA002</w:t>
      </w:r>
      <w:r>
        <w:rPr>
          <w:rFonts w:hint="eastAsia" w:cs="Times New Roman"/>
          <w:lang w:eastAsia="zh-CN"/>
        </w:rPr>
        <w:t>）；</w:t>
      </w:r>
      <w:r>
        <w:rPr>
          <w:rFonts w:hint="default" w:ascii="Times New Roman" w:hAnsi="Times New Roman" w:cs="Times New Roman"/>
        </w:rPr>
        <w:t>天然气加热炉配套低氨燃烧器，废气通过1根18m 高排气简排放</w:t>
      </w:r>
      <w:r>
        <w:rPr>
          <w:rFonts w:hint="eastAsia" w:cs="Times New Roman"/>
          <w:lang w:eastAsia="zh-CN"/>
        </w:rPr>
        <w:t>（</w:t>
      </w:r>
      <w:r>
        <w:rPr>
          <w:rFonts w:hint="default" w:ascii="Times New Roman" w:hAnsi="Times New Roman" w:cs="Times New Roman"/>
        </w:rPr>
        <w:t>DA003</w:t>
      </w:r>
      <w:r>
        <w:rPr>
          <w:rFonts w:hint="eastAsia" w:cs="Times New Roman"/>
          <w:lang w:eastAsia="zh-CN"/>
        </w:rPr>
        <w:t>）</w:t>
      </w:r>
    </w:p>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rPr>
      </w:pPr>
      <w:r>
        <w:rPr>
          <w:rFonts w:hint="default" w:ascii="Times New Roman" w:hAnsi="Times New Roman" w:cs="Times New Roman"/>
        </w:rPr>
        <w:t>颗粒物排放执行《大气污染物综合排放标准》</w:t>
      </w:r>
      <w:r>
        <w:rPr>
          <w:rFonts w:hint="eastAsia" w:cs="Times New Roman"/>
          <w:lang w:eastAsia="zh-CN"/>
        </w:rPr>
        <w:t>（</w:t>
      </w:r>
      <w:r>
        <w:rPr>
          <w:rFonts w:hint="default" w:ascii="Times New Roman" w:hAnsi="Times New Roman" w:cs="Times New Roman"/>
        </w:rPr>
        <w:t>GB16297-1996</w:t>
      </w:r>
      <w:r>
        <w:rPr>
          <w:rFonts w:hint="eastAsia" w:cs="Times New Roman"/>
          <w:lang w:eastAsia="zh-CN"/>
        </w:rPr>
        <w:t>）</w:t>
      </w:r>
      <w:r>
        <w:rPr>
          <w:rFonts w:hint="default" w:ascii="Times New Roman" w:hAnsi="Times New Roman" w:cs="Times New Roman"/>
        </w:rPr>
        <w:t>表 2中二级标准及无组织排放监控浓度限值，氨排放执行《恶臭污染物排放标准》</w:t>
      </w:r>
      <w:r>
        <w:rPr>
          <w:rFonts w:hint="eastAsia" w:cs="Times New Roman"/>
          <w:lang w:eastAsia="zh-CN"/>
        </w:rPr>
        <w:t>（</w:t>
      </w:r>
      <w:r>
        <w:rPr>
          <w:rFonts w:hint="default" w:ascii="Times New Roman" w:hAnsi="Times New Roman" w:cs="Times New Roman"/>
        </w:rPr>
        <w:t>GB14554-93</w:t>
      </w:r>
      <w:r>
        <w:rPr>
          <w:rFonts w:hint="eastAsia" w:cs="Times New Roman"/>
          <w:lang w:eastAsia="zh-CN"/>
        </w:rPr>
        <w:t>）</w:t>
      </w:r>
      <w:r>
        <w:rPr>
          <w:rFonts w:hint="default" w:ascii="Times New Roman" w:hAnsi="Times New Roman" w:cs="Times New Roman"/>
        </w:rPr>
        <w:t>中表 2排放标准，氯化氢排放执行《电镀污染物排放标准》</w:t>
      </w:r>
      <w:r>
        <w:rPr>
          <w:rFonts w:hint="eastAsia" w:cs="Times New Roman"/>
          <w:lang w:eastAsia="zh-CN"/>
        </w:rPr>
        <w:t>（</w:t>
      </w:r>
      <w:r>
        <w:rPr>
          <w:rFonts w:hint="default" w:ascii="Times New Roman" w:hAnsi="Times New Roman" w:cs="Times New Roman"/>
        </w:rPr>
        <w:t>GB 21900-2008</w:t>
      </w:r>
      <w:r>
        <w:rPr>
          <w:rFonts w:hint="eastAsia" w:cs="Times New Roman"/>
          <w:lang w:eastAsia="zh-CN"/>
        </w:rPr>
        <w:t>）</w:t>
      </w:r>
      <w:r>
        <w:rPr>
          <w:rFonts w:hint="default" w:ascii="Times New Roman" w:hAnsi="Times New Roman" w:cs="Times New Roman"/>
        </w:rPr>
        <w:t>表 5中新建企业大气污染物排放浓度限值，天然气燃烧废气排放执行《关于印发&lt;工业炉窑大气污染综合治理方案&gt;的通知》</w:t>
      </w:r>
      <w:r>
        <w:rPr>
          <w:rFonts w:hint="eastAsia" w:cs="Times New Roman"/>
          <w:lang w:eastAsia="zh-CN"/>
        </w:rPr>
        <w:t>（</w:t>
      </w:r>
      <w:r>
        <w:rPr>
          <w:rFonts w:hint="default" w:ascii="Times New Roman" w:hAnsi="Times New Roman" w:cs="Times New Roman"/>
        </w:rPr>
        <w:t xml:space="preserve">环大气 </w:t>
      </w:r>
      <w:r>
        <w:rPr>
          <w:rFonts w:hint="eastAsia" w:ascii="Times New Roman" w:hAnsi="Times New Roman" w:cs="Times New Roman"/>
          <w:lang w:eastAsia="zh-CN"/>
        </w:rPr>
        <w:t>（</w:t>
      </w:r>
      <w:r>
        <w:rPr>
          <w:rFonts w:hint="default" w:ascii="Times New Roman" w:hAnsi="Times New Roman" w:cs="Times New Roman"/>
        </w:rPr>
        <w:t>2019</w:t>
      </w:r>
      <w:r>
        <w:rPr>
          <w:rFonts w:hint="eastAsia" w:ascii="Times New Roman" w:hAnsi="Times New Roman" w:cs="Times New Roman"/>
          <w:lang w:eastAsia="zh-CN"/>
        </w:rPr>
        <w:t>）</w:t>
      </w:r>
      <w:r>
        <w:rPr>
          <w:rFonts w:hint="default" w:ascii="Times New Roman" w:hAnsi="Times New Roman" w:cs="Times New Roman"/>
        </w:rPr>
        <w:t>56号</w:t>
      </w:r>
      <w:r>
        <w:rPr>
          <w:rFonts w:hint="eastAsia" w:cs="Times New Roman"/>
          <w:lang w:eastAsia="zh-CN"/>
        </w:rPr>
        <w:t>）</w:t>
      </w:r>
      <w:r>
        <w:rPr>
          <w:rFonts w:hint="default" w:ascii="Times New Roman" w:hAnsi="Times New Roman" w:cs="Times New Roman"/>
        </w:rPr>
        <w:t>中限值要求。</w:t>
      </w:r>
    </w:p>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rPr>
      </w:pPr>
      <w:r>
        <w:rPr>
          <w:rFonts w:hint="default" w:ascii="Times New Roman" w:hAnsi="Times New Roman" w:cs="Times New Roman"/>
        </w:rPr>
        <w:t>2.项目实行雨污分流，污水收集管网和回用水管网按</w:t>
      </w:r>
      <w:r>
        <w:rPr>
          <w:rFonts w:hint="eastAsia" w:cs="Times New Roman"/>
          <w:lang w:eastAsia="zh-CN"/>
        </w:rPr>
        <w:t>“</w:t>
      </w:r>
      <w:r>
        <w:rPr>
          <w:rFonts w:hint="default" w:ascii="Times New Roman" w:hAnsi="Times New Roman" w:cs="Times New Roman"/>
        </w:rPr>
        <w:t>可视化</w:t>
      </w:r>
      <w:r>
        <w:rPr>
          <w:rFonts w:hint="eastAsia" w:cs="Times New Roman"/>
          <w:lang w:eastAsia="zh-CN"/>
        </w:rPr>
        <w:t>”</w:t>
      </w:r>
      <w:r>
        <w:rPr>
          <w:rFonts w:hint="default" w:ascii="Times New Roman" w:hAnsi="Times New Roman" w:cs="Times New Roman"/>
        </w:rPr>
        <w:t>原则进行建设，不设置生产废水排放口。碱洗废水、酸洗漂洗废水、助镀池废水、喷淋塔废水等经自建污水处理站</w:t>
      </w:r>
      <w:r>
        <w:rPr>
          <w:rFonts w:hint="eastAsia" w:cs="Times New Roman"/>
          <w:lang w:eastAsia="zh-CN"/>
        </w:rPr>
        <w:t>（</w:t>
      </w:r>
      <w:r>
        <w:rPr>
          <w:rFonts w:hint="default" w:ascii="Times New Roman" w:hAnsi="Times New Roman" w:cs="Times New Roman"/>
        </w:rPr>
        <w:t>处理工艺</w:t>
      </w:r>
      <w:r>
        <w:rPr>
          <w:rFonts w:hint="eastAsia" w:cs="Times New Roman"/>
          <w:lang w:eastAsia="zh-CN"/>
        </w:rPr>
        <w:t>：</w:t>
      </w:r>
      <w:r>
        <w:rPr>
          <w:rFonts w:hint="default" w:ascii="Times New Roman" w:hAnsi="Times New Roman" w:cs="Times New Roman"/>
        </w:rPr>
        <w:t>中和曝气+氧化+压滤，处理规模</w:t>
      </w:r>
      <w:r>
        <w:rPr>
          <w:rFonts w:hint="eastAsia" w:cs="Times New Roman"/>
          <w:lang w:eastAsia="zh-CN"/>
        </w:rPr>
        <w:t>：</w:t>
      </w:r>
      <w:r>
        <w:rPr>
          <w:rFonts w:hint="default" w:ascii="Times New Roman" w:hAnsi="Times New Roman" w:cs="Times New Roman"/>
        </w:rPr>
        <w:t>50t/d</w:t>
      </w:r>
      <w:r>
        <w:rPr>
          <w:rFonts w:hint="eastAsia" w:cs="Times New Roman"/>
          <w:lang w:eastAsia="zh-CN"/>
        </w:rPr>
        <w:t>）</w:t>
      </w:r>
      <w:r>
        <w:rPr>
          <w:rFonts w:hint="default" w:ascii="Times New Roman" w:hAnsi="Times New Roman" w:cs="Times New Roman"/>
        </w:rPr>
        <w:t>处理后回用于生产，不得外排</w:t>
      </w:r>
      <w:r>
        <w:rPr>
          <w:rFonts w:hint="eastAsia" w:cs="Times New Roman"/>
          <w:lang w:eastAsia="zh-CN"/>
        </w:rPr>
        <w:t>；</w:t>
      </w:r>
      <w:r>
        <w:rPr>
          <w:rFonts w:hint="default" w:ascii="Times New Roman" w:hAnsi="Times New Roman" w:cs="Times New Roman"/>
        </w:rPr>
        <w:t>生活污水经预处理后接入市政污水管网，排至平桥污水处理厂进一步处理。</w:t>
      </w:r>
    </w:p>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rPr>
      </w:pPr>
      <w:r>
        <w:rPr>
          <w:rFonts w:hint="default" w:ascii="Times New Roman" w:hAnsi="Times New Roman" w:cs="Times New Roman"/>
        </w:rPr>
        <w:t>3.优先选用低噪声设备，采取基础减振、设置声屏障等措施降低噪声影响，确保厂界噪声达到《工业企业厂界环境噪声排放标准》</w:t>
      </w:r>
      <w:r>
        <w:rPr>
          <w:rFonts w:hint="eastAsia" w:cs="Times New Roman"/>
          <w:lang w:eastAsia="zh-CN"/>
        </w:rPr>
        <w:t>（</w:t>
      </w:r>
      <w:r>
        <w:rPr>
          <w:rFonts w:hint="default" w:ascii="Times New Roman" w:hAnsi="Times New Roman" w:cs="Times New Roman"/>
        </w:rPr>
        <w:t>GB12348-2008</w:t>
      </w:r>
      <w:r>
        <w:rPr>
          <w:rFonts w:hint="eastAsia" w:cs="Times New Roman"/>
          <w:lang w:eastAsia="zh-CN"/>
        </w:rPr>
        <w:t>）</w:t>
      </w:r>
      <w:r>
        <w:rPr>
          <w:rFonts w:hint="default" w:ascii="Times New Roman" w:hAnsi="Times New Roman" w:cs="Times New Roman"/>
        </w:rPr>
        <w:t>中3类标准。</w:t>
      </w:r>
    </w:p>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rPr>
      </w:pPr>
      <w:r>
        <w:rPr>
          <w:rFonts w:hint="default" w:ascii="Times New Roman" w:hAnsi="Times New Roman" w:cs="Times New Roman"/>
        </w:rPr>
        <w:t>4</w:t>
      </w:r>
      <w:r>
        <w:rPr>
          <w:rFonts w:hint="eastAsia" w:cs="Times New Roman"/>
          <w:lang w:eastAsia="zh-CN"/>
        </w:rPr>
        <w:t>.</w:t>
      </w:r>
      <w:r>
        <w:rPr>
          <w:rFonts w:hint="default" w:ascii="Times New Roman" w:hAnsi="Times New Roman" w:cs="Times New Roman"/>
        </w:rPr>
        <w:t>按照《危险废物贮存污染控制标准》</w:t>
      </w:r>
      <w:r>
        <w:rPr>
          <w:rFonts w:hint="eastAsia" w:cs="Times New Roman"/>
          <w:lang w:eastAsia="zh-CN"/>
        </w:rPr>
        <w:t>（</w:t>
      </w:r>
      <w:r>
        <w:rPr>
          <w:rFonts w:hint="default" w:ascii="Times New Roman" w:hAnsi="Times New Roman" w:cs="Times New Roman"/>
        </w:rPr>
        <w:t>GB18597-2023</w:t>
      </w:r>
      <w:r>
        <w:rPr>
          <w:rFonts w:hint="eastAsia" w:cs="Times New Roman"/>
          <w:lang w:eastAsia="zh-CN"/>
        </w:rPr>
        <w:t>）</w:t>
      </w:r>
      <w:r>
        <w:rPr>
          <w:rFonts w:hint="default" w:ascii="Times New Roman" w:hAnsi="Times New Roman" w:cs="Times New Roman"/>
        </w:rPr>
        <w:t>及修改单中的要求规范建设危险废物暂存场所，酸洗池废液和底渣、碱洗池底渣、助镀含铁污泥、污水处理站含铁污泥、锌浮渣/锌底渣、布袋收尘器收集锌尘、布袋除尘器更换的废滤芯等危险废物应分类收集，委托具有危险废物处理资质的单位定期转运处理，落实危险废物转移联单管理制度</w:t>
      </w:r>
      <w:r>
        <w:rPr>
          <w:rFonts w:hint="eastAsia" w:ascii="Times New Roman" w:hAnsi="Times New Roman" w:cs="Times New Roman"/>
          <w:lang w:eastAsia="zh-CN"/>
        </w:rPr>
        <w:t>；</w:t>
      </w:r>
      <w:r>
        <w:rPr>
          <w:rFonts w:hint="default" w:ascii="Times New Roman" w:hAnsi="Times New Roman" w:cs="Times New Roman"/>
        </w:rPr>
        <w:t>一般工业固体废物暂存场所建设应满足防渗漏、防雨淋、防扬尘等环境保护要求，生活垃圾分类收集定期委托环卫部门清运。</w:t>
      </w:r>
    </w:p>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rPr>
      </w:pPr>
      <w:r>
        <w:rPr>
          <w:rFonts w:hint="default" w:ascii="Times New Roman" w:hAnsi="Times New Roman" w:cs="Times New Roman"/>
        </w:rPr>
        <w:t>5.设置足够容量的事故应急池，配套事故废水自动截断、收集措施，确保事故性废水不直接排入地表水体</w:t>
      </w:r>
      <w:r>
        <w:rPr>
          <w:rFonts w:hint="eastAsia" w:cs="Times New Roman"/>
          <w:lang w:eastAsia="zh-CN"/>
        </w:rPr>
        <w:t>；</w:t>
      </w:r>
      <w:r>
        <w:rPr>
          <w:rFonts w:hint="default" w:ascii="Times New Roman" w:hAnsi="Times New Roman" w:cs="Times New Roman"/>
        </w:rPr>
        <w:t>生产车间安装自动控制系统、阻火器、可燃气体报警仪、联锁报警系统等。编制突发环境事件应急预案并定期演练。</w:t>
      </w:r>
    </w:p>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rPr>
      </w:pPr>
      <w:r>
        <w:rPr>
          <w:rFonts w:hint="default" w:ascii="Times New Roman" w:hAnsi="Times New Roman" w:cs="Times New Roman"/>
        </w:rPr>
        <w:t>6.按照分区防渗原则，对热镀锌生产线、污水处理设施、危险废物贮存库、事故应急池、危化品仓库等区域进行重点防渗，设置防渗结构层，其他区域纳入一般防渗区。强化定期排查环境风险，杜绝厂区内跑、冒、滴、漏事故发生，避免污染地下水。定期对厂区下游区域地下水和厂区周围土壤进行监测，发现异常应及时采取相应措施。</w:t>
      </w:r>
    </w:p>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lang w:eastAsia="zh-CN"/>
        </w:rPr>
      </w:pPr>
      <w:r>
        <w:rPr>
          <w:rFonts w:hint="default" w:ascii="Times New Roman" w:hAnsi="Times New Roman" w:cs="Times New Roman"/>
        </w:rPr>
        <w:t>7.根据《报告书》预测，以1</w:t>
      </w:r>
      <w:r>
        <w:rPr>
          <w:rFonts w:hint="eastAsia" w:ascii="Times New Roman" w:hAnsi="Times New Roman" w:cs="Times New Roman"/>
          <w:lang w:val="en-US" w:eastAsia="zh-CN"/>
        </w:rPr>
        <w:t>#</w:t>
      </w:r>
      <w:r>
        <w:rPr>
          <w:rFonts w:hint="default" w:ascii="Times New Roman" w:hAnsi="Times New Roman" w:cs="Times New Roman"/>
        </w:rPr>
        <w:t>车间为边界设置100米的卫生防护距离，据此折算厂界环境防护距离</w:t>
      </w:r>
      <w:r>
        <w:rPr>
          <w:rFonts w:hint="eastAsia" w:cs="Times New Roman"/>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1"/>
        <w:rPr>
          <w:rFonts w:hint="default" w:ascii="Times New Roman" w:hAnsi="Times New Roman" w:eastAsia="宋体" w:cs="Times New Roman"/>
          <w:kern w:val="0"/>
          <w:sz w:val="24"/>
          <w:szCs w:val="24"/>
          <w:lang w:val="en-US" w:eastAsia="zh-CN" w:bidi="ar"/>
        </w:rPr>
      </w:pPr>
      <w:bookmarkStart w:id="232" w:name="_Toc31776"/>
      <w:r>
        <w:rPr>
          <w:rFonts w:hint="default" w:ascii="Times New Roman" w:hAnsi="Times New Roman" w:eastAsia="宋体" w:cs="Times New Roman"/>
          <w:kern w:val="0"/>
          <w:sz w:val="24"/>
          <w:szCs w:val="24"/>
          <w:lang w:val="en-US" w:eastAsia="zh-CN" w:bidi="ar"/>
        </w:rPr>
        <w:t>8.项目性质、规模、地点、采用的生产工艺或者防治污染措施发生重大变动的，你公司应当重新报批该项目的环境影响评价文件。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1"/>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kern w:val="0"/>
          <w:sz w:val="24"/>
          <w:szCs w:val="24"/>
          <w:lang w:val="en-US" w:eastAsia="zh-CN" w:bidi="ar"/>
        </w:rPr>
        <w:t>三、工程建设应严格执行环境保护设施与主体工程同时设计、同时施工、同时投入使用的环境保护</w:t>
      </w:r>
      <w:r>
        <w:rPr>
          <w:rFonts w:hint="eastAsia" w:cs="Times New Roman"/>
          <w:kern w:val="0"/>
          <w:sz w:val="24"/>
          <w:szCs w:val="24"/>
          <w:lang w:val="en-US" w:eastAsia="zh-CN" w:bidi="ar"/>
        </w:rPr>
        <w:t>“</w:t>
      </w:r>
      <w:r>
        <w:rPr>
          <w:rFonts w:hint="default" w:ascii="Times New Roman" w:hAnsi="Times New Roman" w:eastAsia="宋体" w:cs="Times New Roman"/>
          <w:kern w:val="0"/>
          <w:sz w:val="24"/>
          <w:szCs w:val="24"/>
          <w:lang w:val="en-US" w:eastAsia="zh-CN" w:bidi="ar"/>
        </w:rPr>
        <w:t>三同时</w:t>
      </w:r>
      <w:r>
        <w:rPr>
          <w:rFonts w:hint="eastAsia" w:cs="Times New Roman"/>
          <w:kern w:val="0"/>
          <w:sz w:val="24"/>
          <w:szCs w:val="24"/>
          <w:lang w:val="en-US" w:eastAsia="zh-CN" w:bidi="ar"/>
        </w:rPr>
        <w:t>”</w:t>
      </w:r>
      <w:r>
        <w:rPr>
          <w:rFonts w:hint="default" w:ascii="Times New Roman" w:hAnsi="Times New Roman" w:eastAsia="宋体" w:cs="Times New Roman"/>
          <w:kern w:val="0"/>
          <w:sz w:val="24"/>
          <w:szCs w:val="24"/>
          <w:lang w:val="en-US" w:eastAsia="zh-CN" w:bidi="ar"/>
        </w:rPr>
        <w:t>制度。项目建成后，必须严格执行排污许可制度，在发生实际排污行为前申领排污许可证，及时自行组织竣工环境保护验收。按照要求落实运营期自行监测计划，主动公开相关信息，接受社会监督。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1"/>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kern w:val="0"/>
          <w:sz w:val="24"/>
          <w:szCs w:val="24"/>
          <w:lang w:val="en-US" w:eastAsia="zh-CN" w:bidi="ar"/>
        </w:rPr>
        <w:t>四、裕安区生态环境分局负责该项目的环境监管工作</w:t>
      </w:r>
      <w:r>
        <w:rPr>
          <w:rFonts w:hint="eastAsia" w:ascii="Times New Roman" w:hAnsi="Times New Roman" w:cs="Times New Roman"/>
          <w:kern w:val="0"/>
          <w:sz w:val="24"/>
          <w:szCs w:val="24"/>
          <w:lang w:val="en-US" w:eastAsia="zh-CN" w:bidi="ar"/>
        </w:rPr>
        <w:t>。</w:t>
      </w:r>
    </w:p>
    <w:p>
      <w:pPr>
        <w:jc w:val="left"/>
        <w:outlineLvl w:val="1"/>
        <w:rPr>
          <w:b/>
          <w:sz w:val="28"/>
          <w:szCs w:val="28"/>
        </w:rPr>
      </w:pPr>
    </w:p>
    <w:p>
      <w:pPr>
        <w:jc w:val="left"/>
        <w:outlineLvl w:val="1"/>
        <w:rPr>
          <w:b/>
          <w:sz w:val="28"/>
          <w:szCs w:val="28"/>
        </w:rPr>
      </w:pPr>
      <w:r>
        <w:rPr>
          <w:b/>
          <w:sz w:val="28"/>
          <w:szCs w:val="28"/>
        </w:rPr>
        <w:t>5.3环评及批复要求中相关设施、措施</w:t>
      </w:r>
      <w:r>
        <w:rPr>
          <w:b/>
          <w:color w:val="auto"/>
          <w:sz w:val="28"/>
          <w:szCs w:val="28"/>
        </w:rPr>
        <w:t>核查</w:t>
      </w:r>
      <w:bookmarkEnd w:id="228"/>
      <w:bookmarkEnd w:id="229"/>
      <w:bookmarkEnd w:id="230"/>
      <w:bookmarkEnd w:id="231"/>
      <w:bookmarkEnd w:id="232"/>
    </w:p>
    <w:p>
      <w:pPr>
        <w:pStyle w:val="30"/>
        <w:spacing w:after="0" w:line="360" w:lineRule="auto"/>
        <w:ind w:left="0" w:leftChars="0" w:firstLine="0"/>
        <w:jc w:val="center"/>
        <w:rPr>
          <w:lang w:eastAsia="zh-CN"/>
        </w:rPr>
      </w:pPr>
      <w:r>
        <w:rPr>
          <w:rFonts w:ascii="Times New Roman" w:hAnsi="Times New Roman"/>
          <w:b/>
          <w:sz w:val="24"/>
          <w:lang w:eastAsia="zh-CN"/>
        </w:rPr>
        <w:t xml:space="preserve">表5.1  </w:t>
      </w:r>
      <w:r>
        <w:rPr>
          <w:rFonts w:hint="eastAsia" w:ascii="Times New Roman" w:hAnsi="Times New Roman"/>
          <w:b/>
          <w:sz w:val="24"/>
          <w:lang w:eastAsia="zh-CN"/>
        </w:rPr>
        <w:t>环评及批复要求中相关设施、措施核查</w:t>
      </w:r>
      <w:r>
        <w:rPr>
          <w:rFonts w:ascii="Times New Roman" w:hAnsi="Times New Roman"/>
          <w:b/>
          <w:sz w:val="24"/>
          <w:lang w:eastAsia="zh-CN"/>
        </w:rPr>
        <w:t>一览表</w:t>
      </w:r>
    </w:p>
    <w:tbl>
      <w:tblPr>
        <w:tblStyle w:val="3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04"/>
        <w:gridCol w:w="4476"/>
        <w:gridCol w:w="31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vAlign w:val="center"/>
          </w:tcPr>
          <w:p>
            <w:pPr>
              <w:jc w:val="center"/>
              <w:rPr>
                <w:szCs w:val="21"/>
              </w:rPr>
            </w:pPr>
            <w:r>
              <w:rPr>
                <w:rFonts w:hAnsi="宋体"/>
                <w:szCs w:val="21"/>
              </w:rPr>
              <w:t>序号</w:t>
            </w:r>
          </w:p>
        </w:tc>
        <w:tc>
          <w:tcPr>
            <w:tcW w:w="4476" w:type="dxa"/>
            <w:vAlign w:val="center"/>
          </w:tcPr>
          <w:p>
            <w:pPr>
              <w:jc w:val="center"/>
              <w:rPr>
                <w:szCs w:val="21"/>
              </w:rPr>
            </w:pPr>
            <w:r>
              <w:rPr>
                <w:rFonts w:hAnsi="宋体"/>
                <w:szCs w:val="21"/>
              </w:rPr>
              <w:t>审批意见</w:t>
            </w:r>
          </w:p>
        </w:tc>
        <w:tc>
          <w:tcPr>
            <w:tcW w:w="3111" w:type="dxa"/>
            <w:vAlign w:val="center"/>
          </w:tcPr>
          <w:p>
            <w:pPr>
              <w:jc w:val="center"/>
              <w:rPr>
                <w:szCs w:val="21"/>
              </w:rPr>
            </w:pPr>
            <w:r>
              <w:rPr>
                <w:rFonts w:hAnsi="宋体"/>
                <w:szCs w:val="21"/>
              </w:rPr>
              <w:t>落实情况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vAlign w:val="center"/>
          </w:tcPr>
          <w:p>
            <w:pPr>
              <w:jc w:val="center"/>
              <w:rPr>
                <w:szCs w:val="21"/>
              </w:rPr>
            </w:pPr>
            <w:r>
              <w:rPr>
                <w:rFonts w:hint="eastAsia"/>
                <w:szCs w:val="21"/>
              </w:rPr>
              <w:t>1</w:t>
            </w:r>
          </w:p>
        </w:tc>
        <w:tc>
          <w:tcPr>
            <w:tcW w:w="4476" w:type="dxa"/>
            <w:vAlign w:val="center"/>
          </w:tcPr>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工艺废气实行分类收集和分质处理，严格控制无组织排放，按规范要求设置废气排放口。</w:t>
            </w:r>
          </w:p>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1#车间内酸洗池、助镀池、转换坑、锌锅池、返镀池、冷却池等区域应作封闭设计形成负压系统，产生的酸性废气经负压收集管道收集至2套碱液喷淋塔处理后经1根18 高排气简排放(DA001)。锌锅顶部两侧安装负压吸风口及弧形板，上方使用滑动式耐高温幕布封闭，产生的锌烟经负压收集至布袋除尘器处理后通过1根18m 高排气简排放</w:t>
            </w:r>
            <w:r>
              <w:rPr>
                <w:rFonts w:hint="eastAsia" w:cs="Times New Roman"/>
                <w:sz w:val="21"/>
                <w:szCs w:val="21"/>
                <w:lang w:eastAsia="zh-CN"/>
              </w:rPr>
              <w:t>（</w:t>
            </w:r>
            <w:r>
              <w:rPr>
                <w:rFonts w:hint="default" w:ascii="Times New Roman" w:hAnsi="Times New Roman" w:eastAsia="宋体" w:cs="Times New Roman"/>
                <w:sz w:val="21"/>
                <w:szCs w:val="21"/>
              </w:rPr>
              <w:t>DA002</w:t>
            </w:r>
            <w:r>
              <w:rPr>
                <w:rFonts w:hint="eastAsia" w:cs="Times New Roman"/>
                <w:sz w:val="21"/>
                <w:szCs w:val="21"/>
                <w:lang w:eastAsia="zh-CN"/>
              </w:rPr>
              <w:t>）；</w:t>
            </w:r>
            <w:r>
              <w:rPr>
                <w:rFonts w:hint="default" w:ascii="Times New Roman" w:hAnsi="Times New Roman" w:eastAsia="宋体" w:cs="Times New Roman"/>
                <w:sz w:val="21"/>
                <w:szCs w:val="21"/>
              </w:rPr>
              <w:t>天然气加热炉配套低氨燃烧器，废气通过1根18m 高排气简排放</w:t>
            </w:r>
            <w:r>
              <w:rPr>
                <w:rFonts w:hint="eastAsia" w:cs="Times New Roman"/>
                <w:sz w:val="21"/>
                <w:szCs w:val="21"/>
                <w:lang w:eastAsia="zh-CN"/>
              </w:rPr>
              <w:t>（</w:t>
            </w:r>
            <w:r>
              <w:rPr>
                <w:rFonts w:hint="default" w:ascii="Times New Roman" w:hAnsi="Times New Roman" w:eastAsia="宋体" w:cs="Times New Roman"/>
                <w:sz w:val="21"/>
                <w:szCs w:val="21"/>
              </w:rPr>
              <w:t>DA003</w:t>
            </w:r>
            <w:r>
              <w:rPr>
                <w:rFonts w:hint="eastAsia" w:cs="Times New Roman"/>
                <w:sz w:val="21"/>
                <w:szCs w:val="21"/>
                <w:lang w:eastAsia="zh-CN"/>
              </w:rPr>
              <w:t>）</w:t>
            </w:r>
          </w:p>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颗粒物排放执行《大气污染物综合排放标准》</w:t>
            </w:r>
            <w:r>
              <w:rPr>
                <w:rFonts w:hint="eastAsia" w:cs="Times New Roman"/>
                <w:sz w:val="21"/>
                <w:szCs w:val="21"/>
                <w:lang w:eastAsia="zh-CN"/>
              </w:rPr>
              <w:t>（</w:t>
            </w:r>
            <w:r>
              <w:rPr>
                <w:rFonts w:hint="default" w:ascii="Times New Roman" w:hAnsi="Times New Roman" w:eastAsia="宋体" w:cs="Times New Roman"/>
                <w:sz w:val="21"/>
                <w:szCs w:val="21"/>
              </w:rPr>
              <w:t>GB16297-1996</w:t>
            </w:r>
            <w:r>
              <w:rPr>
                <w:rFonts w:hint="eastAsia" w:cs="Times New Roman"/>
                <w:sz w:val="21"/>
                <w:szCs w:val="21"/>
                <w:lang w:eastAsia="zh-CN"/>
              </w:rPr>
              <w:t>）</w:t>
            </w:r>
            <w:r>
              <w:rPr>
                <w:rFonts w:hint="default" w:ascii="Times New Roman" w:hAnsi="Times New Roman" w:eastAsia="宋体" w:cs="Times New Roman"/>
                <w:sz w:val="21"/>
                <w:szCs w:val="21"/>
              </w:rPr>
              <w:t>表 2中二级标准及无组织排放监控浓度限值，氨排放执行《恶臭污染物排放标准》</w:t>
            </w:r>
            <w:r>
              <w:rPr>
                <w:rFonts w:hint="eastAsia" w:cs="Times New Roman"/>
                <w:sz w:val="21"/>
                <w:szCs w:val="21"/>
                <w:lang w:eastAsia="zh-CN"/>
              </w:rPr>
              <w:t>（</w:t>
            </w:r>
            <w:r>
              <w:rPr>
                <w:rFonts w:hint="default" w:ascii="Times New Roman" w:hAnsi="Times New Roman" w:eastAsia="宋体" w:cs="Times New Roman"/>
                <w:sz w:val="21"/>
                <w:szCs w:val="21"/>
              </w:rPr>
              <w:t>GB14554-93</w:t>
            </w:r>
            <w:r>
              <w:rPr>
                <w:rFonts w:hint="eastAsia" w:cs="Times New Roman"/>
                <w:sz w:val="21"/>
                <w:szCs w:val="21"/>
                <w:lang w:eastAsia="zh-CN"/>
              </w:rPr>
              <w:t>）</w:t>
            </w:r>
            <w:r>
              <w:rPr>
                <w:rFonts w:hint="default" w:ascii="Times New Roman" w:hAnsi="Times New Roman" w:eastAsia="宋体" w:cs="Times New Roman"/>
                <w:sz w:val="21"/>
                <w:szCs w:val="21"/>
              </w:rPr>
              <w:t>中表 2排放标准，氯化氢排放执行《电镀污染物排放标准》</w:t>
            </w:r>
            <w:r>
              <w:rPr>
                <w:rFonts w:hint="eastAsia" w:cs="Times New Roman"/>
                <w:sz w:val="21"/>
                <w:szCs w:val="21"/>
                <w:lang w:eastAsia="zh-CN"/>
              </w:rPr>
              <w:t>（</w:t>
            </w:r>
            <w:r>
              <w:rPr>
                <w:rFonts w:hint="default" w:ascii="Times New Roman" w:hAnsi="Times New Roman" w:eastAsia="宋体" w:cs="Times New Roman"/>
                <w:sz w:val="21"/>
                <w:szCs w:val="21"/>
              </w:rPr>
              <w:t>GB 21900-2008</w:t>
            </w:r>
            <w:r>
              <w:rPr>
                <w:rFonts w:hint="eastAsia" w:cs="Times New Roman"/>
                <w:sz w:val="21"/>
                <w:szCs w:val="21"/>
                <w:lang w:eastAsia="zh-CN"/>
              </w:rPr>
              <w:t>）</w:t>
            </w:r>
            <w:r>
              <w:rPr>
                <w:rFonts w:hint="default" w:ascii="Times New Roman" w:hAnsi="Times New Roman" w:eastAsia="宋体" w:cs="Times New Roman"/>
                <w:sz w:val="21"/>
                <w:szCs w:val="21"/>
              </w:rPr>
              <w:t>表 5中新建企业大气污染物排放浓度限值，天然气燃烧废气排放执行《关于印发&lt;工业炉窑大气污染综合治理方案&gt;的通知》</w:t>
            </w:r>
            <w:r>
              <w:rPr>
                <w:rFonts w:hint="eastAsia" w:cs="Times New Roman"/>
                <w:sz w:val="21"/>
                <w:szCs w:val="21"/>
                <w:lang w:eastAsia="zh-CN"/>
              </w:rPr>
              <w:t>（</w:t>
            </w:r>
            <w:r>
              <w:rPr>
                <w:rFonts w:hint="default" w:ascii="Times New Roman" w:hAnsi="Times New Roman" w:eastAsia="宋体" w:cs="Times New Roman"/>
                <w:sz w:val="21"/>
                <w:szCs w:val="21"/>
              </w:rPr>
              <w:t xml:space="preserve">环大气 </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2019</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56号</w:t>
            </w:r>
            <w:r>
              <w:rPr>
                <w:rFonts w:hint="eastAsia" w:cs="Times New Roman"/>
                <w:sz w:val="21"/>
                <w:szCs w:val="21"/>
                <w:lang w:eastAsia="zh-CN"/>
              </w:rPr>
              <w:t>）</w:t>
            </w:r>
            <w:r>
              <w:rPr>
                <w:rFonts w:hint="default" w:ascii="Times New Roman" w:hAnsi="Times New Roman" w:eastAsia="宋体" w:cs="Times New Roman"/>
                <w:sz w:val="21"/>
                <w:szCs w:val="21"/>
              </w:rPr>
              <w:t>中限值要求</w:t>
            </w:r>
          </w:p>
        </w:tc>
        <w:tc>
          <w:tcPr>
            <w:tcW w:w="3111" w:type="dxa"/>
            <w:vAlign w:val="center"/>
          </w:tcPr>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厂区各类工艺废气实行分类收集和分支处理，</w:t>
            </w:r>
            <w:r>
              <w:rPr>
                <w:rFonts w:hint="default" w:ascii="Times New Roman" w:hAnsi="Times New Roman" w:eastAsia="宋体" w:cs="Times New Roman"/>
                <w:sz w:val="21"/>
                <w:szCs w:val="21"/>
              </w:rPr>
              <w:t>严格控制无组织排放，按规范要求设置废气排放口</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1#车间内酸洗池、助镀池、转换坑、锌锅池、返镀池、冷却池等区域应作封闭设计形成负压系统，产生的酸性废气经负压收集管道收集至2套碱液喷淋塔处理后经1根18 高排气简排放(DA001)。锌锅顶部两侧安装负压吸风口及弧形板，产生的锌烟经负压收集至布袋除尘器处理后通过1根18m 高排气简排放</w:t>
            </w:r>
            <w:r>
              <w:rPr>
                <w:rFonts w:hint="eastAsia" w:cs="Times New Roman"/>
                <w:sz w:val="21"/>
                <w:szCs w:val="21"/>
                <w:lang w:eastAsia="zh-CN"/>
              </w:rPr>
              <w:t>（</w:t>
            </w:r>
            <w:r>
              <w:rPr>
                <w:rFonts w:hint="default" w:ascii="Times New Roman" w:hAnsi="Times New Roman" w:eastAsia="宋体" w:cs="Times New Roman"/>
                <w:sz w:val="21"/>
                <w:szCs w:val="21"/>
              </w:rPr>
              <w:t>DA002</w:t>
            </w:r>
            <w:r>
              <w:rPr>
                <w:rFonts w:hint="eastAsia" w:cs="Times New Roman"/>
                <w:sz w:val="21"/>
                <w:szCs w:val="21"/>
                <w:lang w:eastAsia="zh-CN"/>
              </w:rPr>
              <w:t>）；</w:t>
            </w:r>
            <w:r>
              <w:rPr>
                <w:rFonts w:hint="default" w:ascii="Times New Roman" w:hAnsi="Times New Roman" w:eastAsia="宋体" w:cs="Times New Roman"/>
                <w:sz w:val="21"/>
                <w:szCs w:val="21"/>
              </w:rPr>
              <w:t>天然气加热炉配套低氨燃烧器，废气通过1根18m 高排气简排放</w:t>
            </w:r>
            <w:r>
              <w:rPr>
                <w:rFonts w:hint="eastAsia" w:cs="Times New Roman"/>
                <w:sz w:val="21"/>
                <w:szCs w:val="21"/>
                <w:lang w:eastAsia="zh-CN"/>
              </w:rPr>
              <w:t>（</w:t>
            </w:r>
            <w:r>
              <w:rPr>
                <w:rFonts w:hint="default" w:ascii="Times New Roman" w:hAnsi="Times New Roman" w:eastAsia="宋体" w:cs="Times New Roman"/>
                <w:sz w:val="21"/>
                <w:szCs w:val="21"/>
              </w:rPr>
              <w:t>DA003</w:t>
            </w:r>
            <w:r>
              <w:rPr>
                <w:rFonts w:hint="eastAsia" w:cs="Times New Roman"/>
                <w:sz w:val="21"/>
                <w:szCs w:val="21"/>
                <w:lang w:eastAsia="zh-CN"/>
              </w:rPr>
              <w:t>）</w:t>
            </w:r>
          </w:p>
          <w:p>
            <w:pPr>
              <w:jc w:val="center"/>
              <w:rPr>
                <w:rFonts w:hint="eastAsia" w:hAnsi="宋体" w:eastAsia="宋体"/>
                <w:color w:val="0000FF"/>
                <w:szCs w:val="21"/>
                <w:lang w:eastAsia="zh-CN"/>
              </w:rPr>
            </w:pPr>
            <w:r>
              <w:rPr>
                <w:rFonts w:hint="default" w:ascii="Times New Roman" w:hAnsi="Times New Roman" w:eastAsia="宋体" w:cs="Times New Roman"/>
                <w:sz w:val="21"/>
                <w:szCs w:val="21"/>
              </w:rPr>
              <w:t>颗粒物排放执行《大气污染物综合排放标准》</w:t>
            </w:r>
            <w:r>
              <w:rPr>
                <w:rFonts w:hint="eastAsia" w:cs="Times New Roman"/>
                <w:sz w:val="21"/>
                <w:szCs w:val="21"/>
                <w:lang w:eastAsia="zh-CN"/>
              </w:rPr>
              <w:t>（</w:t>
            </w:r>
            <w:r>
              <w:rPr>
                <w:rFonts w:hint="default" w:ascii="Times New Roman" w:hAnsi="Times New Roman" w:eastAsia="宋体" w:cs="Times New Roman"/>
                <w:sz w:val="21"/>
                <w:szCs w:val="21"/>
              </w:rPr>
              <w:t>GB16297-1996</w:t>
            </w:r>
            <w:r>
              <w:rPr>
                <w:rFonts w:hint="eastAsia" w:cs="Times New Roman"/>
                <w:sz w:val="21"/>
                <w:szCs w:val="21"/>
                <w:lang w:eastAsia="zh-CN"/>
              </w:rPr>
              <w:t>）</w:t>
            </w:r>
            <w:r>
              <w:rPr>
                <w:rFonts w:hint="default" w:ascii="Times New Roman" w:hAnsi="Times New Roman" w:eastAsia="宋体" w:cs="Times New Roman"/>
                <w:sz w:val="21"/>
                <w:szCs w:val="21"/>
              </w:rPr>
              <w:t>表 2中二级标准及无组织排放监控浓度限值，氨排放执行《恶臭污染物排放标准》</w:t>
            </w:r>
            <w:r>
              <w:rPr>
                <w:rFonts w:hint="eastAsia" w:cs="Times New Roman"/>
                <w:sz w:val="21"/>
                <w:szCs w:val="21"/>
                <w:lang w:eastAsia="zh-CN"/>
              </w:rPr>
              <w:t>（</w:t>
            </w:r>
            <w:r>
              <w:rPr>
                <w:rFonts w:hint="default" w:ascii="Times New Roman" w:hAnsi="Times New Roman" w:eastAsia="宋体" w:cs="Times New Roman"/>
                <w:sz w:val="21"/>
                <w:szCs w:val="21"/>
              </w:rPr>
              <w:t>GB14554-93</w:t>
            </w:r>
            <w:r>
              <w:rPr>
                <w:rFonts w:hint="eastAsia" w:cs="Times New Roman"/>
                <w:sz w:val="21"/>
                <w:szCs w:val="21"/>
                <w:lang w:eastAsia="zh-CN"/>
              </w:rPr>
              <w:t>）</w:t>
            </w:r>
            <w:r>
              <w:rPr>
                <w:rFonts w:hint="default" w:ascii="Times New Roman" w:hAnsi="Times New Roman" w:eastAsia="宋体" w:cs="Times New Roman"/>
                <w:sz w:val="21"/>
                <w:szCs w:val="21"/>
              </w:rPr>
              <w:t>中表 2排放标准，氯化氢排放执行《电镀污染物排放标准》</w:t>
            </w:r>
            <w:r>
              <w:rPr>
                <w:rFonts w:hint="eastAsia" w:cs="Times New Roman"/>
                <w:sz w:val="21"/>
                <w:szCs w:val="21"/>
                <w:lang w:eastAsia="zh-CN"/>
              </w:rPr>
              <w:t>（</w:t>
            </w:r>
            <w:r>
              <w:rPr>
                <w:rFonts w:hint="default" w:ascii="Times New Roman" w:hAnsi="Times New Roman" w:eastAsia="宋体" w:cs="Times New Roman"/>
                <w:sz w:val="21"/>
                <w:szCs w:val="21"/>
              </w:rPr>
              <w:t>GB 21900-2008</w:t>
            </w:r>
            <w:r>
              <w:rPr>
                <w:rFonts w:hint="eastAsia" w:cs="Times New Roman"/>
                <w:sz w:val="21"/>
                <w:szCs w:val="21"/>
                <w:lang w:eastAsia="zh-CN"/>
              </w:rPr>
              <w:t>）</w:t>
            </w:r>
            <w:r>
              <w:rPr>
                <w:rFonts w:hint="default" w:ascii="Times New Roman" w:hAnsi="Times New Roman" w:eastAsia="宋体" w:cs="Times New Roman"/>
                <w:sz w:val="21"/>
                <w:szCs w:val="21"/>
              </w:rPr>
              <w:t>表 5中新建企业大气污染物排放浓度限值，天然气燃烧废气排放执行《关于印发&lt;工业炉窑大气污染综合治理方案&gt;的通知》</w:t>
            </w:r>
            <w:r>
              <w:rPr>
                <w:rFonts w:hint="eastAsia" w:cs="Times New Roman"/>
                <w:sz w:val="21"/>
                <w:szCs w:val="21"/>
                <w:lang w:eastAsia="zh-CN"/>
              </w:rPr>
              <w:t>（</w:t>
            </w:r>
            <w:r>
              <w:rPr>
                <w:rFonts w:hint="default" w:ascii="Times New Roman" w:hAnsi="Times New Roman" w:eastAsia="宋体" w:cs="Times New Roman"/>
                <w:sz w:val="21"/>
                <w:szCs w:val="21"/>
              </w:rPr>
              <w:t xml:space="preserve">环大气 </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2019</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56号</w:t>
            </w:r>
            <w:r>
              <w:rPr>
                <w:rFonts w:hint="eastAsia" w:cs="Times New Roman"/>
                <w:sz w:val="21"/>
                <w:szCs w:val="21"/>
                <w:lang w:eastAsia="zh-CN"/>
              </w:rPr>
              <w:t>）</w:t>
            </w:r>
            <w:r>
              <w:rPr>
                <w:rFonts w:hint="default" w:ascii="Times New Roman" w:hAnsi="Times New Roman" w:eastAsia="宋体" w:cs="Times New Roman"/>
                <w:sz w:val="21"/>
                <w:szCs w:val="21"/>
              </w:rPr>
              <w:t>中限值要求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vAlign w:val="center"/>
          </w:tcPr>
          <w:p>
            <w:pPr>
              <w:jc w:val="center"/>
              <w:rPr>
                <w:szCs w:val="21"/>
              </w:rPr>
            </w:pPr>
            <w:r>
              <w:rPr>
                <w:rFonts w:hint="eastAsia"/>
                <w:szCs w:val="21"/>
              </w:rPr>
              <w:t>2</w:t>
            </w:r>
          </w:p>
        </w:tc>
        <w:tc>
          <w:tcPr>
            <w:tcW w:w="4476" w:type="dxa"/>
            <w:vAlign w:val="center"/>
          </w:tcPr>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项目实行雨污分流，污水收集管网和回用水管网按</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可视化</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原则进行建设，不设置生产废水排放口。碱洗废水、酸洗漂洗废水、助镀池废水、喷淋塔废水等经自建污水处理站</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处理工艺</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中和曝气+氧化+压滤，处理规模</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50t/d</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处理后回用于生产，不得外排</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生活污水经预处理后接入市政污水管网，排至平桥污水处理厂进一步处理</w:t>
            </w:r>
          </w:p>
        </w:tc>
        <w:tc>
          <w:tcPr>
            <w:tcW w:w="3111" w:type="dxa"/>
            <w:vAlign w:val="center"/>
          </w:tcPr>
          <w:p>
            <w:pPr>
              <w:jc w:val="center"/>
              <w:rPr>
                <w:rFonts w:hint="eastAsia" w:eastAsia="宋体"/>
                <w:szCs w:val="21"/>
                <w:lang w:eastAsia="zh-CN"/>
              </w:rPr>
            </w:pPr>
            <w:r>
              <w:rPr>
                <w:rFonts w:hint="eastAsia"/>
                <w:szCs w:val="21"/>
                <w:lang w:eastAsia="zh-CN"/>
              </w:rPr>
              <w:t>厂区实施雨污分流，无生产废水排放口；</w:t>
            </w:r>
            <w:r>
              <w:rPr>
                <w:rFonts w:hint="default" w:ascii="Times New Roman" w:hAnsi="Times New Roman" w:eastAsia="宋体" w:cs="Times New Roman"/>
                <w:sz w:val="21"/>
                <w:szCs w:val="21"/>
              </w:rPr>
              <w:t>碱洗废水、酸洗漂洗废水、助镀池废水、喷淋塔废水等经自建污水处理站</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处理工艺</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中和曝气+氧化+压滤，处理规模</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50t/d</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处理后回用于生产</w:t>
            </w:r>
            <w:r>
              <w:rPr>
                <w:rFonts w:hint="eastAsia" w:cs="Times New Roman"/>
                <w:sz w:val="21"/>
                <w:szCs w:val="21"/>
                <w:lang w:eastAsia="zh-CN"/>
              </w:rPr>
              <w:t>，不外排；</w:t>
            </w:r>
            <w:r>
              <w:rPr>
                <w:rFonts w:hint="default" w:ascii="Times New Roman" w:hAnsi="Times New Roman" w:eastAsia="宋体" w:cs="Times New Roman"/>
                <w:sz w:val="21"/>
                <w:szCs w:val="21"/>
              </w:rPr>
              <w:t>生活污水经预处理后接入市政污水管网，排至平桥污水处理厂进一步处理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8" w:hRule="atLeast"/>
        </w:trPr>
        <w:tc>
          <w:tcPr>
            <w:tcW w:w="704" w:type="dxa"/>
            <w:vAlign w:val="center"/>
          </w:tcPr>
          <w:p>
            <w:pPr>
              <w:jc w:val="center"/>
              <w:rPr>
                <w:szCs w:val="21"/>
              </w:rPr>
            </w:pPr>
            <w:r>
              <w:rPr>
                <w:rFonts w:hint="eastAsia"/>
                <w:szCs w:val="21"/>
              </w:rPr>
              <w:t>3</w:t>
            </w:r>
          </w:p>
        </w:tc>
        <w:tc>
          <w:tcPr>
            <w:tcW w:w="4476" w:type="dxa"/>
            <w:vAlign w:val="center"/>
          </w:tcPr>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优先选用低噪声设备，采取基础减振、设置声屏障等措施降低噪声影响，确保厂界噪声达到《工业企业厂界环境噪声排放标准》</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GB12348-2008</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中3类标准</w:t>
            </w:r>
          </w:p>
        </w:tc>
        <w:tc>
          <w:tcPr>
            <w:tcW w:w="3111" w:type="dxa"/>
            <w:vAlign w:val="center"/>
          </w:tcPr>
          <w:p>
            <w:pPr>
              <w:jc w:val="center"/>
              <w:rPr>
                <w:szCs w:val="21"/>
              </w:rPr>
            </w:pPr>
            <w:r>
              <w:rPr>
                <w:rFonts w:hint="default" w:ascii="Times New Roman" w:hAnsi="Times New Roman" w:eastAsia="宋体" w:cs="Times New Roman"/>
                <w:sz w:val="21"/>
                <w:szCs w:val="21"/>
              </w:rPr>
              <w:t>选用低噪声设备，采取基础减振、设置声屏障等措施降低噪声影响，确保厂界噪声达到《工业企业厂界环境噪声排放标准》</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GB12348-2008</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中3类标准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704" w:type="dxa"/>
            <w:vAlign w:val="center"/>
          </w:tcPr>
          <w:p>
            <w:pPr>
              <w:jc w:val="center"/>
              <w:rPr>
                <w:szCs w:val="21"/>
              </w:rPr>
            </w:pPr>
            <w:r>
              <w:rPr>
                <w:rFonts w:hint="eastAsia"/>
                <w:szCs w:val="21"/>
              </w:rPr>
              <w:t>4</w:t>
            </w:r>
          </w:p>
        </w:tc>
        <w:tc>
          <w:tcPr>
            <w:tcW w:w="4476" w:type="dxa"/>
            <w:vAlign w:val="center"/>
          </w:tcPr>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按照《危险废物贮存污染控制标准》</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GB18597-2023</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及修改单中的要求规范建设危险废物暂存场所，酸洗池废液和底渣、碱洗池底渣、助镀含铁污泥、污水处理站含铁污泥、锌浮渣/锌底渣、布袋收尘器收集锌尘、布袋除尘器更换的废滤芯等危险废物应分类收集，委托具有危险废物处理资质的单位定期转运处理，落实危险废物转移联单管理制度</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一般工业固体废物暂存场所建设应满足防渗漏、防雨淋、防扬尘等环境保护要求，生活垃圾分类收集定期委托环卫部门清运</w:t>
            </w:r>
          </w:p>
        </w:tc>
        <w:tc>
          <w:tcPr>
            <w:tcW w:w="3111" w:type="dxa"/>
            <w:vAlign w:val="center"/>
          </w:tcPr>
          <w:p>
            <w:pPr>
              <w:jc w:val="center"/>
              <w:rPr>
                <w:rFonts w:hint="eastAsia" w:eastAsia="宋体"/>
                <w:szCs w:val="21"/>
                <w:lang w:eastAsia="zh-CN"/>
              </w:rPr>
            </w:pPr>
            <w:r>
              <w:rPr>
                <w:rFonts w:hint="eastAsia" w:eastAsia="宋体"/>
                <w:sz w:val="21"/>
                <w:szCs w:val="21"/>
                <w:lang w:val="en-US" w:eastAsia="zh-CN"/>
              </w:rPr>
              <w:t>酸洗池废液、碱洗池底渣、酸洗池底渣、助镀含铁污泥、污水处理站含铁污泥、布袋收尘器收集锌尘、布袋除尘器更换的滤芯分类收集，规范贮存于危废贮存库，定期交由有资质单位处置；生活垃圾交由环卫部门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3" w:hRule="atLeast"/>
        </w:trPr>
        <w:tc>
          <w:tcPr>
            <w:tcW w:w="704" w:type="dxa"/>
            <w:vAlign w:val="center"/>
          </w:tcPr>
          <w:p>
            <w:pPr>
              <w:jc w:val="center"/>
              <w:rPr>
                <w:szCs w:val="21"/>
              </w:rPr>
            </w:pPr>
            <w:r>
              <w:rPr>
                <w:rFonts w:hint="eastAsia"/>
                <w:szCs w:val="21"/>
              </w:rPr>
              <w:t>5</w:t>
            </w:r>
          </w:p>
        </w:tc>
        <w:tc>
          <w:tcPr>
            <w:tcW w:w="4476" w:type="dxa"/>
            <w:vAlign w:val="center"/>
          </w:tcPr>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设置足够容量的事故应急池，配套事故废水自动截断、收集措施，确保事故性废水不直接排入地表水体</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生产车间安装自动控制系统、阻火器、可燃气体报警仪、联锁报警系统等。编制突发环境事件应急预案并定期演练</w:t>
            </w:r>
          </w:p>
        </w:tc>
        <w:tc>
          <w:tcPr>
            <w:tcW w:w="3111" w:type="dxa"/>
            <w:vAlign w:val="center"/>
          </w:tcPr>
          <w:p>
            <w:pPr>
              <w:jc w:val="center"/>
              <w:rPr>
                <w:rFonts w:hint="eastAsia" w:eastAsia="宋体"/>
                <w:szCs w:val="21"/>
                <w:lang w:eastAsia="zh-CN"/>
              </w:rPr>
            </w:pPr>
            <w:r>
              <w:rPr>
                <w:rFonts w:hint="eastAsia" w:ascii="Times New Roman" w:hAnsi="Times New Roman" w:cs="Times New Roman"/>
                <w:color w:val="000000" w:themeColor="text1"/>
                <w:sz w:val="21"/>
                <w:szCs w:val="21"/>
                <w:lang w:eastAsia="zh-CN"/>
                <w14:textFill>
                  <w14:solidFill>
                    <w14:schemeClr w14:val="tx1"/>
                  </w14:solidFill>
                </w14:textFill>
              </w:rPr>
              <w:t>新建</w:t>
            </w:r>
            <w:r>
              <w:rPr>
                <w:rFonts w:hint="eastAsia" w:ascii="Times New Roman" w:hAnsi="Times New Roman" w:cs="Times New Roman"/>
                <w:color w:val="000000" w:themeColor="text1"/>
                <w:sz w:val="21"/>
                <w:szCs w:val="21"/>
                <w:lang w:val="en-US" w:eastAsia="zh-CN"/>
                <w14:textFill>
                  <w14:solidFill>
                    <w14:schemeClr w14:val="tx1"/>
                  </w14:solidFill>
                </w14:textFill>
              </w:rPr>
              <w:t>2座应急事故池，其中1座120m</w:t>
            </w:r>
            <w:r>
              <w:rPr>
                <w:rFonts w:hint="eastAsia" w:ascii="Times New Roman" w:hAnsi="Times New Roman" w:cs="Times New Roman"/>
                <w:color w:val="000000" w:themeColor="text1"/>
                <w:sz w:val="21"/>
                <w:szCs w:val="21"/>
                <w:vertAlign w:val="superscript"/>
                <w:lang w:val="en-US" w:eastAsia="zh-CN"/>
                <w14:textFill>
                  <w14:solidFill>
                    <w14:schemeClr w14:val="tx1"/>
                  </w14:solidFill>
                </w14:textFill>
              </w:rPr>
              <w:t>3</w:t>
            </w:r>
            <w:r>
              <w:rPr>
                <w:rFonts w:hint="eastAsia" w:ascii="Times New Roman" w:hAnsi="Times New Roman" w:cs="Times New Roman"/>
                <w:color w:val="000000" w:themeColor="text1"/>
                <w:sz w:val="21"/>
                <w:szCs w:val="21"/>
                <w:lang w:val="en-US" w:eastAsia="zh-CN"/>
                <w14:textFill>
                  <w14:solidFill>
                    <w14:schemeClr w14:val="tx1"/>
                  </w14:solidFill>
                </w14:textFill>
              </w:rPr>
              <w:t>、1座110m</w:t>
            </w:r>
            <w:r>
              <w:rPr>
                <w:rFonts w:hint="eastAsia" w:ascii="Times New Roman" w:hAnsi="Times New Roman" w:cs="Times New Roman"/>
                <w:color w:val="000000" w:themeColor="text1"/>
                <w:sz w:val="21"/>
                <w:szCs w:val="21"/>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Cs w:val="21"/>
                <w14:textFill>
                  <w14:solidFill>
                    <w14:schemeClr w14:val="tx1"/>
                  </w14:solidFill>
                </w14:textFill>
              </w:rPr>
              <w:t>，</w:t>
            </w:r>
            <w:r>
              <w:rPr>
                <w:rFonts w:hint="eastAsia" w:cs="Times New Roman"/>
                <w:color w:val="000000" w:themeColor="text1"/>
                <w:szCs w:val="21"/>
                <w:lang w:eastAsia="zh-CN"/>
                <w14:textFill>
                  <w14:solidFill>
                    <w14:schemeClr w14:val="tx1"/>
                  </w14:solidFill>
                </w14:textFill>
              </w:rPr>
              <w:t>并配套事故废水自动截断、手机措施，已编制应急预案（备案号：</w:t>
            </w:r>
            <w:r>
              <w:rPr>
                <w:rFonts w:hint="eastAsia" w:ascii="Times New Roman" w:hAnsi="Times New Roman" w:cs="Times New Roman"/>
                <w:color w:val="000000" w:themeColor="text1"/>
                <w:sz w:val="21"/>
                <w:szCs w:val="21"/>
                <w:lang w:val="en-US" w:eastAsia="zh-CN"/>
                <w14:textFill>
                  <w14:solidFill>
                    <w14:schemeClr w14:val="tx1"/>
                  </w14:solidFill>
                </w14:textFill>
              </w:rPr>
              <w:t>341503-2023-051-M</w:t>
            </w:r>
            <w:r>
              <w:rPr>
                <w:rFonts w:hint="eastAsia" w:cs="Times New Roman"/>
                <w:color w:val="000000" w:themeColor="text1"/>
                <w:szCs w:val="21"/>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88" w:hRule="atLeast"/>
        </w:trPr>
        <w:tc>
          <w:tcPr>
            <w:tcW w:w="704" w:type="dxa"/>
            <w:vAlign w:val="center"/>
          </w:tcPr>
          <w:p>
            <w:pPr>
              <w:jc w:val="center"/>
              <w:rPr>
                <w:rFonts w:hint="eastAsia" w:eastAsia="宋体"/>
                <w:szCs w:val="21"/>
                <w:lang w:val="en-US" w:eastAsia="zh-CN"/>
              </w:rPr>
            </w:pPr>
            <w:r>
              <w:rPr>
                <w:rFonts w:hint="eastAsia"/>
                <w:szCs w:val="21"/>
                <w:lang w:val="en-US" w:eastAsia="zh-CN"/>
              </w:rPr>
              <w:t>6</w:t>
            </w:r>
          </w:p>
        </w:tc>
        <w:tc>
          <w:tcPr>
            <w:tcW w:w="4476" w:type="dxa"/>
            <w:vAlign w:val="center"/>
          </w:tcPr>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照分区防渗原则，对热镀锌生产线、污水处理设施、危险废物贮存库、事故应急池、危化品仓库等区域进行重点防渗，设置防渗结构层，其他区域纳入一般防渗区。强化定期排查环境风险，杜绝厂区内跑、冒、滴、漏事故发生，避免污染地下水。定期对厂区下游区域地下水和厂区周围土壤进行监测，发现异常应及时采取相应措施</w:t>
            </w:r>
          </w:p>
        </w:tc>
        <w:tc>
          <w:tcPr>
            <w:tcW w:w="3111" w:type="dxa"/>
            <w:vAlign w:val="center"/>
          </w:tcPr>
          <w:p>
            <w:pPr>
              <w:jc w:val="center"/>
              <w:rPr>
                <w:rFonts w:hint="eastAsia" w:eastAsia="宋体"/>
                <w:sz w:val="21"/>
                <w:szCs w:val="21"/>
                <w:lang w:eastAsia="zh-CN"/>
              </w:rPr>
            </w:pPr>
            <w:r>
              <w:rPr>
                <w:rFonts w:hint="eastAsia"/>
                <w:sz w:val="21"/>
                <w:szCs w:val="21"/>
                <w:lang w:eastAsia="zh-CN"/>
              </w:rPr>
              <w:t>已对热镀锌生产线、污水处理设施、危废贮存库、事故应急池、危险化学品仓库等区域进行重点防渗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704" w:type="dxa"/>
            <w:vAlign w:val="center"/>
          </w:tcPr>
          <w:p>
            <w:pPr>
              <w:jc w:val="center"/>
              <w:rPr>
                <w:rFonts w:hint="eastAsia" w:eastAsia="宋体"/>
                <w:szCs w:val="21"/>
                <w:lang w:eastAsia="zh-CN"/>
              </w:rPr>
            </w:pPr>
            <w:r>
              <w:rPr>
                <w:rFonts w:hint="eastAsia"/>
                <w:szCs w:val="21"/>
                <w:lang w:val="en-US" w:eastAsia="zh-CN"/>
              </w:rPr>
              <w:t>7</w:t>
            </w:r>
          </w:p>
        </w:tc>
        <w:tc>
          <w:tcPr>
            <w:tcW w:w="4476" w:type="dxa"/>
            <w:vAlign w:val="center"/>
          </w:tcPr>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根据《报告书》预测，以1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车间为边界设置100米的卫生防护距离，据此折算厂界环境防护距离</w:t>
            </w:r>
          </w:p>
        </w:tc>
        <w:tc>
          <w:tcPr>
            <w:tcW w:w="3111" w:type="dxa"/>
            <w:vAlign w:val="center"/>
          </w:tcPr>
          <w:p>
            <w:pPr>
              <w:jc w:val="center"/>
              <w:rPr>
                <w:rFonts w:hint="eastAsia" w:eastAsia="宋体"/>
                <w:szCs w:val="21"/>
                <w:lang w:eastAsia="zh-CN"/>
              </w:rPr>
            </w:pPr>
            <w:r>
              <w:rPr>
                <w:rFonts w:hint="eastAsia"/>
                <w:szCs w:val="21"/>
                <w:lang w:eastAsia="zh-CN"/>
              </w:rPr>
              <w:t>已设置</w:t>
            </w:r>
            <w:r>
              <w:rPr>
                <w:rFonts w:hint="default" w:ascii="Times New Roman" w:hAnsi="Times New Roman" w:eastAsia="宋体" w:cs="Times New Roman"/>
                <w:sz w:val="21"/>
                <w:szCs w:val="21"/>
              </w:rPr>
              <w:t>以1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车间为边界设置100米的卫生防护</w:t>
            </w:r>
            <w:r>
              <w:rPr>
                <w:rFonts w:hint="eastAsia" w:cs="Times New Roman"/>
                <w:sz w:val="21"/>
                <w:szCs w:val="21"/>
                <w:lang w:eastAsia="zh-CN"/>
              </w:rPr>
              <w:t>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vAlign w:val="center"/>
          </w:tcPr>
          <w:p>
            <w:pPr>
              <w:jc w:val="center"/>
              <w:rPr>
                <w:rFonts w:hint="eastAsia" w:eastAsia="宋体"/>
                <w:szCs w:val="21"/>
                <w:lang w:eastAsia="zh-CN"/>
              </w:rPr>
            </w:pPr>
            <w:r>
              <w:rPr>
                <w:rFonts w:hint="eastAsia"/>
                <w:szCs w:val="21"/>
                <w:lang w:val="en-US" w:eastAsia="zh-CN"/>
              </w:rPr>
              <w:t>8</w:t>
            </w:r>
          </w:p>
        </w:tc>
        <w:tc>
          <w:tcPr>
            <w:tcW w:w="4476" w:type="dxa"/>
            <w:vAlign w:val="center"/>
          </w:tcPr>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项目性质、规模、地点、采用的生产工艺或者防治污染措施发生重大变动的，你公司应当重新报批该项目的环境影响评价文件</w:t>
            </w:r>
          </w:p>
        </w:tc>
        <w:tc>
          <w:tcPr>
            <w:tcW w:w="3111" w:type="dxa"/>
            <w:vAlign w:val="center"/>
          </w:tcPr>
          <w:p>
            <w:pPr>
              <w:jc w:val="center"/>
              <w:rPr>
                <w:rFonts w:hint="default" w:eastAsia="宋体"/>
                <w:szCs w:val="21"/>
                <w:lang w:val="en-US" w:eastAsia="zh-CN"/>
              </w:rPr>
            </w:pPr>
            <w:r>
              <w:rPr>
                <w:rFonts w:hint="eastAsia"/>
                <w:szCs w:val="21"/>
                <w:lang w:val="en-US" w:eastAsia="zh-CN"/>
              </w:rPr>
              <w:t>项目未发生重大变化</w:t>
            </w:r>
          </w:p>
        </w:tc>
      </w:tr>
    </w:tbl>
    <w:p>
      <w:pPr>
        <w:pStyle w:val="89"/>
        <w:spacing w:line="360" w:lineRule="auto"/>
      </w:pPr>
      <w:r>
        <w:rPr>
          <w:sz w:val="24"/>
        </w:rPr>
        <w:br w:type="page"/>
      </w:r>
      <w:bookmarkStart w:id="233" w:name="_Toc6252"/>
      <w:bookmarkStart w:id="234" w:name="_Toc12919"/>
      <w:bookmarkStart w:id="235" w:name="_Toc501715353"/>
      <w:bookmarkStart w:id="236" w:name="_Toc500753965"/>
      <w:bookmarkStart w:id="237" w:name="_Toc3176"/>
      <w:bookmarkStart w:id="238" w:name="_Toc6901"/>
      <w:bookmarkStart w:id="239" w:name="_Toc500944451"/>
      <w:bookmarkStart w:id="240" w:name="_Toc494458809"/>
      <w:bookmarkStart w:id="241" w:name="_Toc6093"/>
      <w:bookmarkStart w:id="242" w:name="_Toc500749596"/>
      <w:bookmarkStart w:id="243" w:name="_Toc515360805"/>
      <w:bookmarkStart w:id="244" w:name="_Toc15333"/>
      <w:bookmarkStart w:id="245" w:name="_Toc515359831"/>
      <w:bookmarkStart w:id="246" w:name="_Toc25666"/>
      <w:r>
        <w:rPr>
          <w:rFonts w:hint="eastAsia"/>
        </w:rPr>
        <w:t xml:space="preserve">第六章  </w:t>
      </w:r>
      <w:r>
        <w:t>验收执行标准</w:t>
      </w:r>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p>
    <w:p>
      <w:pPr>
        <w:pStyle w:val="52"/>
        <w:rPr>
          <w:rFonts w:hAnsi="宋体"/>
          <w:b/>
        </w:rPr>
      </w:pPr>
      <w:bookmarkStart w:id="247" w:name="_Toc515359832"/>
      <w:bookmarkStart w:id="248" w:name="_Toc515360806"/>
      <w:r>
        <w:rPr>
          <w:rFonts w:hint="eastAsia"/>
          <w:lang w:val="en-US" w:eastAsia="zh-CN"/>
        </w:rPr>
        <w:t>根据浙江辉志环保科技有限公司编制的《</w:t>
      </w:r>
      <w:r>
        <w:rPr>
          <w:rFonts w:hint="default"/>
        </w:rPr>
        <w:t>安徽晨曜智能设备科技有限公司晨曜年产10万吨高端金属结构件项目环境影响报告书</w:t>
      </w:r>
      <w:r>
        <w:rPr>
          <w:rFonts w:hint="eastAsia"/>
          <w:lang w:eastAsia="zh-CN"/>
        </w:rPr>
        <w:t>》</w:t>
      </w:r>
      <w:r>
        <w:rPr>
          <w:rFonts w:hint="eastAsia"/>
          <w:lang w:val="en-US" w:eastAsia="zh-CN"/>
        </w:rPr>
        <w:t>和</w:t>
      </w:r>
      <w:r>
        <w:rPr>
          <w:rFonts w:hint="eastAsia"/>
          <w:lang w:eastAsia="zh-CN"/>
        </w:rPr>
        <w:t>六安市生态环境局《</w:t>
      </w:r>
      <w:r>
        <w:rPr>
          <w:rFonts w:hint="eastAsia"/>
          <w:lang w:val="en-US" w:eastAsia="zh-CN"/>
        </w:rPr>
        <w:t>关于</w:t>
      </w:r>
      <w:r>
        <w:rPr>
          <w:rFonts w:hint="default"/>
        </w:rPr>
        <w:t>安徽晨曜智能设备科技有限公司晨曜年产10万吨高端金属结构件项目环境影响报告书</w:t>
      </w:r>
      <w:r>
        <w:rPr>
          <w:rFonts w:hint="eastAsia"/>
          <w:lang w:val="en-US" w:eastAsia="zh-CN"/>
        </w:rPr>
        <w:t>的批复》（六环评[2023]9号）</w:t>
      </w:r>
      <w:r>
        <w:t>确定本项目竣工环保验收的执行标准</w:t>
      </w:r>
      <w:r>
        <w:rPr>
          <w:rFonts w:hint="eastAsia"/>
        </w:rPr>
        <w:t>。</w:t>
      </w:r>
    </w:p>
    <w:p>
      <w:pPr>
        <w:spacing w:line="360" w:lineRule="auto"/>
        <w:jc w:val="left"/>
        <w:outlineLvl w:val="1"/>
        <w:rPr>
          <w:b/>
          <w:sz w:val="28"/>
          <w:szCs w:val="28"/>
        </w:rPr>
      </w:pPr>
      <w:bookmarkStart w:id="249" w:name="_Toc547"/>
      <w:bookmarkStart w:id="250" w:name="_Toc2411"/>
      <w:bookmarkStart w:id="251" w:name="_Toc26223"/>
      <w:bookmarkStart w:id="252" w:name="_Toc31353"/>
      <w:bookmarkStart w:id="253" w:name="_Toc31910"/>
      <w:r>
        <w:rPr>
          <w:b/>
          <w:sz w:val="28"/>
          <w:szCs w:val="28"/>
        </w:rPr>
        <w:t>6.1 环境质量标准</w:t>
      </w:r>
      <w:bookmarkEnd w:id="249"/>
      <w:bookmarkEnd w:id="250"/>
      <w:bookmarkEnd w:id="251"/>
      <w:bookmarkEnd w:id="252"/>
      <w:bookmarkEnd w:id="253"/>
    </w:p>
    <w:p>
      <w:pPr>
        <w:spacing w:line="360" w:lineRule="auto"/>
        <w:jc w:val="left"/>
        <w:outlineLvl w:val="1"/>
        <w:rPr>
          <w:b/>
          <w:sz w:val="24"/>
          <w:szCs w:val="24"/>
          <w:lang w:val="zh-CN"/>
        </w:rPr>
      </w:pPr>
      <w:bookmarkStart w:id="254" w:name="_Toc28077"/>
      <w:r>
        <w:rPr>
          <w:rFonts w:hint="eastAsia"/>
          <w:b/>
          <w:sz w:val="24"/>
          <w:szCs w:val="24"/>
          <w:lang w:val="en-US" w:eastAsia="zh-CN"/>
        </w:rPr>
        <w:t>6.</w:t>
      </w:r>
      <w:r>
        <w:rPr>
          <w:b/>
          <w:sz w:val="24"/>
          <w:szCs w:val="24"/>
          <w:lang w:val="zh-CN"/>
        </w:rPr>
        <w:t>1</w:t>
      </w:r>
      <w:r>
        <w:rPr>
          <w:rFonts w:hint="eastAsia"/>
          <w:b/>
          <w:sz w:val="24"/>
          <w:szCs w:val="24"/>
          <w:lang w:val="en-US" w:eastAsia="zh-CN"/>
        </w:rPr>
        <w:t>.1</w:t>
      </w:r>
      <w:r>
        <w:rPr>
          <w:b/>
          <w:sz w:val="24"/>
          <w:szCs w:val="24"/>
          <w:lang w:val="zh-CN"/>
        </w:rPr>
        <w:t>、环境空气质量标准</w:t>
      </w:r>
      <w:bookmarkEnd w:id="254"/>
    </w:p>
    <w:p>
      <w:pPr>
        <w:keepNext w:val="0"/>
        <w:keepLines w:val="0"/>
        <w:widowControl/>
        <w:suppressLineNumbers w:val="0"/>
        <w:spacing w:line="360" w:lineRule="auto"/>
        <w:ind w:firstLine="480" w:firstLineChars="200"/>
        <w:jc w:val="left"/>
        <w:rPr>
          <w:rFonts w:hint="eastAsia"/>
        </w:rPr>
      </w:pPr>
      <w:r>
        <w:rPr>
          <w:rFonts w:hint="eastAsia" w:ascii="宋体" w:hAnsi="宋体" w:eastAsia="宋体" w:cs="宋体"/>
          <w:color w:val="000000"/>
          <w:kern w:val="0"/>
          <w:sz w:val="24"/>
          <w:szCs w:val="24"/>
          <w:lang w:val="en-US" w:eastAsia="zh-CN" w:bidi="ar"/>
        </w:rPr>
        <w:t>根据《环境空气质量功能区划分》，建设项目区域属于环境空气质量功能二类地区。常规污染物</w:t>
      </w:r>
      <w:r>
        <w:rPr>
          <w:rFonts w:hint="default" w:ascii="Times New Roman" w:hAnsi="Times New Roman" w:eastAsia="宋体" w:cs="Times New Roman"/>
          <w:color w:val="000000"/>
          <w:kern w:val="0"/>
          <w:sz w:val="24"/>
          <w:szCs w:val="24"/>
          <w:lang w:val="en-US" w:eastAsia="zh-CN" w:bidi="ar"/>
        </w:rPr>
        <w:t>SO</w:t>
      </w:r>
      <w:r>
        <w:rPr>
          <w:rFonts w:hint="default" w:ascii="Times New Roman" w:hAnsi="Times New Roman" w:eastAsia="宋体" w:cs="Times New Roman"/>
          <w:color w:val="000000"/>
          <w:kern w:val="0"/>
          <w:sz w:val="24"/>
          <w:szCs w:val="24"/>
          <w:vertAlign w:val="subscript"/>
          <w:lang w:val="en-US" w:eastAsia="zh-CN" w:bidi="ar"/>
        </w:rPr>
        <w:t>2</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NO</w:t>
      </w:r>
      <w:r>
        <w:rPr>
          <w:rFonts w:hint="default" w:ascii="Times New Roman" w:hAnsi="Times New Roman" w:eastAsia="宋体" w:cs="Times New Roman"/>
          <w:color w:val="000000"/>
          <w:kern w:val="0"/>
          <w:sz w:val="24"/>
          <w:szCs w:val="24"/>
          <w:vertAlign w:val="subscript"/>
          <w:lang w:val="en-US" w:eastAsia="zh-CN" w:bidi="ar"/>
        </w:rPr>
        <w:t>2</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PM</w:t>
      </w:r>
      <w:r>
        <w:rPr>
          <w:rFonts w:hint="default" w:ascii="Times New Roman" w:hAnsi="Times New Roman" w:eastAsia="宋体" w:cs="Times New Roman"/>
          <w:color w:val="000000"/>
          <w:kern w:val="0"/>
          <w:sz w:val="24"/>
          <w:szCs w:val="24"/>
          <w:vertAlign w:val="subscript"/>
          <w:lang w:val="en-US" w:eastAsia="zh-CN" w:bidi="ar"/>
        </w:rPr>
        <w:t>10</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PM</w:t>
      </w:r>
      <w:r>
        <w:rPr>
          <w:rFonts w:hint="default" w:ascii="Times New Roman" w:hAnsi="Times New Roman" w:eastAsia="宋体" w:cs="Times New Roman"/>
          <w:color w:val="000000"/>
          <w:kern w:val="0"/>
          <w:sz w:val="24"/>
          <w:szCs w:val="24"/>
          <w:vertAlign w:val="subscript"/>
          <w:lang w:val="en-US" w:eastAsia="zh-CN" w:bidi="ar"/>
        </w:rPr>
        <w:t>2.5</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CO</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O</w:t>
      </w:r>
      <w:r>
        <w:rPr>
          <w:rFonts w:hint="default" w:ascii="Times New Roman" w:hAnsi="Times New Roman" w:eastAsia="宋体" w:cs="Times New Roman"/>
          <w:color w:val="000000"/>
          <w:kern w:val="0"/>
          <w:sz w:val="24"/>
          <w:szCs w:val="24"/>
          <w:vertAlign w:val="subscript"/>
          <w:lang w:val="en-US" w:eastAsia="zh-CN" w:bidi="ar"/>
        </w:rPr>
        <w:t>3</w:t>
      </w:r>
      <w:r>
        <w:rPr>
          <w:rFonts w:hint="eastAsia" w:ascii="宋体" w:hAnsi="宋体" w:eastAsia="宋体" w:cs="宋体"/>
          <w:color w:val="000000"/>
          <w:kern w:val="0"/>
          <w:sz w:val="24"/>
          <w:szCs w:val="24"/>
          <w:lang w:val="en-US" w:eastAsia="zh-CN" w:bidi="ar"/>
        </w:rPr>
        <w:t>执行《环境空气质量标准》（</w:t>
      </w:r>
      <w:r>
        <w:rPr>
          <w:rFonts w:hint="default" w:ascii="Times New Roman" w:hAnsi="Times New Roman" w:eastAsia="宋体" w:cs="Times New Roman"/>
          <w:color w:val="000000"/>
          <w:kern w:val="0"/>
          <w:sz w:val="24"/>
          <w:szCs w:val="24"/>
          <w:lang w:val="en-US" w:eastAsia="zh-CN" w:bidi="ar"/>
        </w:rPr>
        <w:t>GB</w:t>
      </w:r>
      <w:r>
        <w:rPr>
          <w:rFonts w:hint="eastAsia" w:ascii="Times New Roman" w:hAnsi="Times New Roman"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3095-2012</w:t>
      </w:r>
      <w:r>
        <w:rPr>
          <w:rFonts w:hint="eastAsia" w:ascii="宋体" w:hAnsi="宋体" w:eastAsia="宋体" w:cs="宋体"/>
          <w:color w:val="000000"/>
          <w:kern w:val="0"/>
          <w:sz w:val="24"/>
          <w:szCs w:val="24"/>
          <w:lang w:val="en-US" w:eastAsia="zh-CN" w:bidi="ar"/>
        </w:rPr>
        <w:t>）二级标准；非甲烷总烃参照执行《大气污染物综合排放标准》（</w:t>
      </w:r>
      <w:r>
        <w:rPr>
          <w:rFonts w:hint="default" w:ascii="Times New Roman" w:hAnsi="Times New Roman" w:eastAsia="宋体" w:cs="Times New Roman"/>
          <w:color w:val="000000"/>
          <w:kern w:val="0"/>
          <w:sz w:val="24"/>
          <w:szCs w:val="24"/>
          <w:lang w:val="en-US" w:eastAsia="zh-CN" w:bidi="ar"/>
        </w:rPr>
        <w:t>GB</w:t>
      </w:r>
      <w:r>
        <w:rPr>
          <w:rFonts w:hint="eastAsia" w:ascii="Times New Roman" w:hAnsi="Times New Roman"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16297-1996</w:t>
      </w:r>
      <w:r>
        <w:rPr>
          <w:rFonts w:hint="eastAsia" w:ascii="宋体" w:hAnsi="宋体" w:eastAsia="宋体" w:cs="宋体"/>
          <w:color w:val="000000"/>
          <w:kern w:val="0"/>
          <w:sz w:val="24"/>
          <w:szCs w:val="24"/>
          <w:lang w:val="en-US" w:eastAsia="zh-CN" w:bidi="ar"/>
        </w:rPr>
        <w:t>）详解中规定标准。具体数值见</w:t>
      </w:r>
      <w:r>
        <w:rPr>
          <w:rFonts w:hint="eastAsia" w:ascii="宋体" w:hAnsi="宋体" w:cs="宋体"/>
          <w:color w:val="000000"/>
          <w:kern w:val="0"/>
          <w:sz w:val="24"/>
          <w:szCs w:val="24"/>
          <w:lang w:val="en-US" w:eastAsia="zh-CN" w:bidi="ar"/>
        </w:rPr>
        <w:t>下</w:t>
      </w:r>
      <w:r>
        <w:rPr>
          <w:rFonts w:hint="eastAsia" w:ascii="宋体" w:hAnsi="宋体" w:eastAsia="宋体" w:cs="宋体"/>
          <w:color w:val="000000"/>
          <w:kern w:val="0"/>
          <w:sz w:val="24"/>
          <w:szCs w:val="24"/>
          <w:lang w:val="en-US" w:eastAsia="zh-CN" w:bidi="ar"/>
        </w:rPr>
        <w:t>表</w:t>
      </w:r>
      <w:r>
        <w:rPr>
          <w:rFonts w:hint="default" w:ascii="Times New Roman" w:hAnsi="Times New Roman" w:eastAsia="宋体" w:cs="Times New Roman"/>
          <w:kern w:val="0"/>
          <w:sz w:val="24"/>
          <w:szCs w:val="24"/>
        </w:rPr>
        <w:t>：</w:t>
      </w:r>
    </w:p>
    <w:p>
      <w:pPr>
        <w:spacing w:line="480" w:lineRule="exact"/>
        <w:ind w:firstLine="2409" w:firstLineChars="1000"/>
        <w:rPr>
          <w:b/>
        </w:rPr>
      </w:pPr>
      <w:r>
        <w:rPr>
          <w:b/>
          <w:sz w:val="24"/>
          <w:szCs w:val="24"/>
        </w:rPr>
        <w:t>表</w:t>
      </w:r>
      <w:r>
        <w:rPr>
          <w:rFonts w:hint="eastAsia"/>
          <w:b/>
          <w:sz w:val="24"/>
          <w:szCs w:val="24"/>
          <w:lang w:val="en-US" w:eastAsia="zh-CN"/>
        </w:rPr>
        <w:t>6.1</w:t>
      </w:r>
      <w:r>
        <w:rPr>
          <w:b/>
          <w:sz w:val="24"/>
          <w:szCs w:val="24"/>
        </w:rPr>
        <w:t xml:space="preserve">  环境空气质量标准 </w:t>
      </w:r>
      <w:r>
        <w:rPr>
          <w:b/>
        </w:rPr>
        <w:t xml:space="preserve">           </w:t>
      </w:r>
      <w:r>
        <w:t>单位：µg /m³</w:t>
      </w:r>
    </w:p>
    <w:tbl>
      <w:tblPr>
        <w:tblStyle w:val="31"/>
        <w:tblW w:w="8118"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97" w:type="dxa"/>
          <w:bottom w:w="0" w:type="dxa"/>
          <w:right w:w="97" w:type="dxa"/>
        </w:tblCellMar>
      </w:tblPr>
      <w:tblGrid>
        <w:gridCol w:w="2278"/>
        <w:gridCol w:w="1464"/>
        <w:gridCol w:w="2188"/>
        <w:gridCol w:w="2188"/>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65" w:hRule="atLeast"/>
          <w:jc w:val="center"/>
        </w:trPr>
        <w:tc>
          <w:tcPr>
            <w:tcW w:w="2278" w:type="dxa"/>
            <w:tcBorders>
              <w:tl2br w:val="nil"/>
              <w:tr2bl w:val="nil"/>
            </w:tcBorders>
            <w:noWrap w:val="0"/>
            <w:vAlign w:val="center"/>
          </w:tcPr>
          <w:p>
            <w:pPr>
              <w:spacing w:line="240" w:lineRule="auto"/>
              <w:ind w:firstLine="0" w:firstLineChars="0"/>
              <w:jc w:val="center"/>
              <w:rPr>
                <w:sz w:val="21"/>
                <w:szCs w:val="21"/>
              </w:rPr>
            </w:pPr>
            <w:r>
              <w:rPr>
                <w:sz w:val="21"/>
                <w:szCs w:val="21"/>
              </w:rPr>
              <w:t>污染物项目</w:t>
            </w:r>
          </w:p>
        </w:tc>
        <w:tc>
          <w:tcPr>
            <w:tcW w:w="1464" w:type="dxa"/>
            <w:tcBorders>
              <w:tl2br w:val="nil"/>
              <w:tr2bl w:val="nil"/>
            </w:tcBorders>
            <w:noWrap w:val="0"/>
            <w:vAlign w:val="center"/>
          </w:tcPr>
          <w:p>
            <w:pPr>
              <w:spacing w:line="240" w:lineRule="auto"/>
              <w:ind w:firstLine="0" w:firstLineChars="0"/>
              <w:jc w:val="center"/>
              <w:rPr>
                <w:sz w:val="21"/>
                <w:szCs w:val="21"/>
              </w:rPr>
            </w:pPr>
            <w:r>
              <w:rPr>
                <w:sz w:val="21"/>
                <w:szCs w:val="21"/>
              </w:rPr>
              <w:t>平均时间</w:t>
            </w:r>
          </w:p>
        </w:tc>
        <w:tc>
          <w:tcPr>
            <w:tcW w:w="2188" w:type="dxa"/>
            <w:tcBorders>
              <w:tl2br w:val="nil"/>
              <w:tr2bl w:val="nil"/>
            </w:tcBorders>
            <w:noWrap w:val="0"/>
            <w:vAlign w:val="center"/>
          </w:tcPr>
          <w:p>
            <w:pPr>
              <w:spacing w:line="240" w:lineRule="auto"/>
              <w:ind w:firstLine="0" w:firstLineChars="0"/>
              <w:jc w:val="center"/>
              <w:rPr>
                <w:sz w:val="21"/>
                <w:szCs w:val="21"/>
              </w:rPr>
            </w:pPr>
            <w:r>
              <w:rPr>
                <w:sz w:val="21"/>
                <w:szCs w:val="21"/>
              </w:rPr>
              <w:t>浓度限值（μg/m</w:t>
            </w:r>
            <w:r>
              <w:rPr>
                <w:sz w:val="21"/>
                <w:szCs w:val="21"/>
                <w:vertAlign w:val="superscript"/>
              </w:rPr>
              <w:t>3</w:t>
            </w:r>
            <w:r>
              <w:rPr>
                <w:sz w:val="21"/>
                <w:szCs w:val="21"/>
              </w:rPr>
              <w:t>）</w:t>
            </w:r>
          </w:p>
        </w:tc>
        <w:tc>
          <w:tcPr>
            <w:tcW w:w="2188" w:type="dxa"/>
            <w:tcBorders>
              <w:tl2br w:val="nil"/>
              <w:tr2bl w:val="nil"/>
            </w:tcBorders>
            <w:noWrap w:val="0"/>
            <w:vAlign w:val="center"/>
          </w:tcPr>
          <w:p>
            <w:pPr>
              <w:spacing w:line="240" w:lineRule="auto"/>
              <w:ind w:firstLine="0" w:firstLineChars="0"/>
              <w:jc w:val="center"/>
              <w:rPr>
                <w:sz w:val="21"/>
                <w:szCs w:val="21"/>
              </w:rPr>
            </w:pPr>
            <w:r>
              <w:rPr>
                <w:sz w:val="21"/>
                <w:szCs w:val="21"/>
              </w:rPr>
              <w:t>执行标准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5" w:hRule="atLeast"/>
          <w:jc w:val="center"/>
        </w:trPr>
        <w:tc>
          <w:tcPr>
            <w:tcW w:w="2278" w:type="dxa"/>
            <w:vMerge w:val="restart"/>
            <w:tcBorders>
              <w:tl2br w:val="nil"/>
              <w:tr2bl w:val="nil"/>
            </w:tcBorders>
            <w:noWrap w:val="0"/>
            <w:vAlign w:val="center"/>
          </w:tcPr>
          <w:p>
            <w:pPr>
              <w:spacing w:line="240" w:lineRule="auto"/>
              <w:ind w:firstLine="0" w:firstLineChars="0"/>
              <w:jc w:val="center"/>
              <w:rPr>
                <w:sz w:val="21"/>
                <w:szCs w:val="21"/>
              </w:rPr>
            </w:pPr>
            <w:r>
              <w:rPr>
                <w:sz w:val="21"/>
                <w:szCs w:val="21"/>
              </w:rPr>
              <w:t>SO</w:t>
            </w:r>
            <w:r>
              <w:rPr>
                <w:sz w:val="21"/>
                <w:szCs w:val="21"/>
                <w:vertAlign w:val="subscript"/>
              </w:rPr>
              <w:t>2</w:t>
            </w:r>
          </w:p>
        </w:tc>
        <w:tc>
          <w:tcPr>
            <w:tcW w:w="1464" w:type="dxa"/>
            <w:tcBorders>
              <w:tl2br w:val="nil"/>
              <w:tr2bl w:val="nil"/>
            </w:tcBorders>
            <w:noWrap w:val="0"/>
            <w:vAlign w:val="center"/>
          </w:tcPr>
          <w:p>
            <w:pPr>
              <w:spacing w:line="240" w:lineRule="auto"/>
              <w:ind w:firstLine="0" w:firstLineChars="0"/>
              <w:jc w:val="center"/>
              <w:rPr>
                <w:sz w:val="21"/>
                <w:szCs w:val="21"/>
              </w:rPr>
            </w:pPr>
            <w:r>
              <w:rPr>
                <w:sz w:val="21"/>
                <w:szCs w:val="21"/>
              </w:rPr>
              <w:t>年平均</w:t>
            </w:r>
          </w:p>
        </w:tc>
        <w:tc>
          <w:tcPr>
            <w:tcW w:w="2188" w:type="dxa"/>
            <w:tcBorders>
              <w:tl2br w:val="nil"/>
              <w:tr2bl w:val="nil"/>
            </w:tcBorders>
            <w:noWrap w:val="0"/>
            <w:vAlign w:val="center"/>
          </w:tcPr>
          <w:p>
            <w:pPr>
              <w:spacing w:line="240" w:lineRule="auto"/>
              <w:ind w:firstLine="0" w:firstLineChars="0"/>
              <w:jc w:val="center"/>
              <w:rPr>
                <w:sz w:val="21"/>
                <w:szCs w:val="21"/>
              </w:rPr>
            </w:pPr>
            <w:r>
              <w:rPr>
                <w:sz w:val="21"/>
                <w:szCs w:val="21"/>
              </w:rPr>
              <w:t>60</w:t>
            </w:r>
          </w:p>
        </w:tc>
        <w:tc>
          <w:tcPr>
            <w:tcW w:w="2188" w:type="dxa"/>
            <w:vMerge w:val="restart"/>
            <w:tcBorders>
              <w:tl2br w:val="nil"/>
              <w:tr2bl w:val="nil"/>
            </w:tcBorders>
            <w:noWrap w:val="0"/>
            <w:vAlign w:val="center"/>
          </w:tcPr>
          <w:p>
            <w:pPr>
              <w:spacing w:line="240" w:lineRule="auto"/>
              <w:ind w:firstLine="0" w:firstLineChars="0"/>
              <w:jc w:val="center"/>
              <w:rPr>
                <w:sz w:val="21"/>
                <w:szCs w:val="21"/>
              </w:rPr>
            </w:pPr>
            <w:r>
              <w:rPr>
                <w:sz w:val="21"/>
                <w:szCs w:val="21"/>
              </w:rPr>
              <w:t>《环境空气质量标准》（GB3095-2012）中的二级标准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5" w:hRule="atLeast"/>
          <w:jc w:val="center"/>
        </w:trPr>
        <w:tc>
          <w:tcPr>
            <w:tcW w:w="2278" w:type="dxa"/>
            <w:vMerge w:val="continue"/>
            <w:tcBorders>
              <w:tl2br w:val="nil"/>
              <w:tr2bl w:val="nil"/>
            </w:tcBorders>
            <w:noWrap w:val="0"/>
            <w:vAlign w:val="center"/>
          </w:tcPr>
          <w:p>
            <w:pPr>
              <w:spacing w:line="240" w:lineRule="auto"/>
              <w:ind w:firstLine="0" w:firstLineChars="0"/>
              <w:jc w:val="center"/>
              <w:rPr>
                <w:sz w:val="21"/>
                <w:szCs w:val="21"/>
              </w:rPr>
            </w:pPr>
          </w:p>
        </w:tc>
        <w:tc>
          <w:tcPr>
            <w:tcW w:w="1464" w:type="dxa"/>
            <w:tcBorders>
              <w:tl2br w:val="nil"/>
              <w:tr2bl w:val="nil"/>
            </w:tcBorders>
            <w:noWrap w:val="0"/>
            <w:vAlign w:val="center"/>
          </w:tcPr>
          <w:p>
            <w:pPr>
              <w:spacing w:line="240" w:lineRule="auto"/>
              <w:ind w:firstLine="0" w:firstLineChars="0"/>
              <w:jc w:val="center"/>
              <w:rPr>
                <w:sz w:val="21"/>
                <w:szCs w:val="21"/>
              </w:rPr>
            </w:pPr>
            <w:r>
              <w:rPr>
                <w:sz w:val="21"/>
                <w:szCs w:val="21"/>
              </w:rPr>
              <w:t>24小时平均</w:t>
            </w:r>
          </w:p>
        </w:tc>
        <w:tc>
          <w:tcPr>
            <w:tcW w:w="2188" w:type="dxa"/>
            <w:tcBorders>
              <w:tl2br w:val="nil"/>
              <w:tr2bl w:val="nil"/>
            </w:tcBorders>
            <w:noWrap w:val="0"/>
            <w:vAlign w:val="center"/>
          </w:tcPr>
          <w:p>
            <w:pPr>
              <w:spacing w:line="240" w:lineRule="auto"/>
              <w:ind w:firstLine="0" w:firstLineChars="0"/>
              <w:jc w:val="center"/>
              <w:rPr>
                <w:sz w:val="21"/>
                <w:szCs w:val="21"/>
              </w:rPr>
            </w:pPr>
            <w:r>
              <w:rPr>
                <w:sz w:val="21"/>
                <w:szCs w:val="21"/>
              </w:rPr>
              <w:t>150</w:t>
            </w:r>
          </w:p>
        </w:tc>
        <w:tc>
          <w:tcPr>
            <w:tcW w:w="2188" w:type="dxa"/>
            <w:vMerge w:val="continue"/>
            <w:tcBorders>
              <w:tl2br w:val="nil"/>
              <w:tr2bl w:val="nil"/>
            </w:tcBorders>
            <w:noWrap w:val="0"/>
            <w:vAlign w:val="center"/>
          </w:tcPr>
          <w:p>
            <w:pPr>
              <w:spacing w:line="240" w:lineRule="auto"/>
              <w:ind w:firstLine="0" w:firstLineChars="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5" w:hRule="atLeast"/>
          <w:jc w:val="center"/>
        </w:trPr>
        <w:tc>
          <w:tcPr>
            <w:tcW w:w="2278" w:type="dxa"/>
            <w:vMerge w:val="continue"/>
            <w:tcBorders>
              <w:tl2br w:val="nil"/>
              <w:tr2bl w:val="nil"/>
            </w:tcBorders>
            <w:noWrap w:val="0"/>
            <w:vAlign w:val="center"/>
          </w:tcPr>
          <w:p>
            <w:pPr>
              <w:spacing w:line="240" w:lineRule="auto"/>
              <w:ind w:firstLine="0" w:firstLineChars="0"/>
              <w:jc w:val="center"/>
              <w:rPr>
                <w:sz w:val="21"/>
                <w:szCs w:val="21"/>
              </w:rPr>
            </w:pPr>
          </w:p>
        </w:tc>
        <w:tc>
          <w:tcPr>
            <w:tcW w:w="1464" w:type="dxa"/>
            <w:tcBorders>
              <w:tl2br w:val="nil"/>
              <w:tr2bl w:val="nil"/>
            </w:tcBorders>
            <w:noWrap w:val="0"/>
            <w:vAlign w:val="center"/>
          </w:tcPr>
          <w:p>
            <w:pPr>
              <w:spacing w:line="240" w:lineRule="auto"/>
              <w:ind w:firstLine="0" w:firstLineChars="0"/>
              <w:jc w:val="center"/>
              <w:rPr>
                <w:sz w:val="21"/>
                <w:szCs w:val="21"/>
              </w:rPr>
            </w:pPr>
            <w:r>
              <w:rPr>
                <w:sz w:val="21"/>
                <w:szCs w:val="21"/>
              </w:rPr>
              <w:t>1小时平均</w:t>
            </w:r>
          </w:p>
        </w:tc>
        <w:tc>
          <w:tcPr>
            <w:tcW w:w="2188" w:type="dxa"/>
            <w:tcBorders>
              <w:tl2br w:val="nil"/>
              <w:tr2bl w:val="nil"/>
            </w:tcBorders>
            <w:noWrap w:val="0"/>
            <w:vAlign w:val="center"/>
          </w:tcPr>
          <w:p>
            <w:pPr>
              <w:spacing w:line="240" w:lineRule="auto"/>
              <w:ind w:firstLine="0" w:firstLineChars="0"/>
              <w:jc w:val="center"/>
              <w:rPr>
                <w:sz w:val="21"/>
                <w:szCs w:val="21"/>
              </w:rPr>
            </w:pPr>
            <w:r>
              <w:rPr>
                <w:sz w:val="21"/>
                <w:szCs w:val="21"/>
              </w:rPr>
              <w:t>500</w:t>
            </w:r>
          </w:p>
        </w:tc>
        <w:tc>
          <w:tcPr>
            <w:tcW w:w="2188" w:type="dxa"/>
            <w:vMerge w:val="continue"/>
            <w:tcBorders>
              <w:tl2br w:val="nil"/>
              <w:tr2bl w:val="nil"/>
            </w:tcBorders>
            <w:noWrap w:val="0"/>
            <w:vAlign w:val="center"/>
          </w:tcPr>
          <w:p>
            <w:pPr>
              <w:spacing w:line="240" w:lineRule="auto"/>
              <w:ind w:firstLine="0" w:firstLineChars="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5" w:hRule="atLeast"/>
          <w:jc w:val="center"/>
        </w:trPr>
        <w:tc>
          <w:tcPr>
            <w:tcW w:w="2278" w:type="dxa"/>
            <w:vMerge w:val="restart"/>
            <w:tcBorders>
              <w:tl2br w:val="nil"/>
              <w:tr2bl w:val="nil"/>
            </w:tcBorders>
            <w:noWrap w:val="0"/>
            <w:vAlign w:val="center"/>
          </w:tcPr>
          <w:p>
            <w:pPr>
              <w:spacing w:line="240" w:lineRule="auto"/>
              <w:ind w:firstLine="0" w:firstLineChars="0"/>
              <w:jc w:val="center"/>
              <w:rPr>
                <w:sz w:val="21"/>
                <w:szCs w:val="21"/>
              </w:rPr>
            </w:pPr>
            <w:r>
              <w:rPr>
                <w:sz w:val="21"/>
                <w:szCs w:val="21"/>
              </w:rPr>
              <w:t>NO</w:t>
            </w:r>
            <w:r>
              <w:rPr>
                <w:sz w:val="21"/>
                <w:szCs w:val="21"/>
                <w:vertAlign w:val="subscript"/>
              </w:rPr>
              <w:t>2</w:t>
            </w:r>
          </w:p>
        </w:tc>
        <w:tc>
          <w:tcPr>
            <w:tcW w:w="1464" w:type="dxa"/>
            <w:tcBorders>
              <w:tl2br w:val="nil"/>
              <w:tr2bl w:val="nil"/>
            </w:tcBorders>
            <w:noWrap w:val="0"/>
            <w:vAlign w:val="center"/>
          </w:tcPr>
          <w:p>
            <w:pPr>
              <w:spacing w:line="240" w:lineRule="auto"/>
              <w:ind w:firstLine="0" w:firstLineChars="0"/>
              <w:jc w:val="center"/>
              <w:rPr>
                <w:sz w:val="21"/>
                <w:szCs w:val="21"/>
              </w:rPr>
            </w:pPr>
            <w:r>
              <w:rPr>
                <w:sz w:val="21"/>
                <w:szCs w:val="21"/>
              </w:rPr>
              <w:t>年平均</w:t>
            </w:r>
          </w:p>
        </w:tc>
        <w:tc>
          <w:tcPr>
            <w:tcW w:w="2188" w:type="dxa"/>
            <w:tcBorders>
              <w:tl2br w:val="nil"/>
              <w:tr2bl w:val="nil"/>
            </w:tcBorders>
            <w:noWrap w:val="0"/>
            <w:vAlign w:val="center"/>
          </w:tcPr>
          <w:p>
            <w:pPr>
              <w:spacing w:line="240" w:lineRule="auto"/>
              <w:ind w:firstLine="0" w:firstLineChars="0"/>
              <w:jc w:val="center"/>
              <w:rPr>
                <w:sz w:val="21"/>
                <w:szCs w:val="21"/>
              </w:rPr>
            </w:pPr>
            <w:r>
              <w:rPr>
                <w:sz w:val="21"/>
                <w:szCs w:val="21"/>
              </w:rPr>
              <w:t>40</w:t>
            </w:r>
          </w:p>
        </w:tc>
        <w:tc>
          <w:tcPr>
            <w:tcW w:w="2188" w:type="dxa"/>
            <w:vMerge w:val="continue"/>
            <w:tcBorders>
              <w:tl2br w:val="nil"/>
              <w:tr2bl w:val="nil"/>
            </w:tcBorders>
            <w:noWrap w:val="0"/>
            <w:vAlign w:val="center"/>
          </w:tcPr>
          <w:p>
            <w:pPr>
              <w:spacing w:line="240" w:lineRule="auto"/>
              <w:ind w:firstLine="0" w:firstLineChars="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5" w:hRule="atLeast"/>
          <w:jc w:val="center"/>
        </w:trPr>
        <w:tc>
          <w:tcPr>
            <w:tcW w:w="2278" w:type="dxa"/>
            <w:vMerge w:val="continue"/>
            <w:tcBorders>
              <w:tl2br w:val="nil"/>
              <w:tr2bl w:val="nil"/>
            </w:tcBorders>
            <w:noWrap w:val="0"/>
            <w:vAlign w:val="center"/>
          </w:tcPr>
          <w:p>
            <w:pPr>
              <w:spacing w:line="240" w:lineRule="auto"/>
              <w:ind w:firstLine="0" w:firstLineChars="0"/>
              <w:jc w:val="center"/>
              <w:rPr>
                <w:sz w:val="21"/>
                <w:szCs w:val="21"/>
              </w:rPr>
            </w:pPr>
          </w:p>
        </w:tc>
        <w:tc>
          <w:tcPr>
            <w:tcW w:w="1464" w:type="dxa"/>
            <w:tcBorders>
              <w:tl2br w:val="nil"/>
              <w:tr2bl w:val="nil"/>
            </w:tcBorders>
            <w:noWrap w:val="0"/>
            <w:vAlign w:val="center"/>
          </w:tcPr>
          <w:p>
            <w:pPr>
              <w:spacing w:line="240" w:lineRule="auto"/>
              <w:ind w:firstLine="0" w:firstLineChars="0"/>
              <w:jc w:val="center"/>
              <w:rPr>
                <w:sz w:val="21"/>
                <w:szCs w:val="21"/>
              </w:rPr>
            </w:pPr>
            <w:r>
              <w:rPr>
                <w:sz w:val="21"/>
                <w:szCs w:val="21"/>
              </w:rPr>
              <w:t>24小时平均</w:t>
            </w:r>
          </w:p>
        </w:tc>
        <w:tc>
          <w:tcPr>
            <w:tcW w:w="2188" w:type="dxa"/>
            <w:tcBorders>
              <w:tl2br w:val="nil"/>
              <w:tr2bl w:val="nil"/>
            </w:tcBorders>
            <w:noWrap w:val="0"/>
            <w:vAlign w:val="center"/>
          </w:tcPr>
          <w:p>
            <w:pPr>
              <w:spacing w:line="240" w:lineRule="auto"/>
              <w:ind w:firstLine="0" w:firstLineChars="0"/>
              <w:jc w:val="center"/>
              <w:rPr>
                <w:sz w:val="21"/>
                <w:szCs w:val="21"/>
              </w:rPr>
            </w:pPr>
            <w:r>
              <w:rPr>
                <w:sz w:val="21"/>
                <w:szCs w:val="21"/>
              </w:rPr>
              <w:t>80</w:t>
            </w:r>
          </w:p>
        </w:tc>
        <w:tc>
          <w:tcPr>
            <w:tcW w:w="2188" w:type="dxa"/>
            <w:vMerge w:val="continue"/>
            <w:tcBorders>
              <w:tl2br w:val="nil"/>
              <w:tr2bl w:val="nil"/>
            </w:tcBorders>
            <w:noWrap w:val="0"/>
            <w:vAlign w:val="center"/>
          </w:tcPr>
          <w:p>
            <w:pPr>
              <w:spacing w:line="240" w:lineRule="auto"/>
              <w:ind w:firstLine="0" w:firstLineChars="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5" w:hRule="atLeast"/>
          <w:jc w:val="center"/>
        </w:trPr>
        <w:tc>
          <w:tcPr>
            <w:tcW w:w="2278" w:type="dxa"/>
            <w:vMerge w:val="continue"/>
            <w:tcBorders>
              <w:tl2br w:val="nil"/>
              <w:tr2bl w:val="nil"/>
            </w:tcBorders>
            <w:noWrap w:val="0"/>
            <w:vAlign w:val="center"/>
          </w:tcPr>
          <w:p>
            <w:pPr>
              <w:spacing w:line="240" w:lineRule="auto"/>
              <w:ind w:firstLine="0" w:firstLineChars="0"/>
              <w:jc w:val="center"/>
              <w:rPr>
                <w:sz w:val="21"/>
                <w:szCs w:val="21"/>
              </w:rPr>
            </w:pPr>
          </w:p>
        </w:tc>
        <w:tc>
          <w:tcPr>
            <w:tcW w:w="1464" w:type="dxa"/>
            <w:tcBorders>
              <w:tl2br w:val="nil"/>
              <w:tr2bl w:val="nil"/>
            </w:tcBorders>
            <w:noWrap w:val="0"/>
            <w:vAlign w:val="center"/>
          </w:tcPr>
          <w:p>
            <w:pPr>
              <w:spacing w:line="240" w:lineRule="auto"/>
              <w:ind w:firstLine="0" w:firstLineChars="0"/>
              <w:jc w:val="center"/>
              <w:rPr>
                <w:sz w:val="21"/>
                <w:szCs w:val="21"/>
              </w:rPr>
            </w:pPr>
            <w:r>
              <w:rPr>
                <w:sz w:val="21"/>
                <w:szCs w:val="21"/>
              </w:rPr>
              <w:t>1小时平均</w:t>
            </w:r>
          </w:p>
        </w:tc>
        <w:tc>
          <w:tcPr>
            <w:tcW w:w="2188" w:type="dxa"/>
            <w:tcBorders>
              <w:tl2br w:val="nil"/>
              <w:tr2bl w:val="nil"/>
            </w:tcBorders>
            <w:noWrap w:val="0"/>
            <w:vAlign w:val="center"/>
          </w:tcPr>
          <w:p>
            <w:pPr>
              <w:spacing w:line="240" w:lineRule="auto"/>
              <w:ind w:firstLine="0" w:firstLineChars="0"/>
              <w:jc w:val="center"/>
              <w:rPr>
                <w:sz w:val="21"/>
                <w:szCs w:val="21"/>
              </w:rPr>
            </w:pPr>
            <w:r>
              <w:rPr>
                <w:sz w:val="21"/>
                <w:szCs w:val="21"/>
              </w:rPr>
              <w:t>200</w:t>
            </w:r>
          </w:p>
        </w:tc>
        <w:tc>
          <w:tcPr>
            <w:tcW w:w="2188" w:type="dxa"/>
            <w:vMerge w:val="continue"/>
            <w:tcBorders>
              <w:tl2br w:val="nil"/>
              <w:tr2bl w:val="nil"/>
            </w:tcBorders>
            <w:noWrap w:val="0"/>
            <w:vAlign w:val="center"/>
          </w:tcPr>
          <w:p>
            <w:pPr>
              <w:spacing w:line="240" w:lineRule="auto"/>
              <w:ind w:firstLine="0" w:firstLineChars="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5" w:hRule="atLeast"/>
          <w:jc w:val="center"/>
        </w:trPr>
        <w:tc>
          <w:tcPr>
            <w:tcW w:w="2278" w:type="dxa"/>
            <w:vMerge w:val="restart"/>
            <w:tcBorders>
              <w:tl2br w:val="nil"/>
              <w:tr2bl w:val="nil"/>
            </w:tcBorders>
            <w:noWrap w:val="0"/>
            <w:vAlign w:val="center"/>
          </w:tcPr>
          <w:p>
            <w:pPr>
              <w:spacing w:line="240" w:lineRule="auto"/>
              <w:ind w:firstLine="0" w:firstLineChars="0"/>
              <w:jc w:val="center"/>
              <w:rPr>
                <w:sz w:val="21"/>
                <w:szCs w:val="21"/>
              </w:rPr>
            </w:pPr>
            <w:r>
              <w:rPr>
                <w:sz w:val="21"/>
                <w:szCs w:val="21"/>
              </w:rPr>
              <w:t>PM</w:t>
            </w:r>
            <w:r>
              <w:rPr>
                <w:sz w:val="21"/>
                <w:szCs w:val="21"/>
                <w:vertAlign w:val="subscript"/>
              </w:rPr>
              <w:t>10</w:t>
            </w:r>
          </w:p>
        </w:tc>
        <w:tc>
          <w:tcPr>
            <w:tcW w:w="1464" w:type="dxa"/>
            <w:tcBorders>
              <w:tl2br w:val="nil"/>
              <w:tr2bl w:val="nil"/>
            </w:tcBorders>
            <w:noWrap w:val="0"/>
            <w:vAlign w:val="center"/>
          </w:tcPr>
          <w:p>
            <w:pPr>
              <w:spacing w:line="240" w:lineRule="auto"/>
              <w:ind w:firstLine="0" w:firstLineChars="0"/>
              <w:jc w:val="center"/>
              <w:rPr>
                <w:sz w:val="21"/>
                <w:szCs w:val="21"/>
              </w:rPr>
            </w:pPr>
            <w:r>
              <w:rPr>
                <w:sz w:val="21"/>
                <w:szCs w:val="21"/>
              </w:rPr>
              <w:t>年平均</w:t>
            </w:r>
          </w:p>
        </w:tc>
        <w:tc>
          <w:tcPr>
            <w:tcW w:w="2188" w:type="dxa"/>
            <w:tcBorders>
              <w:tl2br w:val="nil"/>
              <w:tr2bl w:val="nil"/>
            </w:tcBorders>
            <w:noWrap w:val="0"/>
            <w:vAlign w:val="center"/>
          </w:tcPr>
          <w:p>
            <w:pPr>
              <w:spacing w:line="240" w:lineRule="auto"/>
              <w:ind w:firstLine="0" w:firstLineChars="0"/>
              <w:jc w:val="center"/>
              <w:rPr>
                <w:sz w:val="21"/>
                <w:szCs w:val="21"/>
              </w:rPr>
            </w:pPr>
            <w:r>
              <w:rPr>
                <w:sz w:val="21"/>
                <w:szCs w:val="21"/>
              </w:rPr>
              <w:t>70</w:t>
            </w:r>
          </w:p>
        </w:tc>
        <w:tc>
          <w:tcPr>
            <w:tcW w:w="2188" w:type="dxa"/>
            <w:vMerge w:val="continue"/>
            <w:tcBorders>
              <w:tl2br w:val="nil"/>
              <w:tr2bl w:val="nil"/>
            </w:tcBorders>
            <w:noWrap w:val="0"/>
            <w:vAlign w:val="center"/>
          </w:tcPr>
          <w:p>
            <w:pPr>
              <w:spacing w:line="240" w:lineRule="auto"/>
              <w:ind w:firstLine="0" w:firstLineChars="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5" w:hRule="atLeast"/>
          <w:jc w:val="center"/>
        </w:trPr>
        <w:tc>
          <w:tcPr>
            <w:tcW w:w="2278" w:type="dxa"/>
            <w:vMerge w:val="continue"/>
            <w:tcBorders>
              <w:tl2br w:val="nil"/>
              <w:tr2bl w:val="nil"/>
            </w:tcBorders>
            <w:noWrap w:val="0"/>
            <w:vAlign w:val="center"/>
          </w:tcPr>
          <w:p>
            <w:pPr>
              <w:spacing w:line="240" w:lineRule="auto"/>
              <w:ind w:firstLine="0" w:firstLineChars="0"/>
              <w:jc w:val="center"/>
              <w:rPr>
                <w:sz w:val="21"/>
                <w:szCs w:val="21"/>
              </w:rPr>
            </w:pPr>
          </w:p>
        </w:tc>
        <w:tc>
          <w:tcPr>
            <w:tcW w:w="1464" w:type="dxa"/>
            <w:tcBorders>
              <w:tl2br w:val="nil"/>
              <w:tr2bl w:val="nil"/>
            </w:tcBorders>
            <w:noWrap w:val="0"/>
            <w:vAlign w:val="center"/>
          </w:tcPr>
          <w:p>
            <w:pPr>
              <w:spacing w:line="240" w:lineRule="auto"/>
              <w:ind w:firstLine="0" w:firstLineChars="0"/>
              <w:jc w:val="center"/>
              <w:rPr>
                <w:sz w:val="21"/>
                <w:szCs w:val="21"/>
              </w:rPr>
            </w:pPr>
            <w:r>
              <w:rPr>
                <w:sz w:val="21"/>
                <w:szCs w:val="21"/>
              </w:rPr>
              <w:t>24小时平均</w:t>
            </w:r>
          </w:p>
        </w:tc>
        <w:tc>
          <w:tcPr>
            <w:tcW w:w="2188" w:type="dxa"/>
            <w:tcBorders>
              <w:tl2br w:val="nil"/>
              <w:tr2bl w:val="nil"/>
            </w:tcBorders>
            <w:noWrap w:val="0"/>
            <w:vAlign w:val="center"/>
          </w:tcPr>
          <w:p>
            <w:pPr>
              <w:spacing w:line="240" w:lineRule="auto"/>
              <w:ind w:firstLine="0" w:firstLineChars="0"/>
              <w:jc w:val="center"/>
              <w:rPr>
                <w:sz w:val="21"/>
                <w:szCs w:val="21"/>
              </w:rPr>
            </w:pPr>
            <w:r>
              <w:rPr>
                <w:sz w:val="21"/>
                <w:szCs w:val="21"/>
              </w:rPr>
              <w:t>150</w:t>
            </w:r>
          </w:p>
        </w:tc>
        <w:tc>
          <w:tcPr>
            <w:tcW w:w="2188" w:type="dxa"/>
            <w:vMerge w:val="continue"/>
            <w:tcBorders>
              <w:tl2br w:val="nil"/>
              <w:tr2bl w:val="nil"/>
            </w:tcBorders>
            <w:noWrap w:val="0"/>
            <w:vAlign w:val="center"/>
          </w:tcPr>
          <w:p>
            <w:pPr>
              <w:spacing w:line="240" w:lineRule="auto"/>
              <w:ind w:firstLine="0" w:firstLineChars="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5" w:hRule="atLeast"/>
          <w:jc w:val="center"/>
        </w:trPr>
        <w:tc>
          <w:tcPr>
            <w:tcW w:w="2278" w:type="dxa"/>
            <w:vMerge w:val="restart"/>
            <w:tcBorders>
              <w:tl2br w:val="nil"/>
              <w:tr2bl w:val="nil"/>
            </w:tcBorders>
            <w:noWrap w:val="0"/>
            <w:vAlign w:val="center"/>
          </w:tcPr>
          <w:p>
            <w:pPr>
              <w:spacing w:line="240" w:lineRule="auto"/>
              <w:ind w:firstLine="0" w:firstLineChars="0"/>
              <w:jc w:val="center"/>
              <w:rPr>
                <w:sz w:val="21"/>
                <w:szCs w:val="21"/>
              </w:rPr>
            </w:pPr>
            <w:r>
              <w:rPr>
                <w:sz w:val="21"/>
                <w:szCs w:val="21"/>
              </w:rPr>
              <w:t>PM</w:t>
            </w:r>
            <w:r>
              <w:rPr>
                <w:sz w:val="21"/>
                <w:szCs w:val="21"/>
                <w:vertAlign w:val="subscript"/>
              </w:rPr>
              <w:t>2.5</w:t>
            </w:r>
          </w:p>
        </w:tc>
        <w:tc>
          <w:tcPr>
            <w:tcW w:w="1464" w:type="dxa"/>
            <w:tcBorders>
              <w:tl2br w:val="nil"/>
              <w:tr2bl w:val="nil"/>
            </w:tcBorders>
            <w:noWrap w:val="0"/>
            <w:vAlign w:val="center"/>
          </w:tcPr>
          <w:p>
            <w:pPr>
              <w:spacing w:line="240" w:lineRule="auto"/>
              <w:ind w:firstLine="0" w:firstLineChars="0"/>
              <w:jc w:val="center"/>
              <w:rPr>
                <w:sz w:val="21"/>
                <w:szCs w:val="21"/>
              </w:rPr>
            </w:pPr>
            <w:r>
              <w:rPr>
                <w:sz w:val="21"/>
                <w:szCs w:val="21"/>
              </w:rPr>
              <w:t>年平均</w:t>
            </w:r>
          </w:p>
        </w:tc>
        <w:tc>
          <w:tcPr>
            <w:tcW w:w="2188" w:type="dxa"/>
            <w:tcBorders>
              <w:tl2br w:val="nil"/>
              <w:tr2bl w:val="nil"/>
            </w:tcBorders>
            <w:noWrap w:val="0"/>
            <w:vAlign w:val="center"/>
          </w:tcPr>
          <w:p>
            <w:pPr>
              <w:spacing w:line="240" w:lineRule="auto"/>
              <w:ind w:firstLine="0" w:firstLineChars="0"/>
              <w:jc w:val="center"/>
              <w:rPr>
                <w:sz w:val="21"/>
                <w:szCs w:val="21"/>
              </w:rPr>
            </w:pPr>
            <w:r>
              <w:rPr>
                <w:sz w:val="21"/>
                <w:szCs w:val="21"/>
              </w:rPr>
              <w:t>35</w:t>
            </w:r>
          </w:p>
        </w:tc>
        <w:tc>
          <w:tcPr>
            <w:tcW w:w="2188" w:type="dxa"/>
            <w:vMerge w:val="continue"/>
            <w:tcBorders>
              <w:tl2br w:val="nil"/>
              <w:tr2bl w:val="nil"/>
            </w:tcBorders>
            <w:noWrap w:val="0"/>
            <w:vAlign w:val="center"/>
          </w:tcPr>
          <w:p>
            <w:pPr>
              <w:spacing w:line="240" w:lineRule="auto"/>
              <w:ind w:firstLine="0" w:firstLineChars="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5" w:hRule="atLeast"/>
          <w:jc w:val="center"/>
        </w:trPr>
        <w:tc>
          <w:tcPr>
            <w:tcW w:w="2278" w:type="dxa"/>
            <w:vMerge w:val="continue"/>
            <w:tcBorders>
              <w:tl2br w:val="nil"/>
              <w:tr2bl w:val="nil"/>
            </w:tcBorders>
            <w:noWrap w:val="0"/>
            <w:vAlign w:val="center"/>
          </w:tcPr>
          <w:p>
            <w:pPr>
              <w:spacing w:line="240" w:lineRule="auto"/>
              <w:ind w:firstLine="0" w:firstLineChars="0"/>
              <w:jc w:val="center"/>
              <w:rPr>
                <w:sz w:val="21"/>
                <w:szCs w:val="21"/>
              </w:rPr>
            </w:pPr>
          </w:p>
        </w:tc>
        <w:tc>
          <w:tcPr>
            <w:tcW w:w="1464" w:type="dxa"/>
            <w:tcBorders>
              <w:tl2br w:val="nil"/>
              <w:tr2bl w:val="nil"/>
            </w:tcBorders>
            <w:noWrap w:val="0"/>
            <w:vAlign w:val="center"/>
          </w:tcPr>
          <w:p>
            <w:pPr>
              <w:spacing w:line="240" w:lineRule="auto"/>
              <w:ind w:firstLine="0" w:firstLineChars="0"/>
              <w:jc w:val="center"/>
              <w:rPr>
                <w:sz w:val="21"/>
                <w:szCs w:val="21"/>
              </w:rPr>
            </w:pPr>
            <w:r>
              <w:rPr>
                <w:sz w:val="21"/>
                <w:szCs w:val="21"/>
              </w:rPr>
              <w:t>24小时平均</w:t>
            </w:r>
          </w:p>
        </w:tc>
        <w:tc>
          <w:tcPr>
            <w:tcW w:w="2188" w:type="dxa"/>
            <w:tcBorders>
              <w:tl2br w:val="nil"/>
              <w:tr2bl w:val="nil"/>
            </w:tcBorders>
            <w:noWrap w:val="0"/>
            <w:vAlign w:val="center"/>
          </w:tcPr>
          <w:p>
            <w:pPr>
              <w:spacing w:line="240" w:lineRule="auto"/>
              <w:ind w:firstLine="0" w:firstLineChars="0"/>
              <w:jc w:val="center"/>
              <w:rPr>
                <w:sz w:val="21"/>
                <w:szCs w:val="21"/>
              </w:rPr>
            </w:pPr>
            <w:r>
              <w:rPr>
                <w:sz w:val="21"/>
                <w:szCs w:val="21"/>
              </w:rPr>
              <w:t>75</w:t>
            </w:r>
          </w:p>
        </w:tc>
        <w:tc>
          <w:tcPr>
            <w:tcW w:w="2188" w:type="dxa"/>
            <w:vMerge w:val="continue"/>
            <w:tcBorders>
              <w:tl2br w:val="nil"/>
              <w:tr2bl w:val="nil"/>
            </w:tcBorders>
            <w:noWrap w:val="0"/>
            <w:vAlign w:val="center"/>
          </w:tcPr>
          <w:p>
            <w:pPr>
              <w:spacing w:line="240" w:lineRule="auto"/>
              <w:ind w:firstLine="0" w:firstLineChars="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5" w:hRule="atLeast"/>
          <w:jc w:val="center"/>
        </w:trPr>
        <w:tc>
          <w:tcPr>
            <w:tcW w:w="2278" w:type="dxa"/>
            <w:vMerge w:val="restart"/>
            <w:tcBorders>
              <w:tl2br w:val="nil"/>
              <w:tr2bl w:val="nil"/>
            </w:tcBorders>
            <w:noWrap w:val="0"/>
            <w:vAlign w:val="center"/>
          </w:tcPr>
          <w:p>
            <w:pPr>
              <w:spacing w:line="240" w:lineRule="auto"/>
              <w:ind w:firstLine="0" w:firstLineChars="0"/>
              <w:jc w:val="center"/>
              <w:rPr>
                <w:sz w:val="21"/>
                <w:szCs w:val="21"/>
              </w:rPr>
            </w:pPr>
            <w:r>
              <w:rPr>
                <w:sz w:val="21"/>
                <w:szCs w:val="21"/>
              </w:rPr>
              <w:t>CO</w:t>
            </w:r>
          </w:p>
        </w:tc>
        <w:tc>
          <w:tcPr>
            <w:tcW w:w="1464" w:type="dxa"/>
            <w:tcBorders>
              <w:tl2br w:val="nil"/>
              <w:tr2bl w:val="nil"/>
            </w:tcBorders>
            <w:noWrap w:val="0"/>
            <w:vAlign w:val="center"/>
          </w:tcPr>
          <w:p>
            <w:pPr>
              <w:spacing w:line="240" w:lineRule="auto"/>
              <w:ind w:firstLine="0" w:firstLineChars="0"/>
              <w:jc w:val="center"/>
              <w:rPr>
                <w:sz w:val="21"/>
                <w:szCs w:val="21"/>
              </w:rPr>
            </w:pPr>
            <w:r>
              <w:rPr>
                <w:sz w:val="21"/>
                <w:szCs w:val="21"/>
              </w:rPr>
              <w:t>24小时平均</w:t>
            </w:r>
          </w:p>
        </w:tc>
        <w:tc>
          <w:tcPr>
            <w:tcW w:w="2188" w:type="dxa"/>
            <w:tcBorders>
              <w:tl2br w:val="nil"/>
              <w:tr2bl w:val="nil"/>
            </w:tcBorders>
            <w:noWrap w:val="0"/>
            <w:vAlign w:val="center"/>
          </w:tcPr>
          <w:p>
            <w:pPr>
              <w:spacing w:line="240" w:lineRule="auto"/>
              <w:ind w:firstLine="0" w:firstLineChars="0"/>
              <w:jc w:val="center"/>
              <w:rPr>
                <w:sz w:val="21"/>
                <w:szCs w:val="21"/>
              </w:rPr>
            </w:pPr>
            <w:r>
              <w:rPr>
                <w:sz w:val="21"/>
                <w:szCs w:val="21"/>
              </w:rPr>
              <w:t>4000</w:t>
            </w:r>
          </w:p>
        </w:tc>
        <w:tc>
          <w:tcPr>
            <w:tcW w:w="2188" w:type="dxa"/>
            <w:vMerge w:val="continue"/>
            <w:tcBorders>
              <w:tl2br w:val="nil"/>
              <w:tr2bl w:val="nil"/>
            </w:tcBorders>
            <w:noWrap w:val="0"/>
            <w:vAlign w:val="center"/>
          </w:tcPr>
          <w:p>
            <w:pPr>
              <w:spacing w:line="240" w:lineRule="auto"/>
              <w:ind w:firstLine="0" w:firstLineChars="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5" w:hRule="atLeast"/>
          <w:jc w:val="center"/>
        </w:trPr>
        <w:tc>
          <w:tcPr>
            <w:tcW w:w="2278" w:type="dxa"/>
            <w:vMerge w:val="continue"/>
            <w:tcBorders>
              <w:tl2br w:val="nil"/>
              <w:tr2bl w:val="nil"/>
            </w:tcBorders>
            <w:noWrap w:val="0"/>
            <w:vAlign w:val="center"/>
          </w:tcPr>
          <w:p>
            <w:pPr>
              <w:spacing w:line="240" w:lineRule="auto"/>
              <w:ind w:firstLine="0" w:firstLineChars="0"/>
              <w:jc w:val="center"/>
              <w:rPr>
                <w:sz w:val="21"/>
                <w:szCs w:val="21"/>
              </w:rPr>
            </w:pPr>
          </w:p>
        </w:tc>
        <w:tc>
          <w:tcPr>
            <w:tcW w:w="1464" w:type="dxa"/>
            <w:tcBorders>
              <w:tl2br w:val="nil"/>
              <w:tr2bl w:val="nil"/>
            </w:tcBorders>
            <w:noWrap w:val="0"/>
            <w:vAlign w:val="center"/>
          </w:tcPr>
          <w:p>
            <w:pPr>
              <w:spacing w:line="240" w:lineRule="auto"/>
              <w:ind w:firstLine="0" w:firstLineChars="0"/>
              <w:jc w:val="center"/>
              <w:rPr>
                <w:sz w:val="21"/>
                <w:szCs w:val="21"/>
              </w:rPr>
            </w:pPr>
            <w:r>
              <w:rPr>
                <w:sz w:val="21"/>
                <w:szCs w:val="21"/>
              </w:rPr>
              <w:t>1小时平均</w:t>
            </w:r>
          </w:p>
        </w:tc>
        <w:tc>
          <w:tcPr>
            <w:tcW w:w="2188" w:type="dxa"/>
            <w:tcBorders>
              <w:tl2br w:val="nil"/>
              <w:tr2bl w:val="nil"/>
            </w:tcBorders>
            <w:noWrap w:val="0"/>
            <w:vAlign w:val="center"/>
          </w:tcPr>
          <w:p>
            <w:pPr>
              <w:spacing w:line="240" w:lineRule="auto"/>
              <w:ind w:firstLine="0" w:firstLineChars="0"/>
              <w:jc w:val="center"/>
              <w:rPr>
                <w:sz w:val="21"/>
                <w:szCs w:val="21"/>
              </w:rPr>
            </w:pPr>
            <w:r>
              <w:rPr>
                <w:sz w:val="21"/>
                <w:szCs w:val="21"/>
              </w:rPr>
              <w:t>10000</w:t>
            </w:r>
          </w:p>
        </w:tc>
        <w:tc>
          <w:tcPr>
            <w:tcW w:w="2188" w:type="dxa"/>
            <w:vMerge w:val="continue"/>
            <w:tcBorders>
              <w:tl2br w:val="nil"/>
              <w:tr2bl w:val="nil"/>
            </w:tcBorders>
            <w:noWrap w:val="0"/>
            <w:vAlign w:val="center"/>
          </w:tcPr>
          <w:p>
            <w:pPr>
              <w:spacing w:line="240" w:lineRule="auto"/>
              <w:ind w:firstLine="0" w:firstLineChars="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651" w:hRule="atLeast"/>
          <w:jc w:val="center"/>
        </w:trPr>
        <w:tc>
          <w:tcPr>
            <w:tcW w:w="2278" w:type="dxa"/>
            <w:vMerge w:val="restart"/>
            <w:tcBorders>
              <w:tl2br w:val="nil"/>
              <w:tr2bl w:val="nil"/>
            </w:tcBorders>
            <w:noWrap w:val="0"/>
            <w:vAlign w:val="center"/>
          </w:tcPr>
          <w:p>
            <w:pPr>
              <w:spacing w:line="240" w:lineRule="auto"/>
              <w:ind w:firstLine="0" w:firstLineChars="0"/>
              <w:jc w:val="center"/>
              <w:rPr>
                <w:sz w:val="21"/>
                <w:szCs w:val="21"/>
              </w:rPr>
            </w:pPr>
            <w:r>
              <w:rPr>
                <w:sz w:val="21"/>
                <w:szCs w:val="21"/>
              </w:rPr>
              <w:t>O</w:t>
            </w:r>
            <w:r>
              <w:rPr>
                <w:sz w:val="21"/>
                <w:szCs w:val="21"/>
                <w:vertAlign w:val="subscript"/>
              </w:rPr>
              <w:t>3</w:t>
            </w:r>
          </w:p>
        </w:tc>
        <w:tc>
          <w:tcPr>
            <w:tcW w:w="1464" w:type="dxa"/>
            <w:tcBorders>
              <w:tl2br w:val="nil"/>
              <w:tr2bl w:val="nil"/>
            </w:tcBorders>
            <w:noWrap w:val="0"/>
            <w:vAlign w:val="center"/>
          </w:tcPr>
          <w:p>
            <w:pPr>
              <w:spacing w:line="240" w:lineRule="auto"/>
              <w:ind w:firstLine="0" w:firstLineChars="0"/>
              <w:jc w:val="center"/>
              <w:rPr>
                <w:sz w:val="21"/>
                <w:szCs w:val="21"/>
              </w:rPr>
            </w:pPr>
            <w:r>
              <w:rPr>
                <w:sz w:val="21"/>
                <w:szCs w:val="21"/>
              </w:rPr>
              <w:t>日最大8小时平均</w:t>
            </w:r>
          </w:p>
        </w:tc>
        <w:tc>
          <w:tcPr>
            <w:tcW w:w="2188" w:type="dxa"/>
            <w:tcBorders>
              <w:tl2br w:val="nil"/>
              <w:tr2bl w:val="nil"/>
            </w:tcBorders>
            <w:noWrap w:val="0"/>
            <w:vAlign w:val="center"/>
          </w:tcPr>
          <w:p>
            <w:pPr>
              <w:spacing w:line="240" w:lineRule="auto"/>
              <w:ind w:firstLine="0" w:firstLineChars="0"/>
              <w:jc w:val="center"/>
              <w:rPr>
                <w:sz w:val="21"/>
                <w:szCs w:val="21"/>
              </w:rPr>
            </w:pPr>
            <w:r>
              <w:rPr>
                <w:sz w:val="21"/>
                <w:szCs w:val="21"/>
              </w:rPr>
              <w:t>160</w:t>
            </w:r>
          </w:p>
        </w:tc>
        <w:tc>
          <w:tcPr>
            <w:tcW w:w="2188" w:type="dxa"/>
            <w:vMerge w:val="continue"/>
            <w:tcBorders>
              <w:tl2br w:val="nil"/>
              <w:tr2bl w:val="nil"/>
            </w:tcBorders>
            <w:noWrap w:val="0"/>
            <w:vAlign w:val="center"/>
          </w:tcPr>
          <w:p>
            <w:pPr>
              <w:spacing w:line="240" w:lineRule="auto"/>
              <w:ind w:firstLine="0" w:firstLineChars="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5" w:hRule="atLeast"/>
          <w:jc w:val="center"/>
        </w:trPr>
        <w:tc>
          <w:tcPr>
            <w:tcW w:w="2278" w:type="dxa"/>
            <w:vMerge w:val="continue"/>
            <w:tcBorders>
              <w:tl2br w:val="nil"/>
              <w:tr2bl w:val="nil"/>
            </w:tcBorders>
            <w:noWrap w:val="0"/>
            <w:vAlign w:val="center"/>
          </w:tcPr>
          <w:p>
            <w:pPr>
              <w:spacing w:line="240" w:lineRule="auto"/>
              <w:ind w:firstLine="0" w:firstLineChars="0"/>
              <w:jc w:val="center"/>
              <w:rPr>
                <w:sz w:val="21"/>
                <w:szCs w:val="21"/>
              </w:rPr>
            </w:pPr>
          </w:p>
        </w:tc>
        <w:tc>
          <w:tcPr>
            <w:tcW w:w="1464" w:type="dxa"/>
            <w:tcBorders>
              <w:tl2br w:val="nil"/>
              <w:tr2bl w:val="nil"/>
            </w:tcBorders>
            <w:noWrap w:val="0"/>
            <w:vAlign w:val="center"/>
          </w:tcPr>
          <w:p>
            <w:pPr>
              <w:spacing w:line="240" w:lineRule="auto"/>
              <w:ind w:firstLine="0" w:firstLineChars="0"/>
              <w:jc w:val="center"/>
              <w:rPr>
                <w:sz w:val="21"/>
                <w:szCs w:val="21"/>
              </w:rPr>
            </w:pPr>
            <w:r>
              <w:rPr>
                <w:sz w:val="21"/>
                <w:szCs w:val="21"/>
              </w:rPr>
              <w:t>1小时平均</w:t>
            </w:r>
          </w:p>
        </w:tc>
        <w:tc>
          <w:tcPr>
            <w:tcW w:w="2188" w:type="dxa"/>
            <w:tcBorders>
              <w:tl2br w:val="nil"/>
              <w:tr2bl w:val="nil"/>
            </w:tcBorders>
            <w:noWrap w:val="0"/>
            <w:vAlign w:val="center"/>
          </w:tcPr>
          <w:p>
            <w:pPr>
              <w:spacing w:line="240" w:lineRule="auto"/>
              <w:ind w:firstLine="0" w:firstLineChars="0"/>
              <w:jc w:val="center"/>
              <w:rPr>
                <w:sz w:val="21"/>
                <w:szCs w:val="21"/>
              </w:rPr>
            </w:pPr>
            <w:r>
              <w:rPr>
                <w:sz w:val="21"/>
                <w:szCs w:val="21"/>
              </w:rPr>
              <w:t>200</w:t>
            </w:r>
          </w:p>
        </w:tc>
        <w:tc>
          <w:tcPr>
            <w:tcW w:w="2188" w:type="dxa"/>
            <w:vMerge w:val="continue"/>
            <w:tcBorders>
              <w:tl2br w:val="nil"/>
              <w:tr2bl w:val="nil"/>
            </w:tcBorders>
            <w:noWrap w:val="0"/>
            <w:vAlign w:val="center"/>
          </w:tcPr>
          <w:p>
            <w:pPr>
              <w:spacing w:line="240" w:lineRule="auto"/>
              <w:ind w:firstLine="0" w:firstLineChars="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5" w:hRule="atLeast"/>
          <w:jc w:val="center"/>
        </w:trPr>
        <w:tc>
          <w:tcPr>
            <w:tcW w:w="2278" w:type="dxa"/>
            <w:tcBorders>
              <w:tl2br w:val="nil"/>
              <w:tr2bl w:val="nil"/>
            </w:tcBorders>
            <w:noWrap w:val="0"/>
            <w:vAlign w:val="center"/>
          </w:tcPr>
          <w:p>
            <w:pPr>
              <w:keepNext w:val="0"/>
              <w:keepLines w:val="0"/>
              <w:widowControl/>
              <w:suppressLineNumbers w:val="0"/>
              <w:spacing w:line="240" w:lineRule="auto"/>
              <w:ind w:firstLine="0" w:firstLineChars="0"/>
              <w:jc w:val="center"/>
              <w:rPr>
                <w:sz w:val="21"/>
                <w:szCs w:val="21"/>
              </w:rPr>
            </w:pPr>
            <w:r>
              <w:rPr>
                <w:rFonts w:hint="eastAsia" w:ascii="宋体" w:hAnsi="宋体" w:eastAsia="宋体" w:cs="宋体"/>
                <w:color w:val="000000"/>
                <w:kern w:val="0"/>
                <w:sz w:val="20"/>
                <w:szCs w:val="20"/>
                <w:lang w:val="en-US" w:eastAsia="zh-CN" w:bidi="ar"/>
              </w:rPr>
              <w:t>非甲烷总烃</w:t>
            </w:r>
          </w:p>
        </w:tc>
        <w:tc>
          <w:tcPr>
            <w:tcW w:w="1464" w:type="dxa"/>
            <w:tcBorders>
              <w:tl2br w:val="nil"/>
              <w:tr2bl w:val="nil"/>
            </w:tcBorders>
            <w:noWrap w:val="0"/>
            <w:vAlign w:val="center"/>
          </w:tcPr>
          <w:p>
            <w:pPr>
              <w:keepNext w:val="0"/>
              <w:keepLines w:val="0"/>
              <w:widowControl/>
              <w:suppressLineNumbers w:val="0"/>
              <w:jc w:val="center"/>
              <w:rPr>
                <w:sz w:val="21"/>
                <w:szCs w:val="21"/>
              </w:rPr>
            </w:pPr>
            <w:r>
              <w:rPr>
                <w:rFonts w:hint="eastAsia" w:ascii="宋体" w:hAnsi="宋体" w:eastAsia="宋体" w:cs="宋体"/>
                <w:color w:val="000000"/>
                <w:kern w:val="0"/>
                <w:sz w:val="20"/>
                <w:szCs w:val="20"/>
                <w:lang w:val="en-US" w:eastAsia="zh-CN" w:bidi="ar"/>
              </w:rPr>
              <w:t>最大一次</w:t>
            </w:r>
          </w:p>
        </w:tc>
        <w:tc>
          <w:tcPr>
            <w:tcW w:w="2188" w:type="dxa"/>
            <w:tcBorders>
              <w:tl2br w:val="nil"/>
              <w:tr2bl w:val="nil"/>
            </w:tcBorders>
            <w:noWrap w:val="0"/>
            <w:vAlign w:val="center"/>
          </w:tcPr>
          <w:p>
            <w:pPr>
              <w:keepNext w:val="0"/>
              <w:keepLines w:val="0"/>
              <w:widowControl/>
              <w:suppressLineNumbers w:val="0"/>
              <w:jc w:val="center"/>
              <w:rPr>
                <w:rFonts w:hint="default"/>
                <w:sz w:val="21"/>
                <w:szCs w:val="21"/>
                <w:lang w:val="en-US"/>
              </w:rPr>
            </w:pPr>
            <w:r>
              <w:rPr>
                <w:rFonts w:hint="eastAsia" w:ascii="Times New Roman" w:hAnsi="Times New Roman" w:cs="Times New Roman"/>
                <w:color w:val="000000"/>
                <w:kern w:val="0"/>
                <w:sz w:val="20"/>
                <w:szCs w:val="20"/>
                <w:lang w:val="en-US" w:eastAsia="zh-CN" w:bidi="ar"/>
              </w:rPr>
              <w:t>2000</w:t>
            </w:r>
          </w:p>
        </w:tc>
        <w:tc>
          <w:tcPr>
            <w:tcW w:w="2188" w:type="dxa"/>
            <w:tcBorders>
              <w:tl2br w:val="nil"/>
              <w:tr2bl w:val="nil"/>
            </w:tcBorders>
            <w:noWrap w:val="0"/>
            <w:vAlign w:val="center"/>
          </w:tcPr>
          <w:p>
            <w:pPr>
              <w:keepNext w:val="0"/>
              <w:keepLines w:val="0"/>
              <w:widowControl/>
              <w:suppressLineNumbers w:val="0"/>
              <w:jc w:val="left"/>
              <w:rPr>
                <w:sz w:val="21"/>
                <w:szCs w:val="21"/>
              </w:rPr>
            </w:pPr>
            <w:r>
              <w:rPr>
                <w:rFonts w:hint="eastAsia" w:ascii="宋体" w:hAnsi="宋体" w:eastAsia="宋体" w:cs="宋体"/>
                <w:color w:val="000000"/>
                <w:kern w:val="0"/>
                <w:sz w:val="20"/>
                <w:szCs w:val="20"/>
                <w:lang w:val="en-US" w:eastAsia="zh-CN" w:bidi="ar"/>
              </w:rPr>
              <w:t>参照执行《大气综合排放标准详解》中标准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320" w:hRule="atLeast"/>
          <w:jc w:val="center"/>
        </w:trPr>
        <w:tc>
          <w:tcPr>
            <w:tcW w:w="8118" w:type="dxa"/>
            <w:gridSpan w:val="4"/>
            <w:tcBorders>
              <w:tl2br w:val="nil"/>
              <w:tr2bl w:val="nil"/>
            </w:tcBorders>
            <w:noWrap w:val="0"/>
            <w:vAlign w:val="center"/>
          </w:tcPr>
          <w:p>
            <w:pPr>
              <w:spacing w:line="240" w:lineRule="auto"/>
              <w:ind w:firstLine="0" w:firstLineChars="0"/>
              <w:jc w:val="left"/>
              <w:rPr>
                <w:sz w:val="21"/>
                <w:szCs w:val="21"/>
              </w:rPr>
            </w:pPr>
            <w:r>
              <w:rPr>
                <w:b/>
                <w:sz w:val="21"/>
                <w:szCs w:val="21"/>
              </w:rPr>
              <w:t>GB3095-2012标准2018年修改单内容：</w:t>
            </w:r>
            <w:r>
              <w:rPr>
                <w:sz w:val="21"/>
                <w:szCs w:val="21"/>
              </w:rPr>
              <w:t>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spacing w:line="360" w:lineRule="auto"/>
        <w:jc w:val="left"/>
        <w:outlineLvl w:val="1"/>
        <w:rPr>
          <w:b/>
          <w:sz w:val="24"/>
          <w:szCs w:val="24"/>
          <w:lang w:val="zh-CN"/>
        </w:rPr>
      </w:pPr>
      <w:bookmarkStart w:id="255" w:name="_Toc19827"/>
      <w:r>
        <w:rPr>
          <w:rFonts w:hint="eastAsia"/>
          <w:b/>
          <w:sz w:val="24"/>
          <w:szCs w:val="24"/>
          <w:lang w:val="en-US" w:eastAsia="zh-CN"/>
        </w:rPr>
        <w:t>6.1.2</w:t>
      </w:r>
      <w:r>
        <w:rPr>
          <w:b/>
          <w:sz w:val="24"/>
          <w:szCs w:val="24"/>
          <w:lang w:val="zh-CN"/>
        </w:rPr>
        <w:t>、地表水环境质量标准</w:t>
      </w:r>
      <w:bookmarkEnd w:id="255"/>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sz w:val="24"/>
        </w:rPr>
      </w:pPr>
      <w:r>
        <w:rPr>
          <w:rFonts w:hint="eastAsia" w:ascii="宋体" w:hAnsi="宋体" w:eastAsia="宋体" w:cs="宋体"/>
          <w:color w:val="000000"/>
          <w:kern w:val="0"/>
          <w:sz w:val="24"/>
          <w:szCs w:val="24"/>
          <w:lang w:val="en-US" w:eastAsia="zh-CN" w:bidi="ar"/>
        </w:rPr>
        <w:t>根据《六安市水功能区划》，地表水</w:t>
      </w:r>
      <w:r>
        <w:rPr>
          <w:rFonts w:hint="eastAsia" w:ascii="宋体" w:hAnsi="宋体" w:cs="宋体"/>
          <w:color w:val="000000"/>
          <w:kern w:val="0"/>
          <w:sz w:val="24"/>
          <w:szCs w:val="24"/>
          <w:lang w:val="en-US" w:eastAsia="zh-CN" w:bidi="ar"/>
        </w:rPr>
        <w:t>为</w:t>
      </w:r>
      <w:r>
        <w:rPr>
          <w:rFonts w:hint="eastAsia" w:ascii="宋体" w:hAnsi="宋体" w:eastAsia="宋体" w:cs="宋体"/>
          <w:color w:val="000000"/>
          <w:kern w:val="0"/>
          <w:sz w:val="24"/>
          <w:szCs w:val="24"/>
          <w:lang w:val="en-US" w:eastAsia="zh-CN" w:bidi="ar"/>
        </w:rPr>
        <w:t>淠河</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项目所在区域段水质执行《地表水环境质量标准》（</w:t>
      </w:r>
      <w:r>
        <w:rPr>
          <w:rFonts w:hint="default" w:ascii="Times New Roman" w:hAnsi="Times New Roman" w:eastAsia="宋体" w:cs="Times New Roman"/>
          <w:color w:val="000000"/>
          <w:kern w:val="0"/>
          <w:sz w:val="24"/>
          <w:szCs w:val="24"/>
          <w:lang w:val="en-US" w:eastAsia="zh-CN" w:bidi="ar"/>
        </w:rPr>
        <w:t>GB3838-2002</w:t>
      </w:r>
      <w:r>
        <w:rPr>
          <w:rFonts w:hint="eastAsia" w:ascii="宋体" w:hAnsi="宋体" w:eastAsia="宋体" w:cs="宋体"/>
          <w:color w:val="000000"/>
          <w:kern w:val="0"/>
          <w:sz w:val="24"/>
          <w:szCs w:val="24"/>
          <w:lang w:val="en-US" w:eastAsia="zh-CN" w:bidi="ar"/>
        </w:rPr>
        <w:t>）中</w:t>
      </w:r>
      <w:r>
        <w:rPr>
          <w:rFonts w:hint="default" w:ascii="Times New Roman" w:hAnsi="Times New Roman" w:eastAsia="宋体" w:cs="Times New Roman"/>
          <w:color w:val="000000"/>
          <w:kern w:val="0"/>
          <w:sz w:val="24"/>
          <w:szCs w:val="24"/>
          <w:lang w:val="en-US" w:eastAsia="zh-CN" w:bidi="ar"/>
        </w:rPr>
        <w:t>Ⅲ</w:t>
      </w:r>
      <w:r>
        <w:rPr>
          <w:rFonts w:hint="eastAsia" w:ascii="宋体" w:hAnsi="宋体" w:eastAsia="宋体" w:cs="宋体"/>
          <w:color w:val="000000"/>
          <w:kern w:val="0"/>
          <w:sz w:val="24"/>
          <w:szCs w:val="24"/>
          <w:lang w:val="en-US" w:eastAsia="zh-CN" w:bidi="ar"/>
        </w:rPr>
        <w:t>类标准，</w:t>
      </w:r>
      <w:r>
        <w:rPr>
          <w:sz w:val="24"/>
        </w:rPr>
        <w:t>详见表</w:t>
      </w:r>
      <w:r>
        <w:rPr>
          <w:rFonts w:hint="eastAsia"/>
          <w:sz w:val="24"/>
        </w:rPr>
        <w:t>6.2</w:t>
      </w:r>
      <w:r>
        <w:rPr>
          <w:sz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241" w:firstLineChars="100"/>
        <w:textAlignment w:val="auto"/>
        <w:rPr>
          <w:b/>
          <w:sz w:val="24"/>
          <w:szCs w:val="24"/>
        </w:rPr>
      </w:pPr>
      <w:r>
        <w:rPr>
          <w:b/>
          <w:sz w:val="24"/>
          <w:szCs w:val="24"/>
        </w:rPr>
        <w:t>表</w:t>
      </w:r>
      <w:r>
        <w:rPr>
          <w:rFonts w:hint="eastAsia"/>
          <w:b/>
          <w:sz w:val="24"/>
          <w:szCs w:val="24"/>
        </w:rPr>
        <w:t>6.2</w:t>
      </w:r>
      <w:r>
        <w:rPr>
          <w:b/>
          <w:sz w:val="24"/>
          <w:szCs w:val="24"/>
        </w:rPr>
        <w:t xml:space="preserve">  </w:t>
      </w:r>
      <w:r>
        <w:rPr>
          <w:b/>
          <w:bCs/>
          <w:sz w:val="24"/>
          <w:szCs w:val="24"/>
        </w:rPr>
        <w:t xml:space="preserve">《地表水环境质量标准》（GB3838-2002） </w:t>
      </w:r>
      <w:r>
        <w:rPr>
          <w:bCs/>
          <w:sz w:val="24"/>
          <w:szCs w:val="24"/>
        </w:rPr>
        <w:t>单位：mg/L，pH无量纲</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5"/>
        <w:gridCol w:w="894"/>
        <w:gridCol w:w="1000"/>
        <w:gridCol w:w="1015"/>
        <w:gridCol w:w="1111"/>
        <w:gridCol w:w="973"/>
        <w:gridCol w:w="1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pPr>
            <w:r>
              <w:rPr>
                <w:bCs/>
                <w:sz w:val="21"/>
                <w:szCs w:val="21"/>
              </w:rPr>
              <w:t>指标名称</w:t>
            </w:r>
          </w:p>
        </w:tc>
        <w:tc>
          <w:tcPr>
            <w:tcW w:w="8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Cs/>
                <w:sz w:val="21"/>
                <w:szCs w:val="21"/>
              </w:rPr>
            </w:pPr>
            <w:r>
              <w:rPr>
                <w:bCs/>
                <w:sz w:val="21"/>
                <w:szCs w:val="21"/>
              </w:rPr>
              <w:t>pH</w:t>
            </w:r>
          </w:p>
        </w:tc>
        <w:tc>
          <w:tcPr>
            <w:tcW w:w="100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Cs/>
                <w:sz w:val="21"/>
                <w:szCs w:val="21"/>
              </w:rPr>
            </w:pPr>
            <w:r>
              <w:rPr>
                <w:bCs/>
                <w:sz w:val="21"/>
                <w:szCs w:val="21"/>
              </w:rPr>
              <w:t>COD</w:t>
            </w:r>
          </w:p>
        </w:tc>
        <w:tc>
          <w:tcPr>
            <w:tcW w:w="101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Cs/>
                <w:sz w:val="21"/>
                <w:szCs w:val="21"/>
              </w:rPr>
            </w:pPr>
            <w:r>
              <w:rPr>
                <w:bCs/>
                <w:sz w:val="21"/>
                <w:szCs w:val="21"/>
              </w:rPr>
              <w:t>BOD</w:t>
            </w:r>
            <w:r>
              <w:rPr>
                <w:bCs/>
                <w:sz w:val="21"/>
                <w:szCs w:val="21"/>
                <w:vertAlign w:val="subscript"/>
              </w:rPr>
              <w:t>5</w:t>
            </w:r>
          </w:p>
        </w:tc>
        <w:tc>
          <w:tcPr>
            <w:tcW w:w="11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Cs/>
                <w:sz w:val="21"/>
                <w:szCs w:val="21"/>
              </w:rPr>
            </w:pPr>
            <w:r>
              <w:rPr>
                <w:bCs/>
                <w:sz w:val="21"/>
                <w:szCs w:val="21"/>
              </w:rPr>
              <w:t>NH</w:t>
            </w:r>
            <w:r>
              <w:rPr>
                <w:bCs/>
                <w:sz w:val="21"/>
                <w:szCs w:val="21"/>
                <w:vertAlign w:val="subscript"/>
              </w:rPr>
              <w:t>3</w:t>
            </w:r>
            <w:r>
              <w:rPr>
                <w:bCs/>
                <w:sz w:val="21"/>
                <w:szCs w:val="21"/>
              </w:rPr>
              <w:t>-H</w:t>
            </w:r>
          </w:p>
        </w:tc>
        <w:tc>
          <w:tcPr>
            <w:tcW w:w="9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Cs/>
                <w:sz w:val="21"/>
                <w:szCs w:val="21"/>
              </w:rPr>
            </w:pPr>
            <w:r>
              <w:rPr>
                <w:bCs/>
                <w:sz w:val="21"/>
                <w:szCs w:val="21"/>
              </w:rPr>
              <w:t>LAS</w:t>
            </w:r>
          </w:p>
        </w:tc>
        <w:tc>
          <w:tcPr>
            <w:tcW w:w="10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Cs/>
                <w:sz w:val="21"/>
                <w:szCs w:val="21"/>
              </w:rPr>
            </w:pPr>
            <w:r>
              <w:rPr>
                <w:bCs/>
                <w:sz w:val="21"/>
                <w:szCs w:val="21"/>
              </w:rPr>
              <w:t>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4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Cs/>
                <w:sz w:val="21"/>
                <w:szCs w:val="21"/>
              </w:rPr>
            </w:pPr>
            <w:r>
              <w:rPr>
                <w:bCs/>
                <w:sz w:val="21"/>
                <w:szCs w:val="21"/>
              </w:rPr>
              <w:t>（GB3838-2002）III类标准限值</w:t>
            </w:r>
          </w:p>
        </w:tc>
        <w:tc>
          <w:tcPr>
            <w:tcW w:w="8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Cs/>
                <w:sz w:val="21"/>
                <w:szCs w:val="21"/>
              </w:rPr>
            </w:pPr>
            <w:r>
              <w:rPr>
                <w:bCs/>
                <w:sz w:val="21"/>
                <w:szCs w:val="21"/>
              </w:rPr>
              <w:t>6～9</w:t>
            </w:r>
          </w:p>
        </w:tc>
        <w:tc>
          <w:tcPr>
            <w:tcW w:w="100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Cs/>
                <w:sz w:val="21"/>
                <w:szCs w:val="21"/>
              </w:rPr>
            </w:pPr>
            <w:r>
              <w:rPr>
                <w:bCs/>
                <w:sz w:val="21"/>
                <w:szCs w:val="21"/>
              </w:rPr>
              <w:t>≤20</w:t>
            </w:r>
          </w:p>
        </w:tc>
        <w:tc>
          <w:tcPr>
            <w:tcW w:w="101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Cs/>
                <w:sz w:val="21"/>
                <w:szCs w:val="21"/>
              </w:rPr>
            </w:pPr>
            <w:r>
              <w:rPr>
                <w:bCs/>
                <w:sz w:val="21"/>
                <w:szCs w:val="21"/>
              </w:rPr>
              <w:t>≤4</w:t>
            </w:r>
          </w:p>
        </w:tc>
        <w:tc>
          <w:tcPr>
            <w:tcW w:w="11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Cs/>
                <w:sz w:val="21"/>
                <w:szCs w:val="21"/>
              </w:rPr>
            </w:pPr>
            <w:r>
              <w:rPr>
                <w:bCs/>
                <w:sz w:val="21"/>
                <w:szCs w:val="21"/>
              </w:rPr>
              <w:t>≤1.0</w:t>
            </w:r>
          </w:p>
        </w:tc>
        <w:tc>
          <w:tcPr>
            <w:tcW w:w="9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Cs/>
                <w:sz w:val="21"/>
                <w:szCs w:val="21"/>
              </w:rPr>
            </w:pPr>
            <w:r>
              <w:rPr>
                <w:bCs/>
                <w:sz w:val="21"/>
                <w:szCs w:val="21"/>
              </w:rPr>
              <w:t>≤0.2</w:t>
            </w:r>
          </w:p>
        </w:tc>
        <w:tc>
          <w:tcPr>
            <w:tcW w:w="10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Cs/>
                <w:sz w:val="21"/>
                <w:szCs w:val="21"/>
              </w:rPr>
            </w:pPr>
            <w:r>
              <w:rPr>
                <w:bCs/>
                <w:sz w:val="21"/>
                <w:szCs w:val="21"/>
              </w:rPr>
              <w:t>≤0.05</w:t>
            </w:r>
          </w:p>
        </w:tc>
      </w:tr>
    </w:tbl>
    <w:p>
      <w:pPr>
        <w:spacing w:line="360" w:lineRule="auto"/>
        <w:jc w:val="left"/>
        <w:outlineLvl w:val="1"/>
        <w:rPr>
          <w:b/>
          <w:sz w:val="24"/>
          <w:szCs w:val="24"/>
          <w:lang w:val="zh-CN"/>
        </w:rPr>
      </w:pPr>
      <w:bookmarkStart w:id="256" w:name="_Toc12587"/>
      <w:r>
        <w:rPr>
          <w:rFonts w:hint="eastAsia"/>
          <w:b/>
          <w:sz w:val="24"/>
          <w:szCs w:val="24"/>
          <w:lang w:val="en-US" w:eastAsia="zh-CN"/>
        </w:rPr>
        <w:t>6.1.</w:t>
      </w:r>
      <w:r>
        <w:rPr>
          <w:b/>
          <w:sz w:val="24"/>
          <w:szCs w:val="24"/>
          <w:lang w:val="zh-CN"/>
        </w:rPr>
        <w:t>3、声环境质量标准</w:t>
      </w:r>
      <w:bookmarkEnd w:id="256"/>
    </w:p>
    <w:p>
      <w:pPr>
        <w:adjustRightInd w:val="0"/>
        <w:snapToGrid w:val="0"/>
        <w:spacing w:line="360" w:lineRule="auto"/>
        <w:ind w:firstLine="480" w:firstLineChars="200"/>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themeColor="text1"/>
          <w:sz w:val="24"/>
          <w14:textFill>
            <w14:solidFill>
              <w14:schemeClr w14:val="tx1"/>
            </w14:solidFill>
          </w14:textFill>
        </w:rPr>
        <w:t>区域声环境</w:t>
      </w:r>
      <w:r>
        <w:rPr>
          <w:rFonts w:hint="default" w:ascii="Times New Roman" w:hAnsi="Times New Roman" w:eastAsia="宋体" w:cs="Times New Roman"/>
          <w:color w:val="000000" w:themeColor="text1"/>
          <w:sz w:val="24"/>
          <w:lang w:eastAsia="zh-CN"/>
          <w14:textFill>
            <w14:solidFill>
              <w14:schemeClr w14:val="tx1"/>
            </w14:solidFill>
          </w14:textFill>
        </w:rPr>
        <w:t>执行《声环境质量标准》（GB3096-2008）中的3类标准</w:t>
      </w:r>
      <w:r>
        <w:rPr>
          <w:rFonts w:hint="default" w:ascii="Times New Roman" w:hAnsi="Times New Roman" w:eastAsia="宋体" w:cs="Times New Roman"/>
          <w:color w:val="000000" w:themeColor="text1"/>
          <w:sz w:val="24"/>
          <w:lang w:val="en-US" w:eastAsia="zh-CN"/>
          <w14:textFill>
            <w14:solidFill>
              <w14:schemeClr w14:val="tx1"/>
            </w14:solidFill>
          </w14:textFill>
        </w:rPr>
        <w:t>，具体限值详见下表。</w:t>
      </w:r>
    </w:p>
    <w:p>
      <w:pPr>
        <w:adjustRightInd w:val="0"/>
        <w:snapToGrid w:val="0"/>
        <w:spacing w:line="360" w:lineRule="auto"/>
        <w:ind w:firstLine="482" w:firstLineChars="200"/>
        <w:jc w:val="center"/>
        <w:rPr>
          <w:b/>
          <w:sz w:val="24"/>
        </w:rPr>
      </w:pPr>
      <w:r>
        <w:rPr>
          <w:b/>
          <w:sz w:val="24"/>
        </w:rPr>
        <w:t>表</w:t>
      </w:r>
      <w:r>
        <w:rPr>
          <w:rFonts w:hint="eastAsia"/>
          <w:b/>
          <w:sz w:val="24"/>
        </w:rPr>
        <w:t>6.3</w:t>
      </w:r>
      <w:r>
        <w:rPr>
          <w:b/>
          <w:sz w:val="24"/>
        </w:rPr>
        <w:t xml:space="preserve">  声环境质量标准  单位：dB</w:t>
      </w:r>
      <w:r>
        <w:rPr>
          <w:rFonts w:hint="eastAsia"/>
          <w:b/>
          <w:sz w:val="24"/>
        </w:rPr>
        <w:t>（</w:t>
      </w:r>
      <w:r>
        <w:rPr>
          <w:b/>
          <w:sz w:val="24"/>
        </w:rPr>
        <w:t>A</w:t>
      </w:r>
      <w:r>
        <w:rPr>
          <w:rFonts w:hint="eastAsia"/>
          <w:b/>
          <w:sz w:val="24"/>
        </w:rPr>
        <w:t>）</w:t>
      </w:r>
    </w:p>
    <w:tbl>
      <w:tblPr>
        <w:tblStyle w:val="3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40"/>
        <w:gridCol w:w="2364"/>
        <w:gridCol w:w="2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078" w:type="pct"/>
            <w:vAlign w:val="center"/>
          </w:tcPr>
          <w:p>
            <w:pPr>
              <w:jc w:val="center"/>
              <w:rPr>
                <w:szCs w:val="21"/>
              </w:rPr>
            </w:pPr>
            <w:r>
              <w:rPr>
                <w:szCs w:val="21"/>
              </w:rPr>
              <w:t>标准类别</w:t>
            </w:r>
          </w:p>
        </w:tc>
        <w:tc>
          <w:tcPr>
            <w:tcW w:w="1388" w:type="pct"/>
            <w:vAlign w:val="center"/>
          </w:tcPr>
          <w:p>
            <w:pPr>
              <w:jc w:val="center"/>
              <w:rPr>
                <w:szCs w:val="21"/>
              </w:rPr>
            </w:pPr>
            <w:r>
              <w:rPr>
                <w:szCs w:val="21"/>
              </w:rPr>
              <w:t>昼间</w:t>
            </w:r>
          </w:p>
        </w:tc>
        <w:tc>
          <w:tcPr>
            <w:tcW w:w="1532" w:type="pct"/>
            <w:vAlign w:val="center"/>
          </w:tcPr>
          <w:p>
            <w:pPr>
              <w:jc w:val="center"/>
              <w:rPr>
                <w:szCs w:val="21"/>
              </w:rPr>
            </w:pPr>
            <w:r>
              <w:rPr>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078" w:type="pct"/>
            <w:vAlign w:val="center"/>
          </w:tcPr>
          <w:p>
            <w:pPr>
              <w:jc w:val="center"/>
              <w:rPr>
                <w:szCs w:val="21"/>
              </w:rPr>
            </w:pPr>
            <w:r>
              <w:rPr>
                <w:rFonts w:hint="eastAsia"/>
                <w:szCs w:val="21"/>
              </w:rPr>
              <w:t>《声环境质量标准》（GB3096-2008）</w:t>
            </w:r>
            <w:r>
              <w:rPr>
                <w:szCs w:val="21"/>
              </w:rPr>
              <w:t>中</w:t>
            </w:r>
            <w:r>
              <w:rPr>
                <w:rFonts w:hint="eastAsia"/>
                <w:szCs w:val="21"/>
                <w:lang w:val="en-US" w:eastAsia="zh-CN"/>
              </w:rPr>
              <w:t>3</w:t>
            </w:r>
            <w:r>
              <w:rPr>
                <w:szCs w:val="21"/>
              </w:rPr>
              <w:t>类标准</w:t>
            </w:r>
          </w:p>
        </w:tc>
        <w:tc>
          <w:tcPr>
            <w:tcW w:w="1388" w:type="pct"/>
            <w:vAlign w:val="center"/>
          </w:tcPr>
          <w:p>
            <w:pPr>
              <w:jc w:val="center"/>
              <w:rPr>
                <w:rFonts w:hint="eastAsia" w:eastAsia="宋体"/>
                <w:szCs w:val="21"/>
                <w:lang w:eastAsia="zh-CN"/>
              </w:rPr>
            </w:pPr>
            <w:r>
              <w:rPr>
                <w:szCs w:val="21"/>
              </w:rPr>
              <w:t>6</w:t>
            </w:r>
            <w:r>
              <w:rPr>
                <w:rFonts w:hint="eastAsia"/>
                <w:szCs w:val="21"/>
                <w:lang w:val="en-US" w:eastAsia="zh-CN"/>
              </w:rPr>
              <w:t>5</w:t>
            </w:r>
          </w:p>
        </w:tc>
        <w:tc>
          <w:tcPr>
            <w:tcW w:w="1532" w:type="pct"/>
            <w:vAlign w:val="center"/>
          </w:tcPr>
          <w:p>
            <w:pPr>
              <w:jc w:val="center"/>
              <w:rPr>
                <w:rFonts w:hint="eastAsia" w:eastAsia="宋体"/>
                <w:szCs w:val="21"/>
                <w:lang w:eastAsia="zh-CN"/>
              </w:rPr>
            </w:pPr>
            <w:r>
              <w:rPr>
                <w:szCs w:val="21"/>
              </w:rPr>
              <w:t>5</w:t>
            </w:r>
            <w:r>
              <w:rPr>
                <w:rFonts w:hint="eastAsia"/>
                <w:szCs w:val="21"/>
                <w:lang w:val="en-US" w:eastAsia="zh-CN"/>
              </w:rPr>
              <w:t>5</w:t>
            </w:r>
          </w:p>
        </w:tc>
      </w:tr>
    </w:tbl>
    <w:p>
      <w:pPr>
        <w:spacing w:line="360" w:lineRule="auto"/>
        <w:jc w:val="left"/>
        <w:outlineLvl w:val="1"/>
        <w:rPr>
          <w:b/>
          <w:sz w:val="28"/>
          <w:szCs w:val="28"/>
        </w:rPr>
      </w:pPr>
      <w:bookmarkStart w:id="257" w:name="_Toc30871"/>
      <w:bookmarkStart w:id="258" w:name="_Toc24019"/>
      <w:bookmarkStart w:id="259" w:name="_Toc4722"/>
      <w:bookmarkStart w:id="260" w:name="_Toc27048"/>
      <w:bookmarkStart w:id="261" w:name="_Toc12119"/>
      <w:r>
        <w:rPr>
          <w:rFonts w:hint="eastAsia"/>
          <w:b/>
          <w:sz w:val="28"/>
          <w:szCs w:val="28"/>
        </w:rPr>
        <w:t>6.2</w:t>
      </w:r>
      <w:r>
        <w:rPr>
          <w:b/>
          <w:sz w:val="28"/>
          <w:szCs w:val="28"/>
        </w:rPr>
        <w:t>污染物排放标准</w:t>
      </w:r>
      <w:bookmarkEnd w:id="257"/>
      <w:bookmarkEnd w:id="258"/>
      <w:bookmarkEnd w:id="259"/>
      <w:bookmarkEnd w:id="260"/>
      <w:bookmarkEnd w:id="261"/>
    </w:p>
    <w:p>
      <w:pPr>
        <w:spacing w:line="360" w:lineRule="auto"/>
        <w:jc w:val="left"/>
        <w:outlineLvl w:val="1"/>
        <w:rPr>
          <w:rFonts w:hint="default"/>
          <w:b/>
          <w:sz w:val="24"/>
          <w:szCs w:val="24"/>
          <w:lang w:val="zh-CN"/>
        </w:rPr>
      </w:pPr>
      <w:bookmarkStart w:id="262" w:name="_Toc24972"/>
      <w:r>
        <w:rPr>
          <w:rFonts w:hint="eastAsia"/>
          <w:b/>
          <w:sz w:val="24"/>
          <w:szCs w:val="24"/>
          <w:lang w:val="en-US" w:eastAsia="zh-CN"/>
        </w:rPr>
        <w:t>6.2.</w:t>
      </w:r>
      <w:r>
        <w:rPr>
          <w:rFonts w:hint="default"/>
          <w:b/>
          <w:sz w:val="24"/>
          <w:szCs w:val="24"/>
          <w:lang w:val="zh-CN"/>
        </w:rPr>
        <w:t>1、废水</w:t>
      </w:r>
      <w:bookmarkEnd w:id="247"/>
      <w:bookmarkEnd w:id="248"/>
      <w:bookmarkEnd w:id="262"/>
    </w:p>
    <w:p>
      <w:pPr>
        <w:spacing w:line="360" w:lineRule="auto"/>
        <w:ind w:firstLine="480" w:firstLineChars="200"/>
        <w:jc w:val="both"/>
        <w:rPr>
          <w:rFonts w:hint="default"/>
          <w:bCs/>
          <w:sz w:val="24"/>
        </w:rPr>
      </w:pPr>
      <w:bookmarkStart w:id="263" w:name="_Toc515360808"/>
      <w:bookmarkStart w:id="264" w:name="_Toc515359834"/>
      <w:bookmarkStart w:id="265" w:name="_Toc515366595"/>
      <w:r>
        <w:rPr>
          <w:rFonts w:hint="default"/>
          <w:bCs/>
          <w:sz w:val="24"/>
        </w:rPr>
        <w:t>生产废水经厂内废水处理系统处理后回用，不外排；</w:t>
      </w:r>
      <w:r>
        <w:rPr>
          <w:rFonts w:hint="default"/>
          <w:bCs/>
          <w:sz w:val="24"/>
          <w:lang w:eastAsia="zh-CN"/>
        </w:rPr>
        <w:t>生活污水</w:t>
      </w:r>
      <w:r>
        <w:rPr>
          <w:rFonts w:hint="eastAsia"/>
          <w:bCs/>
          <w:sz w:val="24"/>
          <w:lang w:eastAsia="zh-CN"/>
        </w:rPr>
        <w:t>排放执行</w:t>
      </w:r>
      <w:r>
        <w:rPr>
          <w:rFonts w:hint="default"/>
          <w:bCs/>
          <w:sz w:val="24"/>
          <w:lang w:eastAsia="zh-CN"/>
        </w:rPr>
        <w:t>平桥污水处理厂</w:t>
      </w:r>
      <w:r>
        <w:rPr>
          <w:rFonts w:hint="default"/>
          <w:bCs/>
          <w:sz w:val="24"/>
          <w:lang w:val="en-US" w:eastAsia="zh-CN"/>
        </w:rPr>
        <w:t>接管标准，动植物油</w:t>
      </w:r>
      <w:r>
        <w:rPr>
          <w:rFonts w:hint="eastAsia"/>
          <w:bCs/>
          <w:sz w:val="24"/>
          <w:lang w:val="en-US" w:eastAsia="zh-CN"/>
        </w:rPr>
        <w:t>执行</w:t>
      </w:r>
      <w:r>
        <w:rPr>
          <w:rFonts w:hint="default"/>
          <w:bCs/>
          <w:sz w:val="24"/>
        </w:rPr>
        <w:t>《污水综合排放标准》（GB8978-1996）表4中三级排放标准；具体标准限值见下表。</w:t>
      </w:r>
    </w:p>
    <w:p>
      <w:pPr>
        <w:pStyle w:val="113"/>
        <w:spacing w:before="2"/>
        <w:jc w:val="right"/>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r>
        <w:rPr>
          <w:rFonts w:hint="eastAsia" w:hAnsi="宋体"/>
          <w:b/>
          <w:sz w:val="24"/>
        </w:rPr>
        <w:t>表6.4 废水排放标准   单位：mg/L</w:t>
      </w:r>
      <w:bookmarkEnd w:id="263"/>
      <w:bookmarkEnd w:id="264"/>
      <w:bookmarkEnd w:id="265"/>
      <w:bookmarkStart w:id="266" w:name="_Toc515360848"/>
      <w:bookmarkStart w:id="267" w:name="_Toc515359874"/>
      <w:r>
        <w:rPr>
          <w:b/>
          <w:sz w:val="24"/>
        </w:rPr>
        <w:t>水污染物排放限值</w:t>
      </w:r>
      <w:r>
        <w:rPr>
          <w:rFonts w:hint="eastAsia" w:eastAsia="宋体"/>
          <w:b/>
          <w:sz w:val="24"/>
          <w:lang w:val="en-US" w:eastAsia="zh-CN"/>
        </w:rPr>
        <w:t xml:space="preserve">       </w:t>
      </w:r>
      <w:r>
        <w:rPr>
          <w:rFonts w:hint="eastAsia" w:eastAsia="宋体"/>
          <w:b w:val="0"/>
          <w:bCs/>
          <w:sz w:val="24"/>
          <w:lang w:val="en-US" w:eastAsia="zh-CN"/>
        </w:rPr>
        <w:t>单位：mg/L</w:t>
      </w:r>
    </w:p>
    <w:tbl>
      <w:tblPr>
        <w:tblStyle w:val="119"/>
        <w:tblW w:w="833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54"/>
        <w:gridCol w:w="1367"/>
        <w:gridCol w:w="2685"/>
        <w:gridCol w:w="352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9" w:hRule="atLeast"/>
          <w:jc w:val="center"/>
        </w:trPr>
        <w:tc>
          <w:tcPr>
            <w:tcW w:w="754"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b/>
                <w:bCs/>
                <w:color w:val="000000" w:themeColor="text1"/>
                <w:spacing w:val="5"/>
                <w:sz w:val="21"/>
                <w:szCs w:val="21"/>
                <w14:textFill>
                  <w14:solidFill>
                    <w14:schemeClr w14:val="tx1"/>
                  </w14:solidFill>
                </w14:textFill>
              </w:rPr>
            </w:pPr>
            <w:bookmarkStart w:id="268" w:name="_Toc2739"/>
            <w:r>
              <w:rPr>
                <w:rFonts w:hint="default" w:ascii="Times New Roman" w:hAnsi="Times New Roman" w:eastAsia="宋体" w:cs="Times New Roman"/>
                <w:b/>
                <w:bCs/>
                <w:color w:val="000000" w:themeColor="text1"/>
                <w:spacing w:val="5"/>
                <w:sz w:val="21"/>
                <w:szCs w:val="21"/>
                <w14:textFill>
                  <w14:solidFill>
                    <w14:schemeClr w14:val="tx1"/>
                  </w14:solidFill>
                </w14:textFill>
              </w:rPr>
              <w:t>序号</w:t>
            </w:r>
          </w:p>
        </w:tc>
        <w:tc>
          <w:tcPr>
            <w:tcW w:w="1367"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b/>
                <w:bCs/>
                <w:color w:val="000000" w:themeColor="text1"/>
                <w:spacing w:val="5"/>
                <w:sz w:val="21"/>
                <w:szCs w:val="21"/>
                <w14:textFill>
                  <w14:solidFill>
                    <w14:schemeClr w14:val="tx1"/>
                  </w14:solidFill>
                </w14:textFill>
              </w:rPr>
            </w:pPr>
            <w:r>
              <w:rPr>
                <w:rFonts w:hint="default" w:ascii="Times New Roman" w:hAnsi="Times New Roman" w:eastAsia="宋体" w:cs="Times New Roman"/>
                <w:b/>
                <w:bCs/>
                <w:color w:val="000000" w:themeColor="text1"/>
                <w:spacing w:val="5"/>
                <w:sz w:val="21"/>
                <w:szCs w:val="21"/>
                <w14:textFill>
                  <w14:solidFill>
                    <w14:schemeClr w14:val="tx1"/>
                  </w14:solidFill>
                </w14:textFill>
              </w:rPr>
              <w:t>控制项目</w:t>
            </w:r>
          </w:p>
        </w:tc>
        <w:tc>
          <w:tcPr>
            <w:tcW w:w="2685"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b/>
                <w:bCs/>
                <w:color w:val="000000" w:themeColor="text1"/>
                <w:spacing w:val="5"/>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lang w:eastAsia="zh-CN"/>
                <w14:textFill>
                  <w14:solidFill>
                    <w14:schemeClr w14:val="tx1"/>
                  </w14:solidFill>
                </w14:textFill>
              </w:rPr>
              <w:t>平桥污水处理厂</w:t>
            </w:r>
            <w:r>
              <w:rPr>
                <w:rFonts w:hint="default" w:ascii="Times New Roman" w:hAnsi="Times New Roman" w:eastAsia="宋体" w:cs="Times New Roman"/>
                <w:b/>
                <w:bCs/>
                <w:color w:val="000000" w:themeColor="text1"/>
                <w:kern w:val="0"/>
                <w:sz w:val="21"/>
                <w:szCs w:val="21"/>
                <w:lang w:val="en-US" w:eastAsia="zh-CN"/>
                <w14:textFill>
                  <w14:solidFill>
                    <w14:schemeClr w14:val="tx1"/>
                  </w14:solidFill>
                </w14:textFill>
              </w:rPr>
              <w:t>接管标准</w:t>
            </w:r>
          </w:p>
        </w:tc>
        <w:tc>
          <w:tcPr>
            <w:tcW w:w="3526"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b/>
                <w:bCs/>
                <w:color w:val="000000" w:themeColor="text1"/>
                <w:spacing w:val="5"/>
                <w:sz w:val="21"/>
                <w:szCs w:val="21"/>
                <w14:textFill>
                  <w14:solidFill>
                    <w14:schemeClr w14:val="tx1"/>
                  </w14:solidFill>
                </w14:textFill>
              </w:rPr>
            </w:pPr>
            <w:r>
              <w:rPr>
                <w:rFonts w:hint="default" w:ascii="Times New Roman" w:hAnsi="Times New Roman" w:eastAsia="宋体" w:cs="Times New Roman"/>
                <w:b/>
                <w:bCs/>
                <w:color w:val="000000" w:themeColor="text1"/>
                <w:spacing w:val="5"/>
                <w:sz w:val="21"/>
                <w:szCs w:val="21"/>
                <w14:textFill>
                  <w14:solidFill>
                    <w14:schemeClr w14:val="tx1"/>
                  </w14:solidFill>
                </w14:textFill>
              </w:rPr>
              <w:t>《污水综合排放标准》（GB8978-1996）表4中三级标准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54"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b w:val="0"/>
                <w:bCs w:val="0"/>
                <w:color w:val="000000" w:themeColor="text1"/>
                <w:spacing w:val="5"/>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pacing w:val="5"/>
                <w:sz w:val="21"/>
                <w:szCs w:val="21"/>
                <w14:textFill>
                  <w14:solidFill>
                    <w14:schemeClr w14:val="tx1"/>
                  </w14:solidFill>
                </w14:textFill>
              </w:rPr>
              <w:t>1</w:t>
            </w:r>
          </w:p>
        </w:tc>
        <w:tc>
          <w:tcPr>
            <w:tcW w:w="1367"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b w:val="0"/>
                <w:bCs w:val="0"/>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pacing w:val="5"/>
                <w:sz w:val="21"/>
                <w:szCs w:val="21"/>
                <w:lang w:val="en-US" w:eastAsia="zh-CN"/>
                <w14:textFill>
                  <w14:solidFill>
                    <w14:schemeClr w14:val="tx1"/>
                  </w14:solidFill>
                </w14:textFill>
              </w:rPr>
              <w:t>pH</w:t>
            </w:r>
          </w:p>
        </w:tc>
        <w:tc>
          <w:tcPr>
            <w:tcW w:w="2685"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b w:val="0"/>
                <w:bCs w:val="0"/>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pacing w:val="5"/>
                <w:sz w:val="21"/>
                <w:szCs w:val="21"/>
                <w:lang w:val="en-US" w:eastAsia="zh-CN"/>
                <w14:textFill>
                  <w14:solidFill>
                    <w14:schemeClr w14:val="tx1"/>
                  </w14:solidFill>
                </w14:textFill>
              </w:rPr>
              <w:t>6~9</w:t>
            </w:r>
          </w:p>
        </w:tc>
        <w:tc>
          <w:tcPr>
            <w:tcW w:w="3526"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b w:val="0"/>
                <w:bCs w:val="0"/>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pacing w:val="5"/>
                <w:sz w:val="21"/>
                <w:szCs w:val="21"/>
                <w:lang w:val="en-US" w:eastAsia="zh-CN"/>
                <w14:textFill>
                  <w14:solidFill>
                    <w14:schemeClr w14:val="tx1"/>
                  </w14:solidFill>
                </w14:textFill>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54"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2</w:t>
            </w:r>
          </w:p>
        </w:tc>
        <w:tc>
          <w:tcPr>
            <w:tcW w:w="1367"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sz w:val="21"/>
                <w:szCs w:val="21"/>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COD</w:t>
            </w:r>
          </w:p>
        </w:tc>
        <w:tc>
          <w:tcPr>
            <w:tcW w:w="2685"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300</w:t>
            </w:r>
          </w:p>
        </w:tc>
        <w:tc>
          <w:tcPr>
            <w:tcW w:w="3526"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54"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3</w:t>
            </w:r>
          </w:p>
        </w:tc>
        <w:tc>
          <w:tcPr>
            <w:tcW w:w="1367"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sz w:val="21"/>
                <w:szCs w:val="21"/>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BOD</w:t>
            </w:r>
            <w:r>
              <w:rPr>
                <w:rFonts w:hint="default" w:ascii="Times New Roman" w:hAnsi="Times New Roman" w:eastAsia="宋体" w:cs="Times New Roman"/>
                <w:color w:val="000000" w:themeColor="text1"/>
                <w:spacing w:val="5"/>
                <w:sz w:val="21"/>
                <w:szCs w:val="21"/>
                <w:vertAlign w:val="subscript"/>
                <w14:textFill>
                  <w14:solidFill>
                    <w14:schemeClr w14:val="tx1"/>
                  </w14:solidFill>
                </w14:textFill>
              </w:rPr>
              <w:t>5</w:t>
            </w:r>
          </w:p>
        </w:tc>
        <w:tc>
          <w:tcPr>
            <w:tcW w:w="2685"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170</w:t>
            </w:r>
          </w:p>
        </w:tc>
        <w:tc>
          <w:tcPr>
            <w:tcW w:w="3526"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54"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4</w:t>
            </w:r>
          </w:p>
        </w:tc>
        <w:tc>
          <w:tcPr>
            <w:tcW w:w="1367"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sz w:val="21"/>
                <w:szCs w:val="21"/>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氨氮</w:t>
            </w:r>
          </w:p>
        </w:tc>
        <w:tc>
          <w:tcPr>
            <w:tcW w:w="2685"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30</w:t>
            </w:r>
          </w:p>
        </w:tc>
        <w:tc>
          <w:tcPr>
            <w:tcW w:w="3526"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54"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5</w:t>
            </w:r>
          </w:p>
        </w:tc>
        <w:tc>
          <w:tcPr>
            <w:tcW w:w="1367"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sz w:val="21"/>
                <w:szCs w:val="21"/>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SS</w:t>
            </w:r>
          </w:p>
        </w:tc>
        <w:tc>
          <w:tcPr>
            <w:tcW w:w="2685"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200</w:t>
            </w:r>
          </w:p>
        </w:tc>
        <w:tc>
          <w:tcPr>
            <w:tcW w:w="3526"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54"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6</w:t>
            </w:r>
          </w:p>
        </w:tc>
        <w:tc>
          <w:tcPr>
            <w:tcW w:w="1367"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动植物油</w:t>
            </w:r>
          </w:p>
        </w:tc>
        <w:tc>
          <w:tcPr>
            <w:tcW w:w="2685"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w:t>
            </w:r>
          </w:p>
        </w:tc>
        <w:tc>
          <w:tcPr>
            <w:tcW w:w="3526" w:type="dxa"/>
            <w:tcBorders>
              <w:top w:val="single" w:color="000000" w:sz="6" w:space="0"/>
              <w:left w:val="single" w:color="000000" w:sz="6" w:space="0"/>
              <w:bottom w:val="single" w:color="000000" w:sz="6" w:space="0"/>
              <w:right w:val="single" w:color="000000" w:sz="6" w:space="0"/>
            </w:tcBorders>
            <w:vAlign w:val="center"/>
          </w:tcPr>
          <w:p>
            <w:pPr>
              <w:jc w:val="cente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100</w:t>
            </w:r>
          </w:p>
        </w:tc>
      </w:tr>
    </w:tbl>
    <w:p>
      <w:pPr>
        <w:spacing w:line="360" w:lineRule="auto"/>
        <w:jc w:val="left"/>
        <w:outlineLvl w:val="1"/>
        <w:rPr>
          <w:rFonts w:hint="eastAsia"/>
          <w:b/>
          <w:sz w:val="24"/>
          <w:szCs w:val="24"/>
          <w:lang w:val="en-US" w:eastAsia="zh-CN"/>
        </w:rPr>
      </w:pPr>
      <w:r>
        <w:rPr>
          <w:rFonts w:hint="eastAsia"/>
          <w:b/>
          <w:sz w:val="24"/>
          <w:szCs w:val="24"/>
          <w:lang w:val="en-US" w:eastAsia="zh-CN"/>
        </w:rPr>
        <w:t>6.2.2、废气</w:t>
      </w:r>
      <w:bookmarkEnd w:id="268"/>
    </w:p>
    <w:bookmarkEnd w:id="266"/>
    <w:bookmarkEnd w:id="267"/>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kern w:val="0"/>
          <w:sz w:val="24"/>
          <w:szCs w:val="24"/>
          <w:lang w:val="en-US" w:eastAsia="zh-CN" w:bidi="ar"/>
        </w:rPr>
      </w:pPr>
      <w:bookmarkStart w:id="269" w:name="_Toc515360860"/>
      <w:bookmarkStart w:id="270" w:name="_Toc515359886"/>
      <w:r>
        <w:rPr>
          <w:rFonts w:hint="default" w:ascii="Times New Roman" w:hAnsi="Times New Roman" w:eastAsia="宋体" w:cs="Times New Roman"/>
          <w:color w:val="000000" w:themeColor="text1"/>
          <w:sz w:val="24"/>
          <w:lang w:val="en-US" w:eastAsia="zh-CN"/>
          <w14:textFill>
            <w14:solidFill>
              <w14:schemeClr w14:val="tx1"/>
            </w14:solidFill>
          </w14:textFill>
        </w:rPr>
        <w:t>营运期废气污染物包括颗粒物、氯化氢、氨、</w:t>
      </w:r>
      <w:r>
        <w:rPr>
          <w:rFonts w:hint="default" w:ascii="Times New Roman" w:hAnsi="Times New Roman" w:eastAsia="宋体" w:cs="Times New Roman"/>
          <w:color w:val="000000" w:themeColor="text1"/>
          <w:sz w:val="24"/>
          <w14:textFill>
            <w14:solidFill>
              <w14:schemeClr w14:val="tx1"/>
            </w14:solidFill>
          </w14:textFill>
        </w:rPr>
        <w:t>SO</w:t>
      </w:r>
      <w:r>
        <w:rPr>
          <w:rFonts w:hint="default" w:ascii="Times New Roman" w:hAnsi="Times New Roman" w:eastAsia="宋体" w:cs="Times New Roman"/>
          <w:color w:val="000000" w:themeColor="text1"/>
          <w:sz w:val="24"/>
          <w:vertAlign w:val="subscript"/>
          <w14:textFill>
            <w14:solidFill>
              <w14:schemeClr w14:val="tx1"/>
            </w14:solidFill>
          </w14:textFill>
        </w:rPr>
        <w:t>2</w:t>
      </w:r>
      <w:r>
        <w:rPr>
          <w:rFonts w:hint="default" w:ascii="Times New Roman" w:hAnsi="Times New Roman" w:eastAsia="宋体" w:cs="Times New Roman"/>
          <w:color w:val="000000" w:themeColor="text1"/>
          <w:sz w:val="24"/>
          <w14:textFill>
            <w14:solidFill>
              <w14:schemeClr w14:val="tx1"/>
            </w14:solidFill>
          </w14:textFill>
        </w:rPr>
        <w:t>、NOx</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其中氯化氢执行《电镀污染物排放标准》（GB 21900-2008）表5中新建企业大气污染物排放浓度限值，</w:t>
      </w:r>
      <w:r>
        <w:rPr>
          <w:rFonts w:hint="default" w:ascii="Times New Roman" w:hAnsi="Times New Roman" w:eastAsia="宋体" w:cs="Times New Roman"/>
          <w:color w:val="000000" w:themeColor="text1"/>
          <w:sz w:val="24"/>
          <w14:textFill>
            <w14:solidFill>
              <w14:schemeClr w14:val="tx1"/>
            </w14:solidFill>
          </w14:textFill>
        </w:rPr>
        <w:t>氨执行《恶臭污染物排放标准》（GB14554-93）中表2恶臭污染物排放标准值</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颗粒物</w:t>
      </w:r>
      <w:r>
        <w:rPr>
          <w:rFonts w:hint="default" w:ascii="Times New Roman" w:hAnsi="Times New Roman" w:eastAsia="宋体" w:cs="Times New Roman"/>
          <w:color w:val="000000" w:themeColor="text1"/>
          <w:sz w:val="24"/>
          <w14:textFill>
            <w14:solidFill>
              <w14:schemeClr w14:val="tx1"/>
            </w14:solidFill>
          </w14:textFill>
        </w:rPr>
        <w:t>执行《大气污染物综合排放标准》（GB16297-1996）表2中二级标准及无组织排放监控浓度限值；天然气燃烧废气中的颗粒物、二氧化硫</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SO</w:t>
      </w:r>
      <w:r>
        <w:rPr>
          <w:rFonts w:hint="default" w:ascii="Times New Roman" w:hAnsi="Times New Roman" w:eastAsia="宋体" w:cs="Times New Roman"/>
          <w:color w:val="000000" w:themeColor="text1"/>
          <w:sz w:val="24"/>
          <w:vertAlign w:val="subscript"/>
          <w14:textFill>
            <w14:solidFill>
              <w14:schemeClr w14:val="tx1"/>
            </w14:solidFill>
          </w14:textFill>
        </w:rPr>
        <w:t>2</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、氮氧化物</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NO</w:t>
      </w:r>
      <w:r>
        <w:rPr>
          <w:rFonts w:hint="default" w:ascii="Times New Roman" w:hAnsi="Times New Roman" w:eastAsia="宋体" w:cs="Times New Roman"/>
          <w:color w:val="000000" w:themeColor="text1"/>
          <w:sz w:val="24"/>
          <w:vertAlign w:val="subscript"/>
          <w14:textFill>
            <w14:solidFill>
              <w14:schemeClr w14:val="tx1"/>
            </w14:solidFill>
          </w14:textFill>
        </w:rPr>
        <w:t>x</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执行《关于印发&lt;工业炉窑大气污染综合治理方案&gt;的通知》</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环大气</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2019</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56号</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中限值要求</w:t>
      </w:r>
      <w:r>
        <w:rPr>
          <w:rFonts w:hint="eastAsia" w:cs="Times New Roman"/>
          <w:color w:val="000000" w:themeColor="text1"/>
          <w:sz w:val="24"/>
          <w:lang w:eastAsia="zh-CN"/>
          <w14:textFill>
            <w14:solidFill>
              <w14:schemeClr w14:val="tx1"/>
            </w14:solidFill>
          </w14:textFill>
        </w:rPr>
        <w:t>。</w:t>
      </w:r>
    </w:p>
    <w:p>
      <w:pPr>
        <w:spacing w:line="360" w:lineRule="auto"/>
        <w:jc w:val="center"/>
        <w:rPr>
          <w:rFonts w:hint="default" w:ascii="Times New Roman" w:hAnsi="Times New Roman" w:eastAsia="宋体" w:cs="Times New Roman"/>
          <w:b/>
          <w:bCs/>
          <w:color w:val="000000" w:themeColor="text1"/>
          <w:sz w:val="24"/>
          <w:lang w:val="en-US" w:eastAsia="zh-CN"/>
          <w14:textFill>
            <w14:solidFill>
              <w14:schemeClr w14:val="tx1"/>
            </w14:solidFill>
          </w14:textFill>
        </w:rPr>
      </w:pPr>
      <w:r>
        <w:rPr>
          <w:b/>
          <w:sz w:val="24"/>
        </w:rPr>
        <w:t>表</w:t>
      </w:r>
      <w:r>
        <w:rPr>
          <w:rFonts w:hint="eastAsia"/>
          <w:b/>
          <w:sz w:val="24"/>
        </w:rPr>
        <w:t>6.5</w:t>
      </w:r>
      <w:r>
        <w:rPr>
          <w:rFonts w:hint="eastAsia"/>
          <w:b/>
          <w:sz w:val="24"/>
          <w:lang w:val="en-US" w:eastAsia="zh-CN"/>
        </w:rPr>
        <w:t xml:space="preserve"> </w:t>
      </w:r>
      <w:bookmarkStart w:id="271" w:name="_Toc15899"/>
      <w:r>
        <w:rPr>
          <w:rFonts w:hint="default" w:ascii="Times New Roman" w:hAnsi="Times New Roman" w:eastAsia="宋体" w:cs="Times New Roman"/>
          <w:b/>
          <w:bCs/>
          <w:color w:val="000000" w:themeColor="text1"/>
          <w:sz w:val="24"/>
          <w:lang w:val="en-US" w:eastAsia="zh-CN"/>
          <w14:textFill>
            <w14:solidFill>
              <w14:schemeClr w14:val="tx1"/>
            </w14:solidFill>
          </w14:textFill>
        </w:rPr>
        <w:t>废气污染物排放标准汇总</w:t>
      </w:r>
    </w:p>
    <w:p>
      <w:pPr>
        <w:spacing w:line="30" w:lineRule="exact"/>
        <w:rPr>
          <w:rFonts w:hint="default" w:ascii="Times New Roman" w:hAnsi="Times New Roman" w:eastAsia="宋体" w:cs="Times New Roman"/>
          <w:color w:val="000000" w:themeColor="text1"/>
          <w14:textFill>
            <w14:solidFill>
              <w14:schemeClr w14:val="tx1"/>
            </w14:solidFill>
          </w14:textFill>
        </w:rPr>
      </w:pPr>
    </w:p>
    <w:tbl>
      <w:tblPr>
        <w:tblStyle w:val="119"/>
        <w:tblW w:w="5052"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0" w:type="dxa"/>
          <w:bottom w:w="0" w:type="dxa"/>
          <w:right w:w="0" w:type="dxa"/>
        </w:tblCellMar>
      </w:tblPr>
      <w:tblGrid>
        <w:gridCol w:w="2183"/>
        <w:gridCol w:w="839"/>
        <w:gridCol w:w="1179"/>
        <w:gridCol w:w="1336"/>
        <w:gridCol w:w="762"/>
        <w:gridCol w:w="1033"/>
        <w:gridCol w:w="1075"/>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298"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themeColor="text1"/>
                <w:spacing w:val="5"/>
                <w:sz w:val="21"/>
                <w:szCs w:val="21"/>
                <w14:textFill>
                  <w14:solidFill>
                    <w14:schemeClr w14:val="tx1"/>
                  </w14:solidFill>
                </w14:textFill>
              </w:rPr>
            </w:pPr>
            <w:r>
              <w:rPr>
                <w:rFonts w:hint="default" w:ascii="Times New Roman" w:hAnsi="Times New Roman" w:eastAsia="宋体" w:cs="Times New Roman"/>
                <w:b/>
                <w:bCs/>
                <w:color w:val="000000" w:themeColor="text1"/>
                <w:spacing w:val="5"/>
                <w:sz w:val="21"/>
                <w:szCs w:val="21"/>
                <w14:textFill>
                  <w14:solidFill>
                    <w14:schemeClr w14:val="tx1"/>
                  </w14:solidFill>
                </w14:textFill>
              </w:rPr>
              <w:t>标准名称</w:t>
            </w:r>
          </w:p>
        </w:tc>
        <w:tc>
          <w:tcPr>
            <w:tcW w:w="499"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themeColor="text1"/>
                <w:spacing w:val="5"/>
                <w:sz w:val="21"/>
                <w:szCs w:val="21"/>
                <w14:textFill>
                  <w14:solidFill>
                    <w14:schemeClr w14:val="tx1"/>
                  </w14:solidFill>
                </w14:textFill>
              </w:rPr>
            </w:pPr>
            <w:r>
              <w:rPr>
                <w:rFonts w:hint="default" w:ascii="Times New Roman" w:hAnsi="Times New Roman" w:eastAsia="宋体" w:cs="Times New Roman"/>
                <w:b/>
                <w:bCs/>
                <w:color w:val="000000" w:themeColor="text1"/>
                <w:spacing w:val="5"/>
                <w:sz w:val="21"/>
                <w:szCs w:val="21"/>
                <w14:textFill>
                  <w14:solidFill>
                    <w14:schemeClr w14:val="tx1"/>
                  </w14:solidFill>
                </w14:textFill>
              </w:rPr>
              <w:t>污染物</w:t>
            </w:r>
          </w:p>
        </w:tc>
        <w:tc>
          <w:tcPr>
            <w:tcW w:w="701"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themeColor="text1"/>
                <w:spacing w:val="5"/>
                <w:sz w:val="21"/>
                <w:szCs w:val="21"/>
                <w14:textFill>
                  <w14:solidFill>
                    <w14:schemeClr w14:val="tx1"/>
                  </w14:solidFill>
                </w14:textFill>
              </w:rPr>
            </w:pPr>
            <w:r>
              <w:rPr>
                <w:rFonts w:hint="default" w:ascii="Times New Roman" w:hAnsi="Times New Roman" w:eastAsia="宋体" w:cs="Times New Roman"/>
                <w:b/>
                <w:bCs/>
                <w:color w:val="000000" w:themeColor="text1"/>
                <w:spacing w:val="5"/>
                <w:sz w:val="21"/>
                <w:szCs w:val="21"/>
                <w14:textFill>
                  <w14:solidFill>
                    <w14:schemeClr w14:val="tx1"/>
                  </w14:solidFill>
                </w14:textFill>
              </w:rPr>
              <w:t>最高允许排放浓度    （mg/m</w:t>
            </w:r>
            <w:r>
              <w:rPr>
                <w:rFonts w:hint="default" w:ascii="Times New Roman" w:hAnsi="Times New Roman" w:eastAsia="宋体" w:cs="Times New Roman"/>
                <w:b/>
                <w:bCs/>
                <w:color w:val="000000" w:themeColor="text1"/>
                <w:spacing w:val="5"/>
                <w:sz w:val="21"/>
                <w:szCs w:val="21"/>
                <w:vertAlign w:val="superscript"/>
                <w14:textFill>
                  <w14:solidFill>
                    <w14:schemeClr w14:val="tx1"/>
                  </w14:solidFill>
                </w14:textFill>
              </w:rPr>
              <w:t>3</w:t>
            </w:r>
            <w:r>
              <w:rPr>
                <w:rFonts w:hint="default" w:ascii="Times New Roman" w:hAnsi="Times New Roman" w:eastAsia="宋体" w:cs="Times New Roman"/>
                <w:b/>
                <w:bCs/>
                <w:color w:val="000000" w:themeColor="text1"/>
                <w:spacing w:val="5"/>
                <w:sz w:val="21"/>
                <w:szCs w:val="21"/>
                <w14:textFill>
                  <w14:solidFill>
                    <w14:schemeClr w14:val="tx1"/>
                  </w14:solidFill>
                </w14:textFill>
              </w:rPr>
              <w:t xml:space="preserve"> ）</w:t>
            </w:r>
          </w:p>
        </w:tc>
        <w:tc>
          <w:tcPr>
            <w:tcW w:w="1247"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themeColor="text1"/>
                <w:spacing w:val="5"/>
                <w:sz w:val="21"/>
                <w:szCs w:val="21"/>
                <w14:textFill>
                  <w14:solidFill>
                    <w14:schemeClr w14:val="tx1"/>
                  </w14:solidFill>
                </w14:textFill>
              </w:rPr>
            </w:pPr>
            <w:r>
              <w:rPr>
                <w:rFonts w:hint="default" w:ascii="Times New Roman" w:hAnsi="Times New Roman" w:eastAsia="宋体" w:cs="Times New Roman"/>
                <w:b/>
                <w:bCs/>
                <w:color w:val="000000" w:themeColor="text1"/>
                <w:spacing w:val="5"/>
                <w:sz w:val="21"/>
                <w:szCs w:val="21"/>
                <w14:textFill>
                  <w14:solidFill>
                    <w14:schemeClr w14:val="tx1"/>
                  </w14:solidFill>
                </w14:textFill>
              </w:rPr>
              <w:t>最高允许排放速率 （kg/h）</w:t>
            </w:r>
          </w:p>
        </w:tc>
        <w:tc>
          <w:tcPr>
            <w:tcW w:w="1253"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themeColor="text1"/>
                <w:spacing w:val="5"/>
                <w:sz w:val="21"/>
                <w:szCs w:val="21"/>
                <w14:textFill>
                  <w14:solidFill>
                    <w14:schemeClr w14:val="tx1"/>
                  </w14:solidFill>
                </w14:textFill>
              </w:rPr>
            </w:pPr>
            <w:r>
              <w:rPr>
                <w:rFonts w:hint="default" w:ascii="Times New Roman" w:hAnsi="Times New Roman" w:eastAsia="宋体" w:cs="Times New Roman"/>
                <w:b/>
                <w:bCs/>
                <w:color w:val="000000" w:themeColor="text1"/>
                <w:spacing w:val="5"/>
                <w:sz w:val="21"/>
                <w:szCs w:val="21"/>
                <w14:textFill>
                  <w14:solidFill>
                    <w14:schemeClr w14:val="tx1"/>
                  </w14:solidFill>
                </w14:textFill>
              </w:rPr>
              <w:t>无组织排放监控浓度限值</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298"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themeColor="text1"/>
                <w:spacing w:val="5"/>
                <w:sz w:val="21"/>
                <w:szCs w:val="21"/>
                <w14:textFill>
                  <w14:solidFill>
                    <w14:schemeClr w14:val="tx1"/>
                  </w14:solidFill>
                </w14:textFill>
              </w:rPr>
            </w:pPr>
          </w:p>
        </w:tc>
        <w:tc>
          <w:tcPr>
            <w:tcW w:w="499"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themeColor="text1"/>
                <w:spacing w:val="5"/>
                <w:sz w:val="21"/>
                <w:szCs w:val="21"/>
                <w14:textFill>
                  <w14:solidFill>
                    <w14:schemeClr w14:val="tx1"/>
                  </w14:solidFill>
                </w14:textFill>
              </w:rPr>
            </w:pPr>
          </w:p>
        </w:tc>
        <w:tc>
          <w:tcPr>
            <w:tcW w:w="701"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000000" w:themeColor="text1"/>
                <w:spacing w:val="5"/>
                <w:sz w:val="21"/>
                <w:szCs w:val="21"/>
                <w14:textFill>
                  <w14:solidFill>
                    <w14:schemeClr w14:val="tx1"/>
                  </w14:solidFill>
                </w14:textFill>
              </w:rPr>
            </w:pPr>
          </w:p>
        </w:tc>
        <w:tc>
          <w:tcPr>
            <w:tcW w:w="79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themeColor="text1"/>
                <w:spacing w:val="5"/>
                <w:sz w:val="21"/>
                <w:szCs w:val="21"/>
                <w14:textFill>
                  <w14:solidFill>
                    <w14:schemeClr w14:val="tx1"/>
                  </w14:solidFill>
                </w14:textFill>
              </w:rPr>
            </w:pPr>
            <w:r>
              <w:rPr>
                <w:rFonts w:hint="default" w:ascii="Times New Roman" w:hAnsi="Times New Roman" w:eastAsia="宋体" w:cs="Times New Roman"/>
                <w:b/>
                <w:bCs/>
                <w:color w:val="000000" w:themeColor="text1"/>
                <w:spacing w:val="5"/>
                <w:sz w:val="21"/>
                <w:szCs w:val="21"/>
                <w14:textFill>
                  <w14:solidFill>
                    <w14:schemeClr w14:val="tx1"/>
                  </w14:solidFill>
                </w14:textFill>
              </w:rPr>
              <w:t>排气筒（m）</w:t>
            </w:r>
          </w:p>
        </w:tc>
        <w:tc>
          <w:tcPr>
            <w:tcW w:w="45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themeColor="text1"/>
                <w:spacing w:val="5"/>
                <w:sz w:val="21"/>
                <w:szCs w:val="21"/>
                <w14:textFill>
                  <w14:solidFill>
                    <w14:schemeClr w14:val="tx1"/>
                  </w14:solidFill>
                </w14:textFill>
              </w:rPr>
            </w:pPr>
            <w:r>
              <w:rPr>
                <w:rFonts w:hint="default" w:ascii="Times New Roman" w:hAnsi="Times New Roman" w:eastAsia="宋体" w:cs="Times New Roman"/>
                <w:b/>
                <w:bCs/>
                <w:color w:val="000000" w:themeColor="text1"/>
                <w:spacing w:val="5"/>
                <w:sz w:val="21"/>
                <w:szCs w:val="21"/>
                <w14:textFill>
                  <w14:solidFill>
                    <w14:schemeClr w14:val="tx1"/>
                  </w14:solidFill>
                </w14:textFill>
              </w:rPr>
              <w:t>二级</w:t>
            </w:r>
          </w:p>
        </w:tc>
        <w:tc>
          <w:tcPr>
            <w:tcW w:w="61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themeColor="text1"/>
                <w:spacing w:val="5"/>
                <w:sz w:val="21"/>
                <w:szCs w:val="21"/>
                <w14:textFill>
                  <w14:solidFill>
                    <w14:schemeClr w14:val="tx1"/>
                  </w14:solidFill>
                </w14:textFill>
              </w:rPr>
            </w:pPr>
            <w:r>
              <w:rPr>
                <w:rFonts w:hint="default" w:ascii="Times New Roman" w:hAnsi="Times New Roman" w:eastAsia="宋体" w:cs="Times New Roman"/>
                <w:b/>
                <w:bCs/>
                <w:color w:val="000000" w:themeColor="text1"/>
                <w:spacing w:val="5"/>
                <w:sz w:val="21"/>
                <w:szCs w:val="21"/>
                <w14:textFill>
                  <w14:solidFill>
                    <w14:schemeClr w14:val="tx1"/>
                  </w14:solidFill>
                </w14:textFill>
              </w:rPr>
              <w:t>监控点</w:t>
            </w:r>
          </w:p>
        </w:tc>
        <w:tc>
          <w:tcPr>
            <w:tcW w:w="63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themeColor="text1"/>
                <w:spacing w:val="5"/>
                <w:sz w:val="21"/>
                <w:szCs w:val="21"/>
                <w14:textFill>
                  <w14:solidFill>
                    <w14:schemeClr w14:val="tx1"/>
                  </w14:solidFill>
                </w14:textFill>
              </w:rPr>
            </w:pPr>
            <w:r>
              <w:rPr>
                <w:rFonts w:hint="default" w:ascii="Times New Roman" w:hAnsi="Times New Roman" w:eastAsia="宋体" w:cs="Times New Roman"/>
                <w:b/>
                <w:bCs/>
                <w:color w:val="000000" w:themeColor="text1"/>
                <w:spacing w:val="5"/>
                <w:sz w:val="21"/>
                <w:szCs w:val="21"/>
                <w14:textFill>
                  <w14:solidFill>
                    <w14:schemeClr w14:val="tx1"/>
                  </w14:solidFill>
                </w14:textFill>
              </w:rPr>
              <w:t>浓度（mg/m</w:t>
            </w:r>
            <w:r>
              <w:rPr>
                <w:rFonts w:hint="default" w:ascii="Times New Roman" w:hAnsi="Times New Roman" w:eastAsia="宋体" w:cs="Times New Roman"/>
                <w:b/>
                <w:bCs/>
                <w:color w:val="000000" w:themeColor="text1"/>
                <w:spacing w:val="5"/>
                <w:sz w:val="21"/>
                <w:szCs w:val="21"/>
                <w:vertAlign w:val="superscript"/>
                <w14:textFill>
                  <w14:solidFill>
                    <w14:schemeClr w14:val="tx1"/>
                  </w14:solidFill>
                </w14:textFill>
              </w:rPr>
              <w:t>3</w:t>
            </w:r>
            <w:r>
              <w:rPr>
                <w:rFonts w:hint="default" w:ascii="Times New Roman" w:hAnsi="Times New Roman" w:eastAsia="宋体" w:cs="Times New Roman"/>
                <w:b/>
                <w:bCs/>
                <w:color w:val="000000" w:themeColor="text1"/>
                <w:spacing w:val="5"/>
                <w:sz w:val="21"/>
                <w:szCs w:val="21"/>
                <w14:textFill>
                  <w14:solidFill>
                    <w14:schemeClr w14:val="tx1"/>
                  </w14:solidFill>
                </w14:textFill>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176" w:hRule="atLeast"/>
          <w:jc w:val="center"/>
        </w:trPr>
        <w:tc>
          <w:tcPr>
            <w:tcW w:w="129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《大气污染物综合排放标准》</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（GB16297- 1996）</w:t>
            </w:r>
          </w:p>
        </w:tc>
        <w:tc>
          <w:tcPr>
            <w:tcW w:w="4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颗粒物</w:t>
            </w:r>
          </w:p>
        </w:tc>
        <w:tc>
          <w:tcPr>
            <w:tcW w:w="70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120</w:t>
            </w:r>
          </w:p>
        </w:tc>
        <w:tc>
          <w:tcPr>
            <w:tcW w:w="79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18</w:t>
            </w:r>
          </w:p>
        </w:tc>
        <w:tc>
          <w:tcPr>
            <w:tcW w:w="45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4.94</w:t>
            </w:r>
          </w:p>
        </w:tc>
        <w:tc>
          <w:tcPr>
            <w:tcW w:w="614"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周界外浓度最高点</w:t>
            </w:r>
          </w:p>
        </w:tc>
        <w:tc>
          <w:tcPr>
            <w:tcW w:w="63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123" w:hRule="atLeast"/>
          <w:jc w:val="center"/>
        </w:trPr>
        <w:tc>
          <w:tcPr>
            <w:tcW w:w="129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《电镀污染物排放标准》（GB 21900-2008）</w:t>
            </w:r>
          </w:p>
        </w:tc>
        <w:tc>
          <w:tcPr>
            <w:tcW w:w="4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氯化氢</w:t>
            </w:r>
          </w:p>
        </w:tc>
        <w:tc>
          <w:tcPr>
            <w:tcW w:w="70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30</w:t>
            </w:r>
          </w:p>
        </w:tc>
        <w:tc>
          <w:tcPr>
            <w:tcW w:w="79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18</w:t>
            </w:r>
          </w:p>
        </w:tc>
        <w:tc>
          <w:tcPr>
            <w:tcW w:w="45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w:t>
            </w:r>
          </w:p>
        </w:tc>
        <w:tc>
          <w:tcPr>
            <w:tcW w:w="614"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p>
        </w:tc>
        <w:tc>
          <w:tcPr>
            <w:tcW w:w="63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0.20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29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《恶臭污染物排放标准》（GB14554-93）</w:t>
            </w:r>
          </w:p>
        </w:tc>
        <w:tc>
          <w:tcPr>
            <w:tcW w:w="4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氨</w:t>
            </w:r>
          </w:p>
        </w:tc>
        <w:tc>
          <w:tcPr>
            <w:tcW w:w="70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w:t>
            </w:r>
          </w:p>
        </w:tc>
        <w:tc>
          <w:tcPr>
            <w:tcW w:w="79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18</w:t>
            </w:r>
          </w:p>
        </w:tc>
        <w:tc>
          <w:tcPr>
            <w:tcW w:w="45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7.18</w:t>
            </w:r>
          </w:p>
        </w:tc>
        <w:tc>
          <w:tcPr>
            <w:tcW w:w="614"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14:textFill>
                  <w14:solidFill>
                    <w14:schemeClr w14:val="tx1"/>
                  </w14:solidFill>
                </w14:textFill>
              </w:rPr>
            </w:pPr>
          </w:p>
        </w:tc>
        <w:tc>
          <w:tcPr>
            <w:tcW w:w="63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1.5</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298"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关于印发&lt;工业炉窑大气污染综合治理方案&gt;的通知</w:t>
            </w:r>
          </w:p>
        </w:tc>
        <w:tc>
          <w:tcPr>
            <w:tcW w:w="83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颗粒物</w:t>
            </w:r>
          </w:p>
        </w:tc>
        <w:tc>
          <w:tcPr>
            <w:tcW w:w="70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30</w:t>
            </w:r>
          </w:p>
        </w:tc>
        <w:tc>
          <w:tcPr>
            <w:tcW w:w="79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w:t>
            </w:r>
          </w:p>
        </w:tc>
        <w:tc>
          <w:tcPr>
            <w:tcW w:w="45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w:t>
            </w:r>
          </w:p>
        </w:tc>
        <w:tc>
          <w:tcPr>
            <w:tcW w:w="61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w:t>
            </w:r>
          </w:p>
        </w:tc>
        <w:tc>
          <w:tcPr>
            <w:tcW w:w="63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298"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83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二氧化硫</w:t>
            </w:r>
          </w:p>
        </w:tc>
        <w:tc>
          <w:tcPr>
            <w:tcW w:w="70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200</w:t>
            </w:r>
          </w:p>
        </w:tc>
        <w:tc>
          <w:tcPr>
            <w:tcW w:w="79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w:t>
            </w:r>
          </w:p>
        </w:tc>
        <w:tc>
          <w:tcPr>
            <w:tcW w:w="45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w:t>
            </w:r>
          </w:p>
        </w:tc>
        <w:tc>
          <w:tcPr>
            <w:tcW w:w="10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298"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83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氮氧化物</w:t>
            </w:r>
          </w:p>
        </w:tc>
        <w:tc>
          <w:tcPr>
            <w:tcW w:w="70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300</w:t>
            </w:r>
          </w:p>
        </w:tc>
        <w:tc>
          <w:tcPr>
            <w:tcW w:w="79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w:t>
            </w:r>
          </w:p>
        </w:tc>
        <w:tc>
          <w:tcPr>
            <w:tcW w:w="45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w:t>
            </w:r>
          </w:p>
        </w:tc>
        <w:tc>
          <w:tcPr>
            <w:tcW w:w="10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5"/>
                <w:sz w:val="21"/>
                <w:szCs w:val="21"/>
                <w:lang w:val="en-US" w:eastAsia="zh-CN"/>
                <w14:textFill>
                  <w14:solidFill>
                    <w14:schemeClr w14:val="tx1"/>
                  </w14:solidFill>
                </w14:textFill>
              </w:rPr>
              <w:t>/</w:t>
            </w:r>
          </w:p>
        </w:tc>
      </w:tr>
    </w:tbl>
    <w:p>
      <w:pPr>
        <w:spacing w:line="360" w:lineRule="auto"/>
        <w:jc w:val="left"/>
        <w:outlineLvl w:val="1"/>
        <w:rPr>
          <w:rFonts w:hint="eastAsia"/>
          <w:b/>
          <w:sz w:val="24"/>
          <w:szCs w:val="24"/>
          <w:lang w:val="en-US" w:eastAsia="zh-CN"/>
        </w:rPr>
      </w:pPr>
      <w:r>
        <w:rPr>
          <w:rFonts w:hint="eastAsia"/>
          <w:b/>
          <w:sz w:val="24"/>
          <w:szCs w:val="24"/>
          <w:lang w:val="en-US" w:eastAsia="zh-CN"/>
        </w:rPr>
        <w:t>6.2.3、噪声</w:t>
      </w:r>
      <w:bookmarkEnd w:id="269"/>
      <w:bookmarkEnd w:id="270"/>
      <w:bookmarkEnd w:id="271"/>
    </w:p>
    <w:p>
      <w:pPr>
        <w:spacing w:line="360" w:lineRule="auto"/>
        <w:ind w:firstLine="480" w:firstLineChars="200"/>
        <w:rPr>
          <w:rFonts w:hAnsi="宋体"/>
          <w:sz w:val="24"/>
        </w:rPr>
      </w:pPr>
      <w:bookmarkStart w:id="272" w:name="_Toc515359887"/>
      <w:bookmarkStart w:id="273" w:name="_Toc515360861"/>
      <w:bookmarkStart w:id="274" w:name="_Toc508806176"/>
      <w:bookmarkStart w:id="275" w:name="_Toc503769131"/>
      <w:bookmarkStart w:id="276" w:name="_Toc510513632"/>
      <w:bookmarkStart w:id="277" w:name="_Toc515366648"/>
      <w:r>
        <w:rPr>
          <w:rFonts w:hAnsi="宋体"/>
          <w:sz w:val="24"/>
        </w:rPr>
        <w:t>项目区营运期噪声排放执行《工业企业厂界环境噪声排放标准》（GB12348-2008）中</w:t>
      </w:r>
      <w:r>
        <w:rPr>
          <w:rFonts w:hint="eastAsia" w:hAnsi="宋体"/>
          <w:sz w:val="24"/>
          <w:lang w:val="en-US" w:eastAsia="zh-CN"/>
        </w:rPr>
        <w:t>3</w:t>
      </w:r>
      <w:r>
        <w:rPr>
          <w:rFonts w:hAnsi="宋体"/>
          <w:sz w:val="24"/>
        </w:rPr>
        <w:t>类标准：</w:t>
      </w:r>
      <w:bookmarkEnd w:id="272"/>
      <w:bookmarkEnd w:id="273"/>
      <w:bookmarkEnd w:id="274"/>
      <w:bookmarkEnd w:id="275"/>
      <w:bookmarkEnd w:id="276"/>
      <w:bookmarkEnd w:id="277"/>
    </w:p>
    <w:p>
      <w:pPr>
        <w:spacing w:line="360" w:lineRule="auto"/>
        <w:jc w:val="center"/>
        <w:rPr>
          <w:b/>
          <w:bCs/>
          <w:sz w:val="24"/>
        </w:rPr>
      </w:pPr>
      <w:r>
        <w:rPr>
          <w:rFonts w:hAnsi="宋体"/>
          <w:b/>
          <w:bCs/>
          <w:sz w:val="24"/>
        </w:rPr>
        <w:t>表</w:t>
      </w:r>
      <w:r>
        <w:rPr>
          <w:b/>
          <w:bCs/>
          <w:sz w:val="24"/>
        </w:rPr>
        <w:t>6.</w:t>
      </w:r>
      <w:r>
        <w:rPr>
          <w:rFonts w:hint="eastAsia"/>
          <w:b/>
          <w:bCs/>
          <w:sz w:val="24"/>
          <w:lang w:val="en-US" w:eastAsia="zh-CN"/>
        </w:rPr>
        <w:t>7</w:t>
      </w:r>
      <w:r>
        <w:rPr>
          <w:rFonts w:hAnsi="宋体"/>
          <w:b/>
          <w:bCs/>
          <w:sz w:val="24"/>
        </w:rPr>
        <w:t>噪声排放标准</w:t>
      </w:r>
    </w:p>
    <w:tbl>
      <w:tblPr>
        <w:tblStyle w:val="31"/>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08"/>
        <w:gridCol w:w="2226"/>
        <w:gridCol w:w="22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353" w:type="pct"/>
            <w:vAlign w:val="center"/>
          </w:tcPr>
          <w:p>
            <w:pPr>
              <w:jc w:val="center"/>
              <w:rPr>
                <w:bCs/>
                <w:szCs w:val="21"/>
              </w:rPr>
            </w:pPr>
            <w:r>
              <w:rPr>
                <w:rFonts w:hAnsi="宋体"/>
                <w:bCs/>
                <w:szCs w:val="21"/>
              </w:rPr>
              <w:t>标准名称</w:t>
            </w:r>
          </w:p>
        </w:tc>
        <w:tc>
          <w:tcPr>
            <w:tcW w:w="1307" w:type="pct"/>
            <w:vAlign w:val="center"/>
          </w:tcPr>
          <w:p>
            <w:pPr>
              <w:jc w:val="center"/>
              <w:rPr>
                <w:bCs/>
                <w:szCs w:val="21"/>
              </w:rPr>
            </w:pPr>
            <w:r>
              <w:rPr>
                <w:rFonts w:hAnsi="宋体"/>
                <w:bCs/>
                <w:szCs w:val="21"/>
              </w:rPr>
              <w:t>昼间</w:t>
            </w:r>
          </w:p>
        </w:tc>
        <w:tc>
          <w:tcPr>
            <w:tcW w:w="1338" w:type="pct"/>
            <w:vAlign w:val="center"/>
          </w:tcPr>
          <w:p>
            <w:pPr>
              <w:jc w:val="center"/>
              <w:rPr>
                <w:bCs/>
                <w:szCs w:val="21"/>
              </w:rPr>
            </w:pPr>
            <w:r>
              <w:rPr>
                <w:rFonts w:hAnsi="宋体"/>
                <w:bCs/>
                <w:szCs w:val="21"/>
              </w:rPr>
              <w:t>夜间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353" w:type="pct"/>
            <w:vAlign w:val="center"/>
          </w:tcPr>
          <w:p>
            <w:pPr>
              <w:jc w:val="center"/>
              <w:rPr>
                <w:bCs/>
                <w:szCs w:val="21"/>
              </w:rPr>
            </w:pPr>
            <w:r>
              <w:rPr>
                <w:rFonts w:hAnsi="宋体"/>
                <w:bCs/>
                <w:szCs w:val="21"/>
              </w:rPr>
              <w:t>（</w:t>
            </w:r>
            <w:r>
              <w:rPr>
                <w:bCs/>
                <w:szCs w:val="21"/>
              </w:rPr>
              <w:t>GB12348-2008</w:t>
            </w:r>
            <w:r>
              <w:rPr>
                <w:rFonts w:hAnsi="宋体"/>
                <w:bCs/>
                <w:szCs w:val="21"/>
              </w:rPr>
              <w:t>）中</w:t>
            </w:r>
            <w:r>
              <w:rPr>
                <w:rFonts w:hint="eastAsia"/>
                <w:bCs/>
                <w:szCs w:val="21"/>
                <w:lang w:val="en-US" w:eastAsia="zh-CN"/>
              </w:rPr>
              <w:t>3</w:t>
            </w:r>
            <w:r>
              <w:rPr>
                <w:rFonts w:hAnsi="宋体"/>
                <w:bCs/>
                <w:szCs w:val="21"/>
              </w:rPr>
              <w:t>类标准</w:t>
            </w:r>
          </w:p>
        </w:tc>
        <w:tc>
          <w:tcPr>
            <w:tcW w:w="2228" w:type="dxa"/>
            <w:vAlign w:val="center"/>
          </w:tcPr>
          <w:p>
            <w:pPr>
              <w:jc w:val="center"/>
              <w:rPr>
                <w:rFonts w:hint="eastAsia" w:eastAsia="宋体"/>
                <w:bCs/>
                <w:szCs w:val="21"/>
                <w:lang w:eastAsia="zh-CN"/>
              </w:rPr>
            </w:pPr>
            <w:r>
              <w:rPr>
                <w:rFonts w:hint="default" w:ascii="Times New Roman" w:hAnsi="Times New Roman" w:eastAsia="宋体" w:cs="Times New Roman"/>
                <w:color w:val="000000" w:themeColor="text1"/>
                <w:spacing w:val="2"/>
                <w:sz w:val="21"/>
                <w:szCs w:val="21"/>
                <w14:textFill>
                  <w14:solidFill>
                    <w14:schemeClr w14:val="tx1"/>
                  </w14:solidFill>
                </w14:textFill>
              </w:rPr>
              <w:t>65</w:t>
            </w:r>
          </w:p>
        </w:tc>
        <w:tc>
          <w:tcPr>
            <w:tcW w:w="2281" w:type="dxa"/>
            <w:vAlign w:val="center"/>
          </w:tcPr>
          <w:p>
            <w:pPr>
              <w:jc w:val="center"/>
              <w:rPr>
                <w:rFonts w:hint="eastAsia" w:eastAsia="宋体"/>
                <w:bCs/>
                <w:szCs w:val="21"/>
                <w:lang w:eastAsia="zh-CN"/>
              </w:rPr>
            </w:pPr>
            <w:r>
              <w:rPr>
                <w:rFonts w:hint="default" w:ascii="Times New Roman" w:hAnsi="Times New Roman" w:eastAsia="宋体" w:cs="Times New Roman"/>
                <w:color w:val="000000" w:themeColor="text1"/>
                <w:spacing w:val="2"/>
                <w:sz w:val="21"/>
                <w:szCs w:val="21"/>
                <w:lang w:val="zh-CN"/>
                <w14:textFill>
                  <w14:solidFill>
                    <w14:schemeClr w14:val="tx1"/>
                  </w14:solidFill>
                </w14:textFill>
              </w:rPr>
              <w:t>5</w:t>
            </w:r>
            <w:r>
              <w:rPr>
                <w:rFonts w:hint="default" w:ascii="Times New Roman" w:hAnsi="Times New Roman" w:eastAsia="宋体" w:cs="Times New Roman"/>
                <w:color w:val="000000" w:themeColor="text1"/>
                <w:spacing w:val="2"/>
                <w:sz w:val="21"/>
                <w:szCs w:val="21"/>
                <w14:textFill>
                  <w14:solidFill>
                    <w14:schemeClr w14:val="tx1"/>
                  </w14:solidFill>
                </w14:textFill>
              </w:rPr>
              <w:t>5</w:t>
            </w:r>
          </w:p>
        </w:tc>
      </w:tr>
    </w:tbl>
    <w:p>
      <w:pPr>
        <w:spacing w:line="360" w:lineRule="auto"/>
        <w:jc w:val="left"/>
        <w:outlineLvl w:val="1"/>
        <w:rPr>
          <w:rFonts w:hint="eastAsia"/>
          <w:b/>
          <w:sz w:val="24"/>
          <w:szCs w:val="24"/>
          <w:lang w:val="en-US" w:eastAsia="zh-CN"/>
        </w:rPr>
      </w:pPr>
      <w:bookmarkStart w:id="278" w:name="_Toc3256"/>
      <w:r>
        <w:rPr>
          <w:rFonts w:hint="eastAsia"/>
          <w:b/>
          <w:sz w:val="24"/>
          <w:szCs w:val="24"/>
          <w:lang w:val="en-US" w:eastAsia="zh-CN"/>
        </w:rPr>
        <w:t>6.2.4、固体废物污染控制标准</w:t>
      </w:r>
      <w:bookmarkEnd w:id="278"/>
    </w:p>
    <w:p>
      <w:pPr>
        <w:spacing w:line="360" w:lineRule="auto"/>
        <w:ind w:firstLine="480" w:firstLineChars="200"/>
        <w:jc w:val="both"/>
        <w:rPr>
          <w:rFonts w:hint="eastAsia" w:eastAsia="宋体"/>
          <w:bCs/>
          <w:sz w:val="24"/>
          <w:lang w:eastAsia="zh-CN"/>
        </w:rPr>
      </w:pPr>
      <w:r>
        <w:rPr>
          <w:rFonts w:hint="eastAsia"/>
          <w:bCs/>
          <w:sz w:val="24"/>
        </w:rPr>
        <w:t>一般工业固废执行《一般工业固体废物贮存和填埋污染控制标准》(GB 18599-2020）中的有关规定；</w:t>
      </w:r>
      <w:r>
        <w:rPr>
          <w:rFonts w:hint="default" w:ascii="Times New Roman" w:hAnsi="Times New Roman" w:eastAsia="宋体" w:cs="Times New Roman"/>
          <w:color w:val="000000" w:themeColor="text1"/>
          <w:sz w:val="24"/>
          <w:szCs w:val="32"/>
          <w14:textFill>
            <w14:solidFill>
              <w14:schemeClr w14:val="tx1"/>
            </w14:solidFill>
          </w14:textFill>
        </w:rPr>
        <w:t>危险废物的处置按照《危险废物贮存污染控制标准》（GB18597-2023）</w:t>
      </w:r>
      <w:r>
        <w:rPr>
          <w:rFonts w:hint="default" w:ascii="Times New Roman" w:hAnsi="Times New Roman" w:eastAsia="宋体" w:cs="Times New Roman"/>
          <w:color w:val="000000" w:themeColor="text1"/>
          <w:sz w:val="24"/>
          <w:szCs w:val="32"/>
          <w:lang w:eastAsia="zh-CN"/>
          <w14:textFill>
            <w14:solidFill>
              <w14:schemeClr w14:val="tx1"/>
            </w14:solidFill>
          </w14:textFill>
        </w:rPr>
        <w:t>中</w:t>
      </w:r>
      <w:r>
        <w:rPr>
          <w:rFonts w:hint="default" w:ascii="Times New Roman" w:hAnsi="Times New Roman" w:eastAsia="宋体" w:cs="Times New Roman"/>
          <w:color w:val="000000" w:themeColor="text1"/>
          <w:sz w:val="24"/>
          <w:szCs w:val="32"/>
          <w14:textFill>
            <w14:solidFill>
              <w14:schemeClr w14:val="tx1"/>
            </w14:solidFill>
          </w14:textFill>
        </w:rPr>
        <w:t>有关规定执行</w:t>
      </w:r>
      <w:r>
        <w:rPr>
          <w:rFonts w:hint="eastAsia" w:cs="Times New Roman"/>
          <w:color w:val="000000" w:themeColor="text1"/>
          <w:sz w:val="24"/>
          <w:szCs w:val="32"/>
          <w:lang w:eastAsia="zh-CN"/>
          <w14:textFill>
            <w14:solidFill>
              <w14:schemeClr w14:val="tx1"/>
            </w14:solidFill>
          </w14:textFill>
        </w:rPr>
        <w:t>。</w:t>
      </w:r>
    </w:p>
    <w:p>
      <w:pPr>
        <w:spacing w:line="360" w:lineRule="auto"/>
        <w:jc w:val="left"/>
        <w:outlineLvl w:val="1"/>
        <w:rPr>
          <w:b/>
          <w:bCs/>
          <w:sz w:val="28"/>
          <w:szCs w:val="28"/>
        </w:rPr>
      </w:pPr>
      <w:bookmarkStart w:id="279" w:name="_Toc8654"/>
      <w:bookmarkStart w:id="280" w:name="_Toc23989"/>
      <w:bookmarkStart w:id="281" w:name="_Toc22697"/>
      <w:bookmarkStart w:id="282" w:name="_Toc17942"/>
      <w:bookmarkStart w:id="283" w:name="_Toc11951"/>
      <w:r>
        <w:rPr>
          <w:rFonts w:hint="eastAsia"/>
          <w:b/>
          <w:bCs/>
          <w:sz w:val="28"/>
          <w:szCs w:val="28"/>
        </w:rPr>
        <w:t>6.3</w:t>
      </w:r>
      <w:r>
        <w:rPr>
          <w:b/>
          <w:bCs/>
          <w:sz w:val="28"/>
          <w:szCs w:val="28"/>
        </w:rPr>
        <w:t>总量控制指标</w:t>
      </w:r>
      <w:bookmarkEnd w:id="279"/>
      <w:bookmarkEnd w:id="280"/>
      <w:bookmarkEnd w:id="281"/>
      <w:bookmarkEnd w:id="282"/>
      <w:bookmarkEnd w:id="283"/>
    </w:p>
    <w:p>
      <w:pPr>
        <w:keepNext w:val="0"/>
        <w:keepLines w:val="0"/>
        <w:widowControl/>
        <w:suppressLineNumbers w:val="0"/>
        <w:spacing w:line="360" w:lineRule="auto"/>
        <w:ind w:firstLine="480" w:firstLineChars="200"/>
        <w:jc w:val="both"/>
        <w:rPr>
          <w:rFonts w:hint="default" w:ascii="Times New Roman" w:hAnsi="Times New Roman" w:eastAsia="宋体" w:cs="Times New Roman"/>
          <w:color w:val="auto"/>
          <w:sz w:val="24"/>
          <w:lang w:val="en-US" w:eastAsia="zh-CN"/>
        </w:rPr>
      </w:pPr>
      <w:bookmarkStart w:id="284" w:name="_Toc515359889"/>
      <w:bookmarkStart w:id="285" w:name="_Toc707"/>
      <w:bookmarkStart w:id="286" w:name="_Toc22127"/>
      <w:bookmarkStart w:id="287" w:name="_Toc18653"/>
      <w:bookmarkStart w:id="288" w:name="_Toc30704"/>
      <w:bookmarkStart w:id="289" w:name="_Toc27463"/>
      <w:bookmarkStart w:id="290" w:name="_Toc515360863"/>
      <w:r>
        <w:rPr>
          <w:rFonts w:hint="eastAsia" w:ascii="Times New Roman" w:hAnsi="Times New Roman" w:eastAsia="宋体" w:cs="Times New Roman"/>
          <w:color w:val="000000" w:themeColor="text1"/>
          <w:sz w:val="24"/>
          <w:lang w:val="en-US" w:eastAsia="zh-CN"/>
          <w14:textFill>
            <w14:solidFill>
              <w14:schemeClr w14:val="tx1"/>
            </w14:solidFill>
          </w14:textFill>
        </w:rPr>
        <w:t>根据浙江辉志环保科技有限公司编制的《</w:t>
      </w:r>
      <w:r>
        <w:rPr>
          <w:rFonts w:hint="default" w:ascii="Times New Roman" w:hAnsi="Times New Roman" w:eastAsia="宋体" w:cs="Times New Roman"/>
          <w:color w:val="000000" w:themeColor="text1"/>
          <w:sz w:val="24"/>
          <w14:textFill>
            <w14:solidFill>
              <w14:schemeClr w14:val="tx1"/>
            </w14:solidFill>
          </w14:textFill>
        </w:rPr>
        <w:t>安徽晨曜智能设备科技有限公司晨曜年产10万吨高端金属结构件项目环境影响报告书</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和</w:t>
      </w:r>
      <w:r>
        <w:rPr>
          <w:rFonts w:hint="eastAsia" w:ascii="Times New Roman" w:hAnsi="Times New Roman" w:eastAsia="宋体" w:cs="Times New Roman"/>
          <w:color w:val="000000" w:themeColor="text1"/>
          <w:sz w:val="24"/>
          <w:lang w:eastAsia="zh-CN"/>
          <w14:textFill>
            <w14:solidFill>
              <w14:schemeClr w14:val="tx1"/>
            </w14:solidFill>
          </w14:textFill>
        </w:rPr>
        <w:t>六安市生态环境局《</w:t>
      </w:r>
      <w:r>
        <w:rPr>
          <w:rFonts w:hint="eastAsia" w:ascii="Times New Roman" w:hAnsi="Times New Roman" w:eastAsia="宋体" w:cs="Times New Roman"/>
          <w:color w:val="000000" w:themeColor="text1"/>
          <w:sz w:val="24"/>
          <w:lang w:val="en-US" w:eastAsia="zh-CN"/>
          <w14:textFill>
            <w14:solidFill>
              <w14:schemeClr w14:val="tx1"/>
            </w14:solidFill>
          </w14:textFill>
        </w:rPr>
        <w:t>关于</w:t>
      </w:r>
      <w:r>
        <w:rPr>
          <w:rFonts w:hint="default" w:ascii="Times New Roman" w:hAnsi="Times New Roman" w:eastAsia="宋体" w:cs="Times New Roman"/>
          <w:color w:val="000000" w:themeColor="text1"/>
          <w:sz w:val="24"/>
          <w14:textFill>
            <w14:solidFill>
              <w14:schemeClr w14:val="tx1"/>
            </w14:solidFill>
          </w14:textFill>
        </w:rPr>
        <w:t>安徽晨曜智能设备科技有限公司晨曜年产10万</w:t>
      </w:r>
      <w:r>
        <w:rPr>
          <w:rFonts w:hint="default" w:ascii="Times New Roman" w:hAnsi="Times New Roman" w:eastAsia="宋体" w:cs="Times New Roman"/>
          <w:color w:val="auto"/>
          <w:sz w:val="24"/>
        </w:rPr>
        <w:t>吨高端金属结构件项目环境影响报告书</w:t>
      </w:r>
      <w:r>
        <w:rPr>
          <w:rFonts w:hint="eastAsia" w:ascii="Times New Roman" w:hAnsi="Times New Roman" w:eastAsia="宋体" w:cs="Times New Roman"/>
          <w:color w:val="auto"/>
          <w:sz w:val="24"/>
          <w:lang w:val="en-US" w:eastAsia="zh-CN"/>
        </w:rPr>
        <w:t>的批复》</w:t>
      </w:r>
      <w:r>
        <w:rPr>
          <w:rFonts w:hint="eastAsia" w:ascii="Times New Roman" w:hAnsi="Times New Roman" w:eastAsia="宋体" w:cs="Times New Roman"/>
          <w:b w:val="0"/>
          <w:bCs/>
          <w:snapToGrid/>
          <w:color w:val="auto"/>
          <w:kern w:val="2"/>
          <w:sz w:val="24"/>
          <w:szCs w:val="24"/>
          <w:lang w:val="en-US" w:eastAsia="zh-CN" w:bidi="ar-SA"/>
        </w:rPr>
        <w:t>（六环评[202</w:t>
      </w:r>
      <w:r>
        <w:rPr>
          <w:rFonts w:hint="eastAsia" w:cs="Times New Roman"/>
          <w:b w:val="0"/>
          <w:bCs/>
          <w:snapToGrid/>
          <w:color w:val="auto"/>
          <w:kern w:val="2"/>
          <w:sz w:val="24"/>
          <w:szCs w:val="24"/>
          <w:lang w:val="en-US" w:eastAsia="zh-CN" w:bidi="ar-SA"/>
        </w:rPr>
        <w:t>3</w:t>
      </w:r>
      <w:r>
        <w:rPr>
          <w:rFonts w:hint="eastAsia" w:ascii="Times New Roman" w:hAnsi="Times New Roman" w:eastAsia="宋体" w:cs="Times New Roman"/>
          <w:b w:val="0"/>
          <w:bCs/>
          <w:snapToGrid/>
          <w:color w:val="auto"/>
          <w:kern w:val="2"/>
          <w:sz w:val="24"/>
          <w:szCs w:val="24"/>
          <w:lang w:val="en-US" w:eastAsia="zh-CN" w:bidi="ar-SA"/>
        </w:rPr>
        <w:t>]</w:t>
      </w:r>
      <w:r>
        <w:rPr>
          <w:rFonts w:hint="eastAsia" w:cs="Times New Roman"/>
          <w:b w:val="0"/>
          <w:bCs/>
          <w:snapToGrid/>
          <w:color w:val="auto"/>
          <w:kern w:val="2"/>
          <w:sz w:val="24"/>
          <w:szCs w:val="24"/>
          <w:lang w:val="en-US" w:eastAsia="zh-CN" w:bidi="ar-SA"/>
        </w:rPr>
        <w:t>9</w:t>
      </w:r>
      <w:r>
        <w:rPr>
          <w:rFonts w:hint="eastAsia" w:ascii="Times New Roman" w:hAnsi="Times New Roman" w:eastAsia="宋体" w:cs="Times New Roman"/>
          <w:b w:val="0"/>
          <w:bCs/>
          <w:snapToGrid/>
          <w:color w:val="auto"/>
          <w:kern w:val="2"/>
          <w:sz w:val="24"/>
          <w:szCs w:val="24"/>
          <w:lang w:val="en-US" w:eastAsia="zh-CN" w:bidi="ar-SA"/>
        </w:rPr>
        <w:t>号）</w:t>
      </w:r>
      <w:r>
        <w:rPr>
          <w:rFonts w:hint="eastAsia" w:ascii="Times New Roman" w:hAnsi="Times New Roman" w:eastAsia="宋体" w:cs="Times New Roman"/>
          <w:color w:val="auto"/>
          <w:sz w:val="24"/>
          <w:lang w:val="en-US" w:eastAsia="zh-CN"/>
        </w:rPr>
        <w:t>所核定的</w:t>
      </w:r>
      <w:r>
        <w:rPr>
          <w:rFonts w:hint="eastAsia"/>
          <w:color w:val="auto"/>
          <w:sz w:val="24"/>
          <w:lang w:val="en-US" w:eastAsia="zh-CN"/>
        </w:rPr>
        <w:t>本次项目总量控制</w:t>
      </w:r>
      <w:r>
        <w:rPr>
          <w:rFonts w:hint="eastAsia" w:ascii="Times New Roman" w:hAnsi="Times New Roman" w:eastAsia="宋体" w:cs="Times New Roman"/>
          <w:color w:val="auto"/>
          <w:sz w:val="24"/>
          <w:lang w:val="en-US" w:eastAsia="zh-CN"/>
        </w:rPr>
        <w:t>指标：</w:t>
      </w:r>
      <w:r>
        <w:rPr>
          <w:rFonts w:hint="eastAsia" w:cs="Times New Roman"/>
          <w:color w:val="auto"/>
          <w:sz w:val="24"/>
          <w:lang w:val="en-US" w:eastAsia="zh-CN"/>
        </w:rPr>
        <w:t>烟（粉）尘</w:t>
      </w:r>
      <w:r>
        <w:rPr>
          <w:rFonts w:hint="eastAsia" w:ascii="Times New Roman" w:hAnsi="Times New Roman" w:eastAsia="宋体" w:cs="Times New Roman"/>
          <w:color w:val="auto"/>
          <w:sz w:val="24"/>
          <w:lang w:val="en-US" w:eastAsia="zh-CN"/>
        </w:rPr>
        <w:t>：</w:t>
      </w:r>
      <w:r>
        <w:rPr>
          <w:rFonts w:hint="eastAsia" w:cs="Times New Roman"/>
          <w:color w:val="auto"/>
          <w:sz w:val="24"/>
          <w:lang w:val="en-US" w:eastAsia="zh-CN"/>
        </w:rPr>
        <w:t>0.749</w:t>
      </w:r>
      <w:r>
        <w:rPr>
          <w:rFonts w:hint="eastAsia" w:ascii="Times New Roman" w:hAnsi="Times New Roman" w:eastAsia="宋体" w:cs="Times New Roman"/>
          <w:color w:val="auto"/>
          <w:sz w:val="24"/>
          <w:lang w:val="en-US" w:eastAsia="zh-CN"/>
        </w:rPr>
        <w:t>t/a；</w:t>
      </w:r>
      <w:r>
        <w:rPr>
          <w:rFonts w:hint="eastAsia" w:cs="Times New Roman"/>
          <w:color w:val="auto"/>
          <w:sz w:val="24"/>
          <w:lang w:val="en-US" w:eastAsia="zh-CN"/>
        </w:rPr>
        <w:t>SO</w:t>
      </w:r>
      <w:r>
        <w:rPr>
          <w:rFonts w:hint="eastAsia" w:cs="Times New Roman"/>
          <w:color w:val="auto"/>
          <w:sz w:val="24"/>
          <w:vertAlign w:val="subscript"/>
          <w:lang w:val="en-US" w:eastAsia="zh-CN"/>
        </w:rPr>
        <w:t>2</w:t>
      </w:r>
      <w:r>
        <w:rPr>
          <w:rFonts w:hint="eastAsia" w:ascii="Times New Roman" w:hAnsi="Times New Roman" w:eastAsia="宋体" w:cs="Times New Roman"/>
          <w:color w:val="auto"/>
          <w:sz w:val="24"/>
          <w:lang w:val="en-US" w:eastAsia="zh-CN"/>
        </w:rPr>
        <w:t>：</w:t>
      </w:r>
      <w:r>
        <w:rPr>
          <w:rFonts w:hint="eastAsia" w:cs="Times New Roman"/>
          <w:color w:val="auto"/>
          <w:sz w:val="24"/>
          <w:lang w:val="en-US" w:eastAsia="zh-CN"/>
        </w:rPr>
        <w:t>0.3</w:t>
      </w:r>
      <w:r>
        <w:rPr>
          <w:rFonts w:hint="eastAsia" w:ascii="Times New Roman" w:hAnsi="Times New Roman" w:eastAsia="宋体" w:cs="Times New Roman"/>
          <w:color w:val="auto"/>
          <w:sz w:val="24"/>
          <w:lang w:val="en-US" w:eastAsia="zh-CN"/>
        </w:rPr>
        <w:t>t/a</w:t>
      </w:r>
      <w:r>
        <w:rPr>
          <w:rFonts w:hint="eastAsia" w:cs="Times New Roman"/>
          <w:color w:val="auto"/>
          <w:sz w:val="24"/>
          <w:lang w:val="en-US" w:eastAsia="zh-CN"/>
        </w:rPr>
        <w:t>；NO</w:t>
      </w:r>
      <w:r>
        <w:rPr>
          <w:rFonts w:hint="eastAsia" w:cs="Times New Roman"/>
          <w:color w:val="auto"/>
          <w:sz w:val="24"/>
          <w:vertAlign w:val="subscript"/>
          <w:lang w:val="en-US" w:eastAsia="zh-CN"/>
        </w:rPr>
        <w:t>X</w:t>
      </w:r>
      <w:r>
        <w:rPr>
          <w:rFonts w:hint="eastAsia" w:cs="Times New Roman"/>
          <w:color w:val="auto"/>
          <w:sz w:val="24"/>
          <w:lang w:val="en-US" w:eastAsia="zh-CN"/>
        </w:rPr>
        <w:t>：1.404t/a。</w:t>
      </w:r>
    </w:p>
    <w:p>
      <w:pPr>
        <w:pStyle w:val="90"/>
        <w:spacing w:line="360" w:lineRule="auto"/>
        <w:jc w:val="center"/>
        <w:rPr>
          <w:rFonts w:hint="default" w:eastAsia="宋体"/>
          <w:b/>
          <w:sz w:val="28"/>
          <w:szCs w:val="28"/>
          <w:lang w:val="en-US" w:eastAsia="zh-CN"/>
        </w:rPr>
      </w:pPr>
      <w:r>
        <w:rPr>
          <w:rFonts w:hint="eastAsia"/>
        </w:rPr>
        <w:br w:type="page"/>
      </w:r>
      <w:bookmarkStart w:id="291" w:name="_Toc19280"/>
      <w:r>
        <w:rPr>
          <w:rFonts w:hint="eastAsia"/>
        </w:rPr>
        <w:t xml:space="preserve">第七章  </w:t>
      </w:r>
      <w:r>
        <w:t>验收监测内容</w:t>
      </w:r>
      <w:bookmarkEnd w:id="284"/>
      <w:bookmarkEnd w:id="285"/>
      <w:bookmarkEnd w:id="286"/>
      <w:bookmarkEnd w:id="287"/>
      <w:bookmarkEnd w:id="288"/>
      <w:bookmarkEnd w:id="289"/>
      <w:bookmarkEnd w:id="290"/>
      <w:bookmarkStart w:id="292" w:name="_Toc515360865"/>
      <w:bookmarkStart w:id="293" w:name="_Toc26639"/>
      <w:bookmarkStart w:id="294" w:name="_Toc15285"/>
      <w:bookmarkStart w:id="295" w:name="_Toc10960"/>
      <w:bookmarkStart w:id="296" w:name="_Toc515359891"/>
      <w:bookmarkStart w:id="297" w:name="_Toc32250"/>
      <w:r>
        <w:rPr>
          <w:rFonts w:hint="eastAsia"/>
          <w:lang w:val="en-US" w:eastAsia="zh-CN"/>
        </w:rPr>
        <w:t xml:space="preserve"> </w:t>
      </w:r>
      <w:bookmarkEnd w:id="291"/>
      <w:r>
        <w:rPr>
          <w:rFonts w:hint="eastAsia"/>
          <w:lang w:val="en-US" w:eastAsia="zh-CN"/>
        </w:rPr>
        <w:t xml:space="preserve">                                                                                                                                                                                                                                                                                                                                                                                                                                                                                                                                                                                                                                                    </w:t>
      </w:r>
    </w:p>
    <w:p>
      <w:pPr>
        <w:spacing w:line="360" w:lineRule="auto"/>
        <w:jc w:val="left"/>
        <w:outlineLvl w:val="1"/>
        <w:rPr>
          <w:rFonts w:hint="eastAsia" w:eastAsia="宋体"/>
          <w:b/>
          <w:sz w:val="28"/>
          <w:szCs w:val="28"/>
          <w:lang w:eastAsia="zh-CN"/>
        </w:rPr>
      </w:pPr>
      <w:bookmarkStart w:id="298" w:name="_Toc1232"/>
      <w:r>
        <w:rPr>
          <w:b/>
          <w:sz w:val="28"/>
          <w:szCs w:val="28"/>
        </w:rPr>
        <w:t>7.1</w:t>
      </w:r>
      <w:bookmarkEnd w:id="292"/>
      <w:bookmarkEnd w:id="293"/>
      <w:bookmarkEnd w:id="294"/>
      <w:bookmarkEnd w:id="295"/>
      <w:bookmarkEnd w:id="296"/>
      <w:bookmarkEnd w:id="297"/>
      <w:bookmarkEnd w:id="298"/>
      <w:r>
        <w:rPr>
          <w:rFonts w:hint="eastAsia"/>
          <w:b/>
          <w:sz w:val="28"/>
          <w:szCs w:val="28"/>
          <w:lang w:eastAsia="zh-CN"/>
        </w:rPr>
        <w:t>废气</w:t>
      </w:r>
    </w:p>
    <w:p>
      <w:pPr>
        <w:spacing w:line="360" w:lineRule="auto"/>
        <w:rPr>
          <w:rFonts w:ascii="Times New Roman" w:hAnsi="Times New Roman" w:cs="Times New Roman"/>
          <w:b/>
          <w:bCs/>
          <w:color w:val="000000" w:themeColor="text1"/>
          <w:sz w:val="24"/>
          <w:szCs w:val="24"/>
          <w14:textFill>
            <w14:solidFill>
              <w14:schemeClr w14:val="tx1"/>
            </w14:solidFill>
          </w14:textFill>
        </w:rPr>
      </w:pPr>
      <w:bookmarkStart w:id="299" w:name="_Toc515359893"/>
      <w:bookmarkStart w:id="300" w:name="_Toc9610"/>
      <w:bookmarkStart w:id="301" w:name="_Toc23958"/>
      <w:bookmarkStart w:id="302" w:name="_Toc8873"/>
      <w:bookmarkStart w:id="303" w:name="_Toc515360867"/>
      <w:bookmarkStart w:id="304" w:name="_Toc12248"/>
      <w:r>
        <w:rPr>
          <w:rFonts w:hint="eastAsia" w:ascii="Times New Roman" w:hAnsi="Times New Roman" w:cs="Times New Roman"/>
          <w:b/>
          <w:bCs/>
          <w:sz w:val="24"/>
          <w:szCs w:val="24"/>
          <w:lang w:val="en-US" w:eastAsia="zh-CN"/>
        </w:rPr>
        <w:t>7.</w:t>
      </w:r>
      <w:r>
        <w:rPr>
          <w:rFonts w:hint="eastAsia" w:cs="Times New Roman"/>
          <w:b/>
          <w:bCs/>
          <w:sz w:val="24"/>
          <w:szCs w:val="24"/>
          <w:lang w:val="en-US" w:eastAsia="zh-CN"/>
        </w:rPr>
        <w:t>1</w:t>
      </w:r>
      <w:r>
        <w:rPr>
          <w:rFonts w:hint="eastAsia" w:ascii="Times New Roman" w:hAnsi="Times New Roman" w:cs="Times New Roman"/>
          <w:b/>
          <w:bCs/>
          <w:sz w:val="24"/>
          <w:szCs w:val="24"/>
          <w:lang w:val="en-US" w:eastAsia="zh-CN"/>
        </w:rPr>
        <w:t>.1、</w:t>
      </w:r>
      <w:r>
        <w:rPr>
          <w:rFonts w:hint="eastAsia" w:ascii="Times New Roman" w:hAnsi="Times New Roman" w:cs="Times New Roman"/>
          <w:b/>
          <w:bCs/>
          <w:sz w:val="24"/>
          <w:szCs w:val="24"/>
          <w:lang w:eastAsia="zh-CN"/>
        </w:rPr>
        <w:t>有</w:t>
      </w:r>
      <w:r>
        <w:rPr>
          <w:rFonts w:ascii="Times New Roman" w:hAnsi="Times New Roman" w:cs="Times New Roman"/>
          <w:b/>
          <w:bCs/>
          <w:sz w:val="24"/>
          <w:szCs w:val="24"/>
        </w:rPr>
        <w:t>组织</w:t>
      </w:r>
      <w:r>
        <w:rPr>
          <w:rFonts w:hint="eastAsia" w:ascii="Times New Roman" w:hAnsi="Times New Roman" w:cs="Times New Roman"/>
          <w:b/>
          <w:bCs/>
          <w:sz w:val="24"/>
          <w:szCs w:val="24"/>
        </w:rPr>
        <w:t>废气监测</w:t>
      </w:r>
    </w:p>
    <w:p>
      <w:pPr>
        <w:pStyle w:val="10"/>
        <w:numPr>
          <w:ilvl w:val="0"/>
          <w:numId w:val="0"/>
        </w:numPr>
        <w:spacing w:line="360" w:lineRule="auto"/>
        <w:jc w:val="center"/>
        <w:rPr>
          <w:rFonts w:hint="default" w:ascii="Times New Roman" w:hAnsi="Times New Roman" w:cs="Times New Roman" w:eastAsiaTheme="minorEastAsia"/>
          <w:b/>
          <w:bCs/>
          <w:sz w:val="24"/>
          <w:szCs w:val="24"/>
          <w:lang w:val="en-US" w:eastAsia="zh-CN"/>
        </w:rPr>
      </w:pPr>
      <w:r>
        <w:rPr>
          <w:rFonts w:hint="eastAsia" w:ascii="Times New Roman" w:hAnsi="Times New Roman" w:cs="Times New Roman"/>
          <w:b/>
          <w:bCs/>
          <w:sz w:val="24"/>
          <w:szCs w:val="24"/>
          <w:lang w:eastAsia="zh-CN"/>
        </w:rPr>
        <w:t>表</w:t>
      </w:r>
      <w:r>
        <w:rPr>
          <w:rFonts w:hint="eastAsia" w:ascii="Times New Roman" w:hAnsi="Times New Roman" w:cs="Times New Roman"/>
          <w:b/>
          <w:bCs/>
          <w:sz w:val="24"/>
          <w:szCs w:val="24"/>
          <w:lang w:val="en-US" w:eastAsia="zh-CN"/>
        </w:rPr>
        <w:t>7.1.1 有组织废气监测内容</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0"/>
        <w:gridCol w:w="1845"/>
        <w:gridCol w:w="444"/>
        <w:gridCol w:w="1482"/>
        <w:gridCol w:w="1098"/>
        <w:gridCol w:w="635"/>
        <w:gridCol w:w="1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宋体" w:eastAsia="宋体"/>
                <w:bCs/>
                <w:kern w:val="0"/>
                <w:sz w:val="21"/>
                <w:szCs w:val="21"/>
                <w:vertAlign w:val="baseline"/>
                <w:lang w:val="en-US" w:eastAsia="zh-CN"/>
              </w:rPr>
            </w:pPr>
            <w:r>
              <w:rPr>
                <w:rFonts w:hint="eastAsia" w:ascii="Times New Roman" w:hAnsi="Times New Roman"/>
                <w:sz w:val="21"/>
                <w:szCs w:val="21"/>
              </w:rPr>
              <w:t>废气名称</w:t>
            </w:r>
          </w:p>
        </w:tc>
        <w:tc>
          <w:tcPr>
            <w:tcW w:w="108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lang w:val="en-US" w:eastAsia="zh-CN"/>
              </w:rPr>
            </w:pPr>
            <w:r>
              <w:rPr>
                <w:rFonts w:hint="eastAsia" w:ascii="Times New Roman" w:hAnsi="宋体"/>
                <w:bCs/>
                <w:kern w:val="0"/>
                <w:sz w:val="21"/>
                <w:szCs w:val="21"/>
                <w:vertAlign w:val="baseline"/>
                <w:lang w:val="en-US" w:eastAsia="zh-CN"/>
              </w:rPr>
              <w:t>酸洗废气</w:t>
            </w:r>
          </w:p>
        </w:tc>
        <w:tc>
          <w:tcPr>
            <w:tcW w:w="3288"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lang w:val="en-US" w:eastAsia="zh-CN"/>
              </w:rPr>
            </w:pPr>
            <w:r>
              <w:rPr>
                <w:rFonts w:hint="eastAsia" w:ascii="Times New Roman" w:hAnsi="宋体"/>
                <w:bCs/>
                <w:kern w:val="0"/>
                <w:sz w:val="21"/>
                <w:szCs w:val="21"/>
                <w:vertAlign w:val="baseline"/>
                <w:lang w:val="en-US" w:eastAsia="zh-CN"/>
              </w:rPr>
              <w:t>锌锅废气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rPr>
            </w:pPr>
            <w:r>
              <w:rPr>
                <w:rFonts w:hint="eastAsia" w:ascii="Times New Roman" w:hAnsi="Times New Roman"/>
                <w:sz w:val="21"/>
                <w:szCs w:val="21"/>
              </w:rPr>
              <w:t>监测点位</w:t>
            </w:r>
          </w:p>
        </w:tc>
        <w:tc>
          <w:tcPr>
            <w:tcW w:w="108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宋体"/>
                <w:bCs/>
                <w:kern w:val="0"/>
                <w:sz w:val="21"/>
                <w:szCs w:val="21"/>
                <w:vertAlign w:val="baseline"/>
                <w:lang w:val="en-US" w:eastAsia="zh-CN"/>
              </w:rPr>
            </w:pPr>
            <w:r>
              <w:rPr>
                <w:rFonts w:hint="eastAsia" w:ascii="Times New Roman" w:hAnsi="宋体"/>
                <w:bCs/>
                <w:kern w:val="0"/>
                <w:sz w:val="21"/>
                <w:szCs w:val="21"/>
                <w:vertAlign w:val="baseline"/>
                <w:lang w:val="en-US" w:eastAsia="zh-CN"/>
              </w:rPr>
              <w:t>DA001（排气筒进出口）</w:t>
            </w:r>
          </w:p>
        </w:tc>
        <w:tc>
          <w:tcPr>
            <w:tcW w:w="3288"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lang w:val="en-US" w:eastAsia="zh-CN"/>
              </w:rPr>
            </w:pPr>
            <w:r>
              <w:rPr>
                <w:rFonts w:hint="eastAsia" w:ascii="Times New Roman" w:hAnsi="宋体"/>
                <w:bCs/>
                <w:kern w:val="0"/>
                <w:sz w:val="21"/>
                <w:szCs w:val="21"/>
                <w:vertAlign w:val="baseline"/>
                <w:lang w:val="en-US" w:eastAsia="zh-CN"/>
              </w:rPr>
              <w:t>DA002（排气筒进出口）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rPr>
            </w:pPr>
            <w:r>
              <w:rPr>
                <w:rFonts w:hint="eastAsia" w:ascii="Times New Roman" w:hAnsi="Times New Roman"/>
                <w:sz w:val="21"/>
                <w:szCs w:val="21"/>
              </w:rPr>
              <w:t>监测因子</w:t>
            </w:r>
          </w:p>
        </w:tc>
        <w:tc>
          <w:tcPr>
            <w:tcW w:w="108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氯化氢</w:t>
            </w:r>
          </w:p>
        </w:tc>
        <w:tc>
          <w:tcPr>
            <w:tcW w:w="11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lang w:val="en-US" w:eastAsia="zh-CN"/>
              </w:rPr>
            </w:pPr>
            <w:r>
              <w:rPr>
                <w:rFonts w:hint="eastAsia" w:ascii="Times New Roman" w:hAnsi="宋体"/>
                <w:bCs/>
                <w:kern w:val="0"/>
                <w:sz w:val="21"/>
                <w:szCs w:val="21"/>
                <w:vertAlign w:val="baseline"/>
                <w:lang w:val="en-US" w:eastAsia="zh-CN"/>
              </w:rPr>
              <w:t>氯化氢</w:t>
            </w:r>
          </w:p>
        </w:tc>
        <w:tc>
          <w:tcPr>
            <w:tcW w:w="10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lang w:val="en-US" w:eastAsia="zh-CN"/>
              </w:rPr>
            </w:pPr>
            <w:r>
              <w:rPr>
                <w:rFonts w:hint="eastAsia" w:ascii="Times New Roman" w:hAnsi="宋体"/>
                <w:bCs/>
                <w:kern w:val="0"/>
                <w:sz w:val="21"/>
                <w:szCs w:val="21"/>
                <w:vertAlign w:val="baseline"/>
                <w:lang w:val="en-US" w:eastAsia="zh-CN"/>
              </w:rPr>
              <w:t>氨</w:t>
            </w:r>
          </w:p>
        </w:tc>
        <w:tc>
          <w:tcPr>
            <w:tcW w:w="11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lang w:val="en-US" w:eastAsia="zh-CN"/>
              </w:rPr>
            </w:pPr>
            <w:r>
              <w:rPr>
                <w:rFonts w:hint="eastAsia" w:ascii="Times New Roman" w:hAnsi="宋体"/>
                <w:bCs/>
                <w:kern w:val="0"/>
                <w:sz w:val="21"/>
                <w:szCs w:val="21"/>
                <w:vertAlign w:val="baseline"/>
                <w:lang w:val="en-US" w:eastAsia="zh-CN"/>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62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sz w:val="21"/>
                <w:szCs w:val="21"/>
              </w:rPr>
            </w:pPr>
            <w:r>
              <w:rPr>
                <w:rFonts w:hint="eastAsia" w:ascii="Times New Roman" w:hAnsi="Times New Roman"/>
                <w:sz w:val="21"/>
                <w:szCs w:val="21"/>
              </w:rPr>
              <w:t>监测频次</w:t>
            </w:r>
          </w:p>
        </w:tc>
        <w:tc>
          <w:tcPr>
            <w:tcW w:w="4371" w:type="pct"/>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rPr>
            </w:pPr>
            <w:r>
              <w:rPr>
                <w:rFonts w:hint="eastAsia" w:ascii="Times New Roman" w:hAnsi="宋体"/>
                <w:bCs/>
                <w:kern w:val="0"/>
                <w:sz w:val="21"/>
                <w:szCs w:val="21"/>
                <w:vertAlign w:val="baseline"/>
              </w:rPr>
              <w:t>连续监测2天，每天采样3次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宋体" w:eastAsia="宋体"/>
                <w:bCs/>
                <w:kern w:val="0"/>
                <w:sz w:val="21"/>
                <w:szCs w:val="21"/>
                <w:vertAlign w:val="baseline"/>
                <w:lang w:val="en-US" w:eastAsia="zh-CN"/>
              </w:rPr>
            </w:pPr>
            <w:r>
              <w:rPr>
                <w:rFonts w:hint="eastAsia" w:ascii="Times New Roman" w:hAnsi="Times New Roman"/>
                <w:sz w:val="21"/>
                <w:szCs w:val="21"/>
              </w:rPr>
              <w:t>废气名称</w:t>
            </w:r>
          </w:p>
        </w:tc>
        <w:tc>
          <w:tcPr>
            <w:tcW w:w="4371" w:type="pct"/>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lang w:val="en-US" w:eastAsia="zh-CN"/>
              </w:rPr>
            </w:pPr>
            <w:r>
              <w:rPr>
                <w:rFonts w:hint="eastAsia" w:ascii="Times New Roman" w:hAnsi="宋体"/>
                <w:bCs/>
                <w:kern w:val="0"/>
                <w:sz w:val="21"/>
                <w:szCs w:val="21"/>
                <w:vertAlign w:val="baseline"/>
                <w:lang w:val="en-US" w:eastAsia="zh-CN"/>
              </w:rPr>
              <w:t>天然气燃烧废气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rPr>
            </w:pPr>
            <w:r>
              <w:rPr>
                <w:rFonts w:hint="eastAsia" w:ascii="Times New Roman" w:hAnsi="Times New Roman"/>
                <w:sz w:val="21"/>
                <w:szCs w:val="21"/>
              </w:rPr>
              <w:t>监测点位</w:t>
            </w:r>
          </w:p>
        </w:tc>
        <w:tc>
          <w:tcPr>
            <w:tcW w:w="4371" w:type="pct"/>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宋体"/>
                <w:bCs/>
                <w:kern w:val="0"/>
                <w:sz w:val="21"/>
                <w:szCs w:val="21"/>
                <w:vertAlign w:val="baseline"/>
                <w:lang w:val="en-US" w:eastAsia="zh-CN"/>
              </w:rPr>
            </w:pPr>
            <w:r>
              <w:rPr>
                <w:rFonts w:hint="eastAsia" w:ascii="Times New Roman" w:hAnsi="宋体"/>
                <w:bCs/>
                <w:kern w:val="0"/>
                <w:sz w:val="21"/>
                <w:szCs w:val="21"/>
                <w:vertAlign w:val="baseline"/>
                <w:lang w:val="en-US" w:eastAsia="zh-CN"/>
              </w:rPr>
              <w:t>DA003（排气筒出口）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rPr>
            </w:pPr>
            <w:r>
              <w:rPr>
                <w:rFonts w:hint="eastAsia" w:ascii="Times New Roman" w:hAnsi="Times New Roman"/>
                <w:sz w:val="21"/>
                <w:szCs w:val="21"/>
              </w:rPr>
              <w:t>监测因子</w:t>
            </w:r>
          </w:p>
        </w:tc>
        <w:tc>
          <w:tcPr>
            <w:tcW w:w="134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lang w:val="en-US" w:eastAsia="zh-CN"/>
              </w:rPr>
            </w:pPr>
            <w:r>
              <w:rPr>
                <w:rFonts w:hint="eastAsia" w:ascii="Times New Roman" w:hAnsi="宋体"/>
                <w:bCs/>
                <w:kern w:val="0"/>
                <w:sz w:val="21"/>
                <w:szCs w:val="21"/>
                <w:vertAlign w:val="baseline"/>
                <w:lang w:val="en-US" w:eastAsia="zh-CN"/>
              </w:rPr>
              <w:t>颗粒物</w:t>
            </w:r>
          </w:p>
        </w:tc>
        <w:tc>
          <w:tcPr>
            <w:tcW w:w="151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宋体"/>
                <w:bCs/>
                <w:kern w:val="0"/>
                <w:sz w:val="21"/>
                <w:szCs w:val="21"/>
                <w:vertAlign w:val="baseline"/>
                <w:lang w:val="en-US" w:eastAsia="zh-CN"/>
              </w:rPr>
            </w:pPr>
            <w:r>
              <w:rPr>
                <w:rFonts w:hint="eastAsia" w:ascii="Times New Roman" w:hAnsi="宋体"/>
                <w:bCs/>
                <w:kern w:val="0"/>
                <w:sz w:val="21"/>
                <w:szCs w:val="21"/>
                <w:vertAlign w:val="baseline"/>
                <w:lang w:val="en-US" w:eastAsia="zh-CN"/>
              </w:rPr>
              <w:t>SO</w:t>
            </w:r>
            <w:r>
              <w:rPr>
                <w:rFonts w:hint="eastAsia" w:ascii="Times New Roman" w:hAnsi="宋体"/>
                <w:bCs/>
                <w:kern w:val="0"/>
                <w:sz w:val="21"/>
                <w:szCs w:val="21"/>
                <w:vertAlign w:val="subscript"/>
                <w:lang w:val="en-US" w:eastAsia="zh-CN"/>
              </w:rPr>
              <w:t>2</w:t>
            </w:r>
          </w:p>
        </w:tc>
        <w:tc>
          <w:tcPr>
            <w:tcW w:w="151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宋体"/>
                <w:bCs/>
                <w:kern w:val="0"/>
                <w:sz w:val="21"/>
                <w:szCs w:val="21"/>
                <w:vertAlign w:val="baseline"/>
                <w:lang w:val="en-US" w:eastAsia="zh-CN"/>
              </w:rPr>
            </w:pPr>
            <w:r>
              <w:rPr>
                <w:rFonts w:hint="eastAsia" w:ascii="Times New Roman" w:hAnsi="宋体"/>
                <w:bCs/>
                <w:kern w:val="0"/>
                <w:sz w:val="21"/>
                <w:szCs w:val="21"/>
                <w:vertAlign w:val="baseline"/>
                <w:lang w:val="en-US" w:eastAsia="zh-CN"/>
              </w:rPr>
              <w:t>NO</w:t>
            </w:r>
            <w:r>
              <w:rPr>
                <w:rFonts w:hint="eastAsia" w:ascii="Times New Roman" w:hAnsi="宋体"/>
                <w:bCs/>
                <w:kern w:val="0"/>
                <w:sz w:val="21"/>
                <w:szCs w:val="21"/>
                <w:vertAlign w:val="subscript"/>
                <w:lang w:val="en-US" w:eastAsia="zh-CN"/>
              </w:rPr>
              <w: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62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sz w:val="21"/>
                <w:szCs w:val="21"/>
              </w:rPr>
            </w:pPr>
            <w:r>
              <w:rPr>
                <w:rFonts w:hint="eastAsia" w:ascii="Times New Roman" w:hAnsi="Times New Roman"/>
                <w:sz w:val="21"/>
                <w:szCs w:val="21"/>
              </w:rPr>
              <w:t>监测频次</w:t>
            </w:r>
          </w:p>
        </w:tc>
        <w:tc>
          <w:tcPr>
            <w:tcW w:w="4371" w:type="pct"/>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rPr>
            </w:pPr>
            <w:r>
              <w:rPr>
                <w:rFonts w:hint="eastAsia" w:ascii="Times New Roman" w:hAnsi="宋体"/>
                <w:bCs/>
                <w:kern w:val="0"/>
                <w:sz w:val="21"/>
                <w:szCs w:val="21"/>
                <w:vertAlign w:val="baseline"/>
              </w:rPr>
              <w:t>连续监测2天，每天采样3次</w:t>
            </w:r>
          </w:p>
        </w:tc>
      </w:tr>
    </w:tbl>
    <w:p>
      <w:pPr>
        <w:pStyle w:val="36"/>
        <w:widowControl w:val="0"/>
        <w:numPr>
          <w:ilvl w:val="0"/>
          <w:numId w:val="0"/>
        </w:numPr>
        <w:autoSpaceDE w:val="0"/>
        <w:autoSpaceDN w:val="0"/>
        <w:adjustRightInd w:val="0"/>
        <w:spacing w:line="360" w:lineRule="auto"/>
        <w:rPr>
          <w:rFonts w:hint="eastAsia" w:ascii="Times New Roman"/>
          <w:b/>
          <w:bCs w:val="0"/>
          <w:lang w:val="en-US" w:eastAsia="zh-CN"/>
        </w:rPr>
      </w:pPr>
      <w:r>
        <w:rPr>
          <w:rFonts w:hint="eastAsia" w:ascii="Times New Roman"/>
          <w:b/>
          <w:bCs w:val="0"/>
          <w:lang w:val="en-US" w:eastAsia="zh-CN"/>
        </w:rPr>
        <w:t>7.1.2、无组织废气监测</w:t>
      </w:r>
    </w:p>
    <w:p>
      <w:pPr>
        <w:pStyle w:val="36"/>
        <w:numPr>
          <w:ilvl w:val="0"/>
          <w:numId w:val="0"/>
        </w:numPr>
        <w:jc w:val="center"/>
        <w:rPr>
          <w:rFonts w:hint="default" w:ascii="Times New Roman" w:hAnsi="Times New Roman" w:cs="Times New Roman"/>
          <w:b/>
          <w:bCs/>
          <w:lang w:val="en-US"/>
        </w:rPr>
      </w:pPr>
      <w:r>
        <w:rPr>
          <w:rFonts w:hint="eastAsia" w:ascii="Times New Roman" w:hAnsi="Times New Roman" w:cs="Times New Roman"/>
          <w:b/>
          <w:bCs/>
          <w:lang w:val="en-US" w:eastAsia="zh-CN"/>
        </w:rPr>
        <w:t xml:space="preserve">表7.1.2 </w:t>
      </w:r>
      <w:r>
        <w:rPr>
          <w:rFonts w:hint="default" w:ascii="Times New Roman" w:hAnsi="Times New Roman" w:cs="Times New Roman"/>
          <w:b/>
          <w:bCs/>
          <w:lang w:val="en-US" w:eastAsia="zh-CN"/>
        </w:rPr>
        <w:t>无组织废气监测内容</w:t>
      </w:r>
    </w:p>
    <w:tbl>
      <w:tblPr>
        <w:tblStyle w:val="32"/>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2"/>
        <w:gridCol w:w="2441"/>
        <w:gridCol w:w="2081"/>
        <w:gridCol w:w="2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宋体" w:eastAsia="宋体"/>
                <w:bCs/>
                <w:kern w:val="0"/>
                <w:sz w:val="21"/>
                <w:szCs w:val="21"/>
                <w:vertAlign w:val="baseline"/>
                <w:lang w:val="en-US" w:eastAsia="zh-CN"/>
              </w:rPr>
            </w:pPr>
            <w:bookmarkStart w:id="305" w:name="_Toc9239"/>
            <w:r>
              <w:rPr>
                <w:rFonts w:hint="eastAsia" w:ascii="Times New Roman" w:hAnsi="Times New Roman"/>
                <w:sz w:val="21"/>
                <w:szCs w:val="21"/>
              </w:rPr>
              <w:t>废气名称</w:t>
            </w:r>
          </w:p>
        </w:tc>
        <w:tc>
          <w:tcPr>
            <w:tcW w:w="715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lang w:val="en-US" w:eastAsia="zh-CN"/>
              </w:rPr>
            </w:pPr>
            <w:r>
              <w:rPr>
                <w:rFonts w:hint="eastAsia" w:ascii="Times New Roman" w:hAnsi="宋体"/>
                <w:bCs/>
                <w:kern w:val="0"/>
                <w:sz w:val="21"/>
                <w:szCs w:val="21"/>
                <w:vertAlign w:val="baseline"/>
                <w:lang w:val="en-US" w:eastAsia="zh-CN"/>
              </w:rPr>
              <w:t>厂界无组织废气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rPr>
            </w:pPr>
            <w:r>
              <w:rPr>
                <w:rFonts w:hint="eastAsia" w:ascii="Times New Roman" w:hAnsi="Times New Roman"/>
                <w:sz w:val="21"/>
                <w:szCs w:val="21"/>
              </w:rPr>
              <w:t>监测点位</w:t>
            </w:r>
          </w:p>
        </w:tc>
        <w:tc>
          <w:tcPr>
            <w:tcW w:w="715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宋体" w:eastAsia="宋体"/>
                <w:bCs/>
                <w:kern w:val="0"/>
                <w:sz w:val="21"/>
                <w:szCs w:val="21"/>
                <w:vertAlign w:val="baseline"/>
                <w:lang w:val="en-US" w:eastAsia="zh-CN"/>
              </w:rPr>
            </w:pPr>
            <w:r>
              <w:rPr>
                <w:rFonts w:hint="default" w:ascii="Times New Roman" w:hAnsi="宋体" w:eastAsia="宋体"/>
                <w:bCs/>
                <w:kern w:val="0"/>
                <w:sz w:val="21"/>
                <w:szCs w:val="21"/>
                <w:vertAlign w:val="baseline"/>
                <w:lang w:val="en-US" w:eastAsia="zh-CN"/>
              </w:rPr>
              <w:t>项目区上风向厂界设1个点位、下风向厂界设</w:t>
            </w:r>
            <w:r>
              <w:rPr>
                <w:rFonts w:hint="eastAsia" w:ascii="Times New Roman" w:hAnsi="宋体" w:eastAsia="宋体"/>
                <w:bCs/>
                <w:kern w:val="0"/>
                <w:sz w:val="21"/>
                <w:szCs w:val="21"/>
                <w:vertAlign w:val="baseline"/>
                <w:lang w:val="en-US" w:eastAsia="zh-CN"/>
              </w:rPr>
              <w:t>3</w:t>
            </w:r>
            <w:r>
              <w:rPr>
                <w:rFonts w:hint="default" w:ascii="Times New Roman" w:hAnsi="宋体" w:eastAsia="宋体"/>
                <w:bCs/>
                <w:kern w:val="0"/>
                <w:sz w:val="21"/>
                <w:szCs w:val="21"/>
                <w:vertAlign w:val="baseline"/>
                <w:lang w:val="en-US" w:eastAsia="zh-CN"/>
              </w:rPr>
              <w:t>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rPr>
            </w:pPr>
            <w:r>
              <w:rPr>
                <w:rFonts w:hint="eastAsia" w:ascii="Times New Roman" w:hAnsi="Times New Roman"/>
                <w:sz w:val="21"/>
                <w:szCs w:val="21"/>
              </w:rPr>
              <w:t>监测因子</w:t>
            </w:r>
          </w:p>
        </w:tc>
        <w:tc>
          <w:tcPr>
            <w:tcW w:w="24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eastAsiaTheme="minorEastAsia"/>
                <w:bCs/>
                <w:kern w:val="0"/>
                <w:sz w:val="21"/>
                <w:szCs w:val="21"/>
                <w:vertAlign w:val="baseline"/>
                <w:lang w:val="en-US" w:eastAsia="zh-CN"/>
              </w:rPr>
            </w:pPr>
            <w:r>
              <w:rPr>
                <w:rFonts w:hint="eastAsia" w:ascii="Times New Roman" w:hAnsi="宋体"/>
                <w:bCs/>
                <w:kern w:val="0"/>
                <w:sz w:val="21"/>
                <w:szCs w:val="21"/>
                <w:vertAlign w:val="baseline"/>
                <w:lang w:val="en-US" w:eastAsia="zh-CN"/>
              </w:rPr>
              <w:t>颗粒物</w:t>
            </w:r>
          </w:p>
        </w:tc>
        <w:tc>
          <w:tcPr>
            <w:tcW w:w="20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lang w:val="en-US" w:eastAsia="zh-CN"/>
              </w:rPr>
            </w:pPr>
            <w:r>
              <w:rPr>
                <w:rFonts w:hint="eastAsia" w:ascii="Times New Roman" w:hAnsi="宋体"/>
                <w:bCs/>
                <w:kern w:val="0"/>
                <w:sz w:val="21"/>
                <w:szCs w:val="21"/>
                <w:vertAlign w:val="baseline"/>
                <w:lang w:val="en-US" w:eastAsia="zh-CN"/>
              </w:rPr>
              <w:t>氯化氢</w:t>
            </w:r>
          </w:p>
        </w:tc>
        <w:tc>
          <w:tcPr>
            <w:tcW w:w="263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lang w:val="en-US" w:eastAsia="zh-CN"/>
              </w:rPr>
            </w:pPr>
            <w:r>
              <w:rPr>
                <w:rFonts w:hint="eastAsia" w:ascii="Times New Roman" w:hAnsi="宋体"/>
                <w:bCs/>
                <w:kern w:val="0"/>
                <w:sz w:val="21"/>
                <w:szCs w:val="21"/>
                <w:vertAlign w:val="baseline"/>
                <w:lang w:val="en-US" w:eastAsia="zh-CN"/>
              </w:rPr>
              <w:t>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宋体"/>
                <w:bCs/>
                <w:kern w:val="0"/>
                <w:sz w:val="21"/>
                <w:szCs w:val="21"/>
                <w:vertAlign w:val="baseline"/>
              </w:rPr>
            </w:pPr>
            <w:r>
              <w:rPr>
                <w:rFonts w:hint="eastAsia" w:ascii="Times New Roman" w:hAnsi="Times New Roman"/>
                <w:sz w:val="21"/>
                <w:szCs w:val="21"/>
              </w:rPr>
              <w:t>监测频次</w:t>
            </w:r>
          </w:p>
        </w:tc>
        <w:tc>
          <w:tcPr>
            <w:tcW w:w="715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kern w:val="0"/>
                <w:sz w:val="21"/>
                <w:szCs w:val="21"/>
                <w:vertAlign w:val="baseline"/>
              </w:rPr>
            </w:pPr>
            <w:r>
              <w:rPr>
                <w:rFonts w:hint="default" w:ascii="Times New Roman" w:hAnsi="Times New Roman" w:cs="Times New Roman"/>
                <w:bCs/>
                <w:kern w:val="0"/>
                <w:sz w:val="21"/>
                <w:szCs w:val="21"/>
                <w:vertAlign w:val="baseline"/>
              </w:rPr>
              <w:t>连续监测2天，每天采样3次</w:t>
            </w:r>
          </w:p>
        </w:tc>
      </w:tr>
    </w:tbl>
    <w:p>
      <w:pPr>
        <w:spacing w:line="360" w:lineRule="auto"/>
        <w:jc w:val="left"/>
        <w:outlineLvl w:val="1"/>
        <w:rPr>
          <w:b/>
          <w:sz w:val="28"/>
          <w:szCs w:val="28"/>
        </w:rPr>
      </w:pPr>
      <w:r>
        <w:rPr>
          <w:rFonts w:hint="eastAsia"/>
          <w:b/>
          <w:sz w:val="28"/>
          <w:szCs w:val="28"/>
          <w:lang w:val="en-US" w:eastAsia="zh-CN"/>
        </w:rPr>
        <w:t>7.2</w:t>
      </w:r>
      <w:r>
        <w:rPr>
          <w:b/>
          <w:sz w:val="28"/>
          <w:szCs w:val="28"/>
        </w:rPr>
        <w:t>噪声</w:t>
      </w:r>
      <w:bookmarkEnd w:id="299"/>
      <w:bookmarkEnd w:id="300"/>
      <w:bookmarkEnd w:id="301"/>
      <w:bookmarkEnd w:id="302"/>
      <w:bookmarkEnd w:id="303"/>
      <w:bookmarkEnd w:id="304"/>
      <w:bookmarkEnd w:id="305"/>
    </w:p>
    <w:p>
      <w:pPr>
        <w:pStyle w:val="36"/>
        <w:numPr>
          <w:ilvl w:val="0"/>
          <w:numId w:val="0"/>
        </w:numPr>
        <w:jc w:val="center"/>
        <w:rPr>
          <w:rFonts w:hint="default" w:ascii="Times New Roman" w:hAnsi="Times New Roman" w:cs="Times New Roman"/>
          <w:b/>
          <w:bCs/>
          <w:lang w:val="en-US" w:eastAsia="zh-CN"/>
        </w:rPr>
      </w:pPr>
      <w:r>
        <w:rPr>
          <w:rFonts w:hint="eastAsia" w:ascii="Times New Roman" w:hAnsi="Times New Roman" w:cs="Times New Roman"/>
          <w:b/>
          <w:bCs/>
          <w:lang w:val="en-US" w:eastAsia="zh-CN"/>
        </w:rPr>
        <w:t xml:space="preserve">表7.2 </w:t>
      </w:r>
      <w:r>
        <w:rPr>
          <w:rFonts w:hint="default" w:ascii="Times New Roman" w:hAnsi="Times New Roman" w:cs="Times New Roman"/>
          <w:b/>
          <w:bCs/>
          <w:lang w:val="en-US" w:eastAsia="zh-CN"/>
        </w:rPr>
        <w:t>噪声监测内容</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6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75" w:type="dxa"/>
            <w:noWrap w:val="0"/>
            <w:vAlign w:val="center"/>
          </w:tcPr>
          <w:p>
            <w:pPr>
              <w:jc w:val="center"/>
              <w:rPr>
                <w:rFonts w:ascii="Times New Roman" w:hAnsi="Times New Roman"/>
                <w:szCs w:val="21"/>
              </w:rPr>
            </w:pPr>
            <w:r>
              <w:rPr>
                <w:rFonts w:hint="eastAsia" w:ascii="Times New Roman" w:hAnsi="Times New Roman"/>
                <w:szCs w:val="21"/>
              </w:rPr>
              <w:t>监测点位名称</w:t>
            </w:r>
          </w:p>
        </w:tc>
        <w:tc>
          <w:tcPr>
            <w:tcW w:w="6841" w:type="dxa"/>
            <w:noWrap w:val="0"/>
            <w:vAlign w:val="center"/>
          </w:tcPr>
          <w:p>
            <w:pPr>
              <w:jc w:val="center"/>
              <w:rPr>
                <w:rFonts w:hint="eastAsia" w:ascii="Times New Roman" w:hAnsi="Times New Roman" w:eastAsiaTheme="minorEastAsia"/>
                <w:szCs w:val="21"/>
                <w:lang w:eastAsia="zh-CN"/>
              </w:rPr>
            </w:pPr>
            <w:r>
              <w:rPr>
                <w:rFonts w:hint="eastAsia" w:ascii="Times New Roman" w:hAnsi="Times New Roman"/>
                <w:szCs w:val="21"/>
              </w:rPr>
              <w:t>项目四至厂界</w:t>
            </w:r>
            <w:r>
              <w:rPr>
                <w:rFonts w:hint="eastAsia" w:ascii="Times New Roman" w:hAnsi="Times New Roman"/>
                <w:szCs w:val="21"/>
                <w:lang w:val="en-US" w:eastAsia="zh-CN"/>
              </w:rPr>
              <w:t>1m</w:t>
            </w:r>
            <w:r>
              <w:rPr>
                <w:rFonts w:hint="eastAsia" w:ascii="Times New Roman" w:hAnsi="Times New Roman"/>
                <w:szCs w:val="21"/>
              </w:rPr>
              <w:t>各设1个点位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5" w:type="dxa"/>
            <w:noWrap w:val="0"/>
            <w:vAlign w:val="center"/>
          </w:tcPr>
          <w:p>
            <w:pPr>
              <w:jc w:val="center"/>
              <w:rPr>
                <w:rFonts w:ascii="Times New Roman" w:hAnsi="Times New Roman"/>
                <w:szCs w:val="21"/>
              </w:rPr>
            </w:pPr>
            <w:r>
              <w:rPr>
                <w:rFonts w:hint="eastAsia" w:ascii="Times New Roman" w:hAnsi="Times New Roman"/>
                <w:szCs w:val="21"/>
              </w:rPr>
              <w:t>监测量</w:t>
            </w:r>
          </w:p>
        </w:tc>
        <w:tc>
          <w:tcPr>
            <w:tcW w:w="6841" w:type="dxa"/>
            <w:noWrap w:val="0"/>
            <w:vAlign w:val="center"/>
          </w:tcPr>
          <w:p>
            <w:pPr>
              <w:jc w:val="center"/>
              <w:rPr>
                <w:rFonts w:ascii="Times New Roman" w:hAnsi="Times New Roman"/>
                <w:szCs w:val="21"/>
              </w:rPr>
            </w:pPr>
            <w:r>
              <w:rPr>
                <w:rFonts w:hint="eastAsia" w:ascii="Times New Roman" w:hAnsi="Times New Roman"/>
                <w:szCs w:val="21"/>
              </w:rPr>
              <w:t>LA（eq）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5" w:type="dxa"/>
            <w:noWrap w:val="0"/>
            <w:vAlign w:val="center"/>
          </w:tcPr>
          <w:p>
            <w:pPr>
              <w:jc w:val="center"/>
              <w:rPr>
                <w:rFonts w:ascii="Times New Roman" w:hAnsi="Times New Roman"/>
                <w:szCs w:val="21"/>
              </w:rPr>
            </w:pPr>
            <w:r>
              <w:rPr>
                <w:rFonts w:hint="eastAsia" w:ascii="Times New Roman" w:hAnsi="Times New Roman"/>
                <w:szCs w:val="21"/>
              </w:rPr>
              <w:t>监测频次</w:t>
            </w:r>
          </w:p>
        </w:tc>
        <w:tc>
          <w:tcPr>
            <w:tcW w:w="6841" w:type="dxa"/>
            <w:noWrap w:val="0"/>
            <w:vAlign w:val="center"/>
          </w:tcPr>
          <w:p>
            <w:pPr>
              <w:jc w:val="center"/>
              <w:rPr>
                <w:rFonts w:ascii="Times New Roman" w:hAnsi="Times New Roman"/>
                <w:szCs w:val="21"/>
              </w:rPr>
            </w:pPr>
            <w:r>
              <w:rPr>
                <w:rFonts w:hint="eastAsia" w:ascii="Times New Roman" w:hAnsi="Times New Roman"/>
                <w:szCs w:val="21"/>
              </w:rPr>
              <w:t>连续监测2天，每天</w:t>
            </w:r>
            <w:r>
              <w:rPr>
                <w:rFonts w:hint="eastAsia" w:ascii="Times New Roman" w:hAnsi="Times New Roman"/>
                <w:szCs w:val="21"/>
                <w:highlight w:val="none"/>
              </w:rPr>
              <w:t>昼</w:t>
            </w:r>
            <w:r>
              <w:rPr>
                <w:rFonts w:hint="eastAsia" w:ascii="Times New Roman" w:hAnsi="Times New Roman"/>
                <w:szCs w:val="21"/>
                <w:highlight w:val="none"/>
                <w:lang w:eastAsia="zh-CN"/>
              </w:rPr>
              <w:t>、夜</w:t>
            </w:r>
            <w:r>
              <w:rPr>
                <w:rFonts w:hint="eastAsia" w:ascii="Times New Roman" w:hAnsi="Times New Roman"/>
                <w:szCs w:val="21"/>
                <w:highlight w:val="none"/>
              </w:rPr>
              <w:t>间</w:t>
            </w:r>
            <w:r>
              <w:rPr>
                <w:rFonts w:hint="eastAsia" w:ascii="Times New Roman" w:hAnsi="Times New Roman"/>
                <w:szCs w:val="21"/>
                <w:highlight w:val="none"/>
                <w:lang w:eastAsia="zh-CN"/>
              </w:rPr>
              <w:t>各</w:t>
            </w:r>
            <w:r>
              <w:rPr>
                <w:rFonts w:hint="eastAsia" w:ascii="Times New Roman" w:hAnsi="Times New Roman"/>
                <w:szCs w:val="21"/>
              </w:rPr>
              <w:t>监测</w:t>
            </w:r>
            <w:r>
              <w:rPr>
                <w:rFonts w:hint="eastAsia" w:ascii="Times New Roman" w:hAnsi="Times New Roman"/>
                <w:szCs w:val="21"/>
                <w:lang w:val="en-US" w:eastAsia="zh-CN"/>
              </w:rPr>
              <w:t>1</w:t>
            </w:r>
            <w:r>
              <w:rPr>
                <w:rFonts w:hint="eastAsia" w:ascii="Times New Roman" w:hAnsi="Times New Roman"/>
                <w:szCs w:val="21"/>
              </w:rPr>
              <w:t>次</w:t>
            </w:r>
          </w:p>
        </w:tc>
      </w:tr>
    </w:tbl>
    <w:p>
      <w:pPr>
        <w:spacing w:line="360" w:lineRule="auto"/>
        <w:ind w:firstLine="480" w:firstLineChars="200"/>
        <w:rPr>
          <w:sz w:val="24"/>
        </w:rPr>
      </w:pP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36"/>
              <w:rPr>
                <w:rFonts w:hint="eastAsia" w:eastAsia="宋体"/>
                <w:b/>
                <w:sz w:val="24"/>
                <w:vertAlign w:val="baseline"/>
                <w:lang w:eastAsia="zh-CN"/>
              </w:rPr>
            </w:pPr>
            <w:r>
              <w:drawing>
                <wp:inline distT="0" distB="0" distL="114300" distR="114300">
                  <wp:extent cx="5269865" cy="3588385"/>
                  <wp:effectExtent l="0" t="0" r="6985" b="1206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9"/>
                          <a:stretch>
                            <a:fillRect/>
                          </a:stretch>
                        </pic:blipFill>
                        <pic:spPr>
                          <a:xfrm>
                            <a:off x="0" y="0"/>
                            <a:ext cx="5269865" cy="3588385"/>
                          </a:xfrm>
                          <a:prstGeom prst="rect">
                            <a:avLst/>
                          </a:prstGeom>
                          <a:noFill/>
                          <a:ln>
                            <a:noFill/>
                          </a:ln>
                        </pic:spPr>
                      </pic:pic>
                    </a:graphicData>
                  </a:graphic>
                </wp:inline>
              </w:drawing>
            </w:r>
          </w:p>
        </w:tc>
      </w:tr>
    </w:tbl>
    <w:p>
      <w:pPr>
        <w:spacing w:line="360" w:lineRule="auto"/>
        <w:jc w:val="center"/>
        <w:rPr>
          <w:sz w:val="24"/>
        </w:rPr>
      </w:pPr>
      <w:r>
        <w:rPr>
          <w:rFonts w:hint="eastAsia"/>
          <w:b/>
          <w:sz w:val="24"/>
        </w:rPr>
        <w:t>图7.1   监测点位</w:t>
      </w:r>
      <w:r>
        <w:rPr>
          <w:rFonts w:hint="eastAsia"/>
          <w:b/>
          <w:sz w:val="24"/>
          <w:lang w:eastAsia="zh-CN"/>
        </w:rPr>
        <w:t>示意</w:t>
      </w:r>
      <w:r>
        <w:rPr>
          <w:rFonts w:hint="eastAsia"/>
          <w:b/>
          <w:sz w:val="24"/>
        </w:rPr>
        <w:t>图</w:t>
      </w:r>
    </w:p>
    <w:p>
      <w:pPr>
        <w:pStyle w:val="95"/>
        <w:spacing w:line="360" w:lineRule="auto"/>
        <w:ind w:firstLine="482" w:firstLineChars="200"/>
      </w:pPr>
      <w:r>
        <w:rPr>
          <w:sz w:val="24"/>
        </w:rPr>
        <w:br w:type="page"/>
      </w:r>
      <w:bookmarkStart w:id="306" w:name="_Toc6998"/>
      <w:bookmarkStart w:id="307" w:name="_Toc19896"/>
      <w:bookmarkStart w:id="308" w:name="_Toc515360870"/>
      <w:bookmarkStart w:id="309" w:name="_Toc501715362"/>
      <w:bookmarkStart w:id="310" w:name="_Toc500944460"/>
      <w:bookmarkStart w:id="311" w:name="_Toc515359896"/>
      <w:bookmarkStart w:id="312" w:name="_Toc11664"/>
      <w:bookmarkStart w:id="313" w:name="_Toc10943"/>
      <w:bookmarkStart w:id="314" w:name="_Toc30784"/>
      <w:bookmarkStart w:id="315" w:name="_Toc29497"/>
      <w:bookmarkStart w:id="316" w:name="_Toc500753992"/>
      <w:bookmarkStart w:id="317" w:name="_Toc500598013"/>
      <w:r>
        <w:rPr>
          <w:rFonts w:hint="eastAsia"/>
        </w:rPr>
        <w:t xml:space="preserve">第八章  </w:t>
      </w:r>
      <w:r>
        <w:t>质量保证和质量控制</w:t>
      </w:r>
      <w:bookmarkEnd w:id="306"/>
      <w:bookmarkEnd w:id="307"/>
      <w:bookmarkEnd w:id="308"/>
      <w:bookmarkEnd w:id="309"/>
      <w:bookmarkEnd w:id="310"/>
      <w:bookmarkEnd w:id="311"/>
      <w:bookmarkEnd w:id="312"/>
      <w:bookmarkEnd w:id="313"/>
      <w:bookmarkEnd w:id="314"/>
      <w:bookmarkEnd w:id="315"/>
    </w:p>
    <w:bookmarkEnd w:id="316"/>
    <w:bookmarkEnd w:id="317"/>
    <w:p>
      <w:pPr>
        <w:pStyle w:val="86"/>
        <w:jc w:val="left"/>
        <w:outlineLvl w:val="1"/>
        <w:rPr>
          <w:b/>
        </w:rPr>
      </w:pPr>
      <w:bookmarkStart w:id="318" w:name="_Toc7825"/>
      <w:bookmarkStart w:id="319" w:name="_Toc9847"/>
      <w:bookmarkStart w:id="320" w:name="_Toc20184"/>
      <w:bookmarkStart w:id="321" w:name="_Toc26236"/>
      <w:bookmarkStart w:id="322" w:name="_Toc20134"/>
      <w:bookmarkStart w:id="323" w:name="_Toc11869"/>
      <w:r>
        <w:rPr>
          <w:rFonts w:hint="eastAsia"/>
          <w:b/>
        </w:rPr>
        <w:t>8.</w:t>
      </w:r>
      <w:r>
        <w:rPr>
          <w:rFonts w:hint="eastAsia"/>
          <w:b/>
          <w:lang w:val="en-US" w:eastAsia="zh-CN"/>
        </w:rPr>
        <w:t>1</w:t>
      </w:r>
      <w:r>
        <w:rPr>
          <w:b/>
        </w:rPr>
        <w:t>检测方法和依据</w:t>
      </w:r>
      <w:bookmarkEnd w:id="318"/>
      <w:bookmarkEnd w:id="319"/>
      <w:bookmarkEnd w:id="320"/>
      <w:bookmarkEnd w:id="321"/>
      <w:bookmarkEnd w:id="322"/>
      <w:bookmarkEnd w:id="323"/>
    </w:p>
    <w:p>
      <w:pPr>
        <w:jc w:val="center"/>
        <w:rPr>
          <w:b/>
          <w:bCs/>
          <w:sz w:val="24"/>
          <w:szCs w:val="32"/>
        </w:rPr>
      </w:pPr>
      <w:r>
        <w:rPr>
          <w:rFonts w:hint="eastAsia" w:ascii="Times New Roman" w:hAnsi="Times New Roman" w:eastAsia="宋体" w:cs="Times New Roman"/>
          <w:b/>
          <w:bCs/>
          <w:sz w:val="24"/>
          <w:szCs w:val="32"/>
        </w:rPr>
        <w:t xml:space="preserve">表8.1 </w:t>
      </w:r>
      <w:bookmarkStart w:id="324" w:name="_Toc25009"/>
      <w:bookmarkStart w:id="325" w:name="_Toc7881"/>
      <w:bookmarkStart w:id="326" w:name="_Toc5266"/>
      <w:bookmarkStart w:id="327" w:name="_Toc22959"/>
      <w:bookmarkStart w:id="328" w:name="_Toc22002"/>
      <w:bookmarkStart w:id="329" w:name="_Toc5613"/>
      <w:bookmarkStart w:id="330" w:name="_Toc515359899"/>
      <w:bookmarkStart w:id="331" w:name="_Toc515360873"/>
      <w:r>
        <w:rPr>
          <w:rFonts w:hint="eastAsia"/>
          <w:b/>
          <w:bCs/>
          <w:sz w:val="24"/>
          <w:szCs w:val="32"/>
          <w:lang w:eastAsia="zh-CN"/>
        </w:rPr>
        <w:t>废气、噪声</w:t>
      </w:r>
      <w:r>
        <w:rPr>
          <w:rFonts w:hint="eastAsia"/>
          <w:b/>
          <w:bCs/>
          <w:sz w:val="24"/>
          <w:szCs w:val="32"/>
        </w:rPr>
        <w:t>监测分析方法一览表</w:t>
      </w:r>
      <w:bookmarkEnd w:id="324"/>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5"/>
        <w:gridCol w:w="1344"/>
        <w:gridCol w:w="3861"/>
        <w:gridCol w:w="2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84"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lang w:eastAsia="zh-CN"/>
              </w:rPr>
              <w:t>样品类型</w:t>
            </w:r>
          </w:p>
        </w:tc>
        <w:tc>
          <w:tcPr>
            <w:tcW w:w="789"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检测项目</w:t>
            </w:r>
          </w:p>
        </w:tc>
        <w:tc>
          <w:tcPr>
            <w:tcW w:w="2267"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lang w:eastAsia="zh-CN"/>
              </w:rPr>
              <w:t>分析方法</w:t>
            </w:r>
          </w:p>
        </w:tc>
        <w:tc>
          <w:tcPr>
            <w:tcW w:w="1258"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检出限或最低检出浓度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4" w:type="pct"/>
            <w:vMerge w:val="restar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lang w:eastAsia="zh-CN"/>
              </w:rPr>
              <w:t>有组织废气</w:t>
            </w:r>
          </w:p>
        </w:tc>
        <w:tc>
          <w:tcPr>
            <w:tcW w:w="789" w:type="pct"/>
            <w:tcBorders>
              <w:tl2br w:val="nil"/>
              <w:tr2bl w:val="nil"/>
            </w:tcBorders>
            <w:vAlign w:val="center"/>
          </w:tcPr>
          <w:p>
            <w:pPr>
              <w:ind w:left="0" w:leftChars="0" w:right="0" w:rightChars="0"/>
              <w:jc w:val="center"/>
              <w:rPr>
                <w:rFonts w:hint="default" w:ascii="Times New Roman" w:hAnsi="Times New Roman" w:eastAsia="宋体" w:cs="Times New Roman"/>
                <w:sz w:val="21"/>
                <w:szCs w:val="21"/>
                <w:vertAlign w:val="baseline"/>
                <w:lang w:val="en-US" w:eastAsia="zh-CN" w:bidi="zh-CN"/>
              </w:rPr>
            </w:pPr>
            <w:r>
              <w:rPr>
                <w:rFonts w:hint="default" w:ascii="Times New Roman" w:hAnsi="Times New Roman" w:eastAsia="宋体" w:cs="Times New Roman"/>
                <w:kern w:val="2"/>
                <w:sz w:val="21"/>
                <w:szCs w:val="21"/>
                <w:lang w:eastAsia="zh-CN"/>
              </w:rPr>
              <w:t>颗粒物</w:t>
            </w:r>
          </w:p>
        </w:tc>
        <w:tc>
          <w:tcPr>
            <w:tcW w:w="2267"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bidi="zh-CN"/>
              </w:rPr>
            </w:pPr>
            <w:r>
              <w:rPr>
                <w:rFonts w:hint="default" w:ascii="Times New Roman" w:hAnsi="Times New Roman" w:eastAsia="宋体" w:cs="Times New Roman"/>
                <w:kern w:val="2"/>
                <w:sz w:val="21"/>
                <w:szCs w:val="21"/>
                <w:lang w:val="en-US" w:eastAsia="zh-CN"/>
              </w:rPr>
              <w:t>《固定污染源排气中颗粒物测定与气态污染物采样方法》GB/T 16157-1996及修改单</w:t>
            </w:r>
          </w:p>
        </w:tc>
        <w:tc>
          <w:tcPr>
            <w:tcW w:w="1258" w:type="pct"/>
            <w:tcBorders>
              <w:tl2br w:val="nil"/>
              <w:tr2bl w:val="nil"/>
            </w:tcBorders>
            <w:vAlign w:val="center"/>
          </w:tcPr>
          <w:p>
            <w:pPr>
              <w:ind w:left="0" w:leftChars="0" w:right="0" w:rightChars="0"/>
              <w:jc w:val="center"/>
              <w:rPr>
                <w:rFonts w:hint="default" w:ascii="Times New Roman" w:hAnsi="Times New Roman" w:eastAsia="宋体" w:cs="Times New Roman"/>
                <w:sz w:val="21"/>
                <w:szCs w:val="21"/>
                <w:vertAlign w:val="baseline"/>
                <w:lang w:val="en-US" w:eastAsia="zh-CN" w:bidi="zh-CN"/>
              </w:rPr>
            </w:pPr>
            <w:r>
              <w:rPr>
                <w:rFonts w:hint="default" w:ascii="Times New Roman" w:hAnsi="Times New Roman" w:eastAsia="宋体" w:cs="Times New Roman"/>
                <w:kern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4" w:type="pct"/>
            <w:vMerge w:val="continue"/>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eastAsia="zh-CN"/>
              </w:rPr>
            </w:pPr>
          </w:p>
        </w:tc>
        <w:tc>
          <w:tcPr>
            <w:tcW w:w="789"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低浓度颗粒物</w:t>
            </w:r>
          </w:p>
        </w:tc>
        <w:tc>
          <w:tcPr>
            <w:tcW w:w="2267"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《固定污染源废气 低浓度颗粒物的测定 重量法》HJ 836-2017</w:t>
            </w:r>
          </w:p>
        </w:tc>
        <w:tc>
          <w:tcPr>
            <w:tcW w:w="1258"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1.0mg/m</w:t>
            </w:r>
            <w:r>
              <w:rPr>
                <w:rFonts w:hint="default" w:ascii="Times New Roman" w:hAnsi="Times New Roman" w:eastAsia="宋体" w:cs="Times New Roman"/>
                <w:kern w:val="2"/>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4" w:type="pct"/>
            <w:vMerge w:val="continue"/>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eastAsia="zh-CN"/>
              </w:rPr>
            </w:pPr>
          </w:p>
        </w:tc>
        <w:tc>
          <w:tcPr>
            <w:tcW w:w="789"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bidi="zh-CN"/>
              </w:rPr>
            </w:pPr>
            <w:r>
              <w:rPr>
                <w:rFonts w:hint="default" w:ascii="Times New Roman" w:hAnsi="Times New Roman" w:eastAsia="宋体" w:cs="Times New Roman"/>
                <w:sz w:val="21"/>
                <w:szCs w:val="21"/>
                <w:vertAlign w:val="baseline"/>
                <w:lang w:val="en-US" w:eastAsia="zh-CN"/>
              </w:rPr>
              <w:t>氯化氢</w:t>
            </w:r>
          </w:p>
        </w:tc>
        <w:tc>
          <w:tcPr>
            <w:tcW w:w="2267" w:type="pct"/>
            <w:tcBorders>
              <w:tl2br w:val="nil"/>
              <w:tr2bl w:val="nil"/>
            </w:tcBorders>
            <w:vAlign w:val="center"/>
          </w:tcPr>
          <w:p>
            <w:pPr>
              <w:snapToGrid w:val="0"/>
              <w:ind w:left="0" w:leftChars="0" w:right="0" w:rightChars="0"/>
              <w:jc w:val="center"/>
              <w:rPr>
                <w:rFonts w:hint="default" w:ascii="Times New Roman" w:hAnsi="Times New Roman" w:eastAsia="宋体" w:cs="Times New Roman"/>
                <w:kern w:val="2"/>
                <w:sz w:val="21"/>
                <w:szCs w:val="21"/>
                <w:lang w:val="en-US" w:eastAsia="zh-CN" w:bidi="zh-CN"/>
              </w:rPr>
            </w:pP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sz w:val="21"/>
                <w:szCs w:val="21"/>
                <w:vertAlign w:val="baseline"/>
              </w:rPr>
              <w:t>固定污染源排气中氯化氢的测定 硫氰酸汞分光光度法</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sz w:val="21"/>
                <w:szCs w:val="21"/>
                <w:vertAlign w:val="baseline"/>
              </w:rPr>
              <w:t>HJ</w:t>
            </w:r>
            <w:r>
              <w:rPr>
                <w:rFonts w:hint="default"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rPr>
              <w:t>T 27-1999</w:t>
            </w:r>
          </w:p>
        </w:tc>
        <w:tc>
          <w:tcPr>
            <w:tcW w:w="1258"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bidi="zh-CN"/>
              </w:rPr>
            </w:pPr>
            <w:r>
              <w:rPr>
                <w:rFonts w:hint="default" w:ascii="Times New Roman" w:hAnsi="Times New Roman" w:eastAsia="宋体" w:cs="Times New Roman"/>
                <w:sz w:val="21"/>
                <w:szCs w:val="21"/>
                <w:vertAlign w:val="baseline"/>
                <w:lang w:val="en-US" w:eastAsia="zh-CN"/>
              </w:rPr>
              <w:t>0.9mg/m</w:t>
            </w:r>
            <w:r>
              <w:rPr>
                <w:rFonts w:hint="default" w:ascii="Times New Roman" w:hAnsi="Times New Roman" w:eastAsia="宋体" w:cs="Times New Roman"/>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4" w:type="pct"/>
            <w:vMerge w:val="continue"/>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eastAsia="zh-CN"/>
              </w:rPr>
            </w:pPr>
          </w:p>
        </w:tc>
        <w:tc>
          <w:tcPr>
            <w:tcW w:w="789" w:type="pct"/>
            <w:tcBorders>
              <w:tl2br w:val="nil"/>
              <w:tr2bl w:val="nil"/>
            </w:tcBorders>
            <w:vAlign w:val="center"/>
          </w:tcPr>
          <w:p>
            <w:pPr>
              <w:ind w:left="0" w:leftChars="0" w:right="0" w:rightChars="0"/>
              <w:jc w:val="center"/>
              <w:rPr>
                <w:rFonts w:hint="default" w:ascii="Times New Roman" w:hAnsi="Times New Roman" w:eastAsia="宋体" w:cs="Times New Roman"/>
                <w:sz w:val="21"/>
                <w:szCs w:val="21"/>
                <w:vertAlign w:val="baseline"/>
                <w:lang w:val="en-US" w:eastAsia="zh-CN" w:bidi="zh-CN"/>
              </w:rPr>
            </w:pPr>
            <w:r>
              <w:rPr>
                <w:rFonts w:hint="default" w:ascii="Times New Roman" w:hAnsi="Times New Roman" w:eastAsia="宋体" w:cs="Times New Roman"/>
                <w:color w:val="auto"/>
                <w:kern w:val="2"/>
                <w:sz w:val="21"/>
                <w:szCs w:val="21"/>
                <w:lang w:eastAsia="zh-CN"/>
              </w:rPr>
              <w:t>氨</w:t>
            </w:r>
          </w:p>
        </w:tc>
        <w:tc>
          <w:tcPr>
            <w:tcW w:w="2267"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bidi="zh-CN"/>
              </w:rPr>
            </w:pPr>
            <w:r>
              <w:rPr>
                <w:rFonts w:hint="default" w:ascii="Times New Roman" w:hAnsi="Times New Roman" w:eastAsia="宋体" w:cs="Times New Roman"/>
                <w:kern w:val="2"/>
                <w:sz w:val="21"/>
                <w:szCs w:val="21"/>
                <w:lang w:val="en-US" w:eastAsia="zh-CN"/>
              </w:rPr>
              <w:t>《环境空气和废气 氨的测定 纳氏试剂分光光度法》HJ 533-2009</w:t>
            </w:r>
          </w:p>
        </w:tc>
        <w:tc>
          <w:tcPr>
            <w:tcW w:w="1258" w:type="pct"/>
            <w:tcBorders>
              <w:tl2br w:val="nil"/>
              <w:tr2bl w:val="nil"/>
            </w:tcBorders>
            <w:vAlign w:val="center"/>
          </w:tcPr>
          <w:p>
            <w:pPr>
              <w:ind w:left="0" w:leftChars="0" w:right="0" w:rightChars="0"/>
              <w:jc w:val="center"/>
              <w:rPr>
                <w:rFonts w:hint="default" w:ascii="Times New Roman" w:hAnsi="Times New Roman" w:eastAsia="宋体" w:cs="Times New Roman"/>
                <w:sz w:val="21"/>
                <w:szCs w:val="21"/>
                <w:vertAlign w:val="baseline"/>
                <w:lang w:val="en-US" w:eastAsia="zh-CN" w:bidi="zh-CN"/>
              </w:rPr>
            </w:pPr>
            <w:r>
              <w:rPr>
                <w:rFonts w:hint="default" w:ascii="Times New Roman" w:hAnsi="Times New Roman" w:eastAsia="宋体" w:cs="Times New Roman"/>
                <w:color w:val="auto"/>
                <w:kern w:val="2"/>
                <w:sz w:val="21"/>
                <w:szCs w:val="21"/>
                <w:lang w:val="en-US" w:eastAsia="zh-CN"/>
              </w:rPr>
              <w:t>0.25mg/m</w:t>
            </w:r>
            <w:r>
              <w:rPr>
                <w:rFonts w:hint="default" w:ascii="Times New Roman" w:hAnsi="Times New Roman" w:eastAsia="宋体" w:cs="Times New Roman"/>
                <w:color w:val="auto"/>
                <w:kern w:val="2"/>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4" w:type="pct"/>
            <w:vMerge w:val="continue"/>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eastAsia="zh-CN"/>
              </w:rPr>
            </w:pPr>
          </w:p>
        </w:tc>
        <w:tc>
          <w:tcPr>
            <w:tcW w:w="789"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二氧化硫</w:t>
            </w:r>
          </w:p>
        </w:tc>
        <w:tc>
          <w:tcPr>
            <w:tcW w:w="2267"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《固定污染源废气 二氧化硫的测定 定电位电解法》HJ 57-2017</w:t>
            </w:r>
          </w:p>
        </w:tc>
        <w:tc>
          <w:tcPr>
            <w:tcW w:w="1258"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3mg/m</w:t>
            </w:r>
            <w:r>
              <w:rPr>
                <w:rFonts w:hint="default" w:ascii="Times New Roman" w:hAnsi="Times New Roman" w:eastAsia="宋体" w:cs="Times New Roman"/>
                <w:color w:val="auto"/>
                <w:kern w:val="2"/>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4" w:type="pct"/>
            <w:vMerge w:val="continue"/>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eastAsia="zh-CN"/>
              </w:rPr>
            </w:pPr>
          </w:p>
        </w:tc>
        <w:tc>
          <w:tcPr>
            <w:tcW w:w="789"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t>氮氧化物</w:t>
            </w:r>
          </w:p>
        </w:tc>
        <w:tc>
          <w:tcPr>
            <w:tcW w:w="2267"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《固定污染源废气 氮氧化物的测定 定电位电解法》HJ 693-2014</w:t>
            </w:r>
          </w:p>
        </w:tc>
        <w:tc>
          <w:tcPr>
            <w:tcW w:w="1258"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t>3mg/m</w:t>
            </w:r>
            <w:r>
              <w:rPr>
                <w:rFonts w:hint="default" w:ascii="Times New Roman" w:hAnsi="Times New Roman" w:eastAsia="宋体" w:cs="Times New Roman"/>
                <w:color w:val="000000" w:themeColor="text1"/>
                <w:kern w:val="2"/>
                <w:sz w:val="21"/>
                <w:szCs w:val="21"/>
                <w:vertAlign w:val="superscript"/>
                <w:lang w:val="en-US" w:eastAsia="zh-CN"/>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4" w:type="pct"/>
            <w:vMerge w:val="restar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lang w:eastAsia="zh-CN"/>
              </w:rPr>
              <w:t>无组织废气</w:t>
            </w:r>
          </w:p>
        </w:tc>
        <w:tc>
          <w:tcPr>
            <w:tcW w:w="789"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bidi="zh-CN"/>
              </w:rPr>
            </w:pPr>
            <w:r>
              <w:rPr>
                <w:rFonts w:hint="default" w:ascii="Times New Roman" w:hAnsi="Times New Roman" w:eastAsia="宋体" w:cs="Times New Roman"/>
                <w:sz w:val="21"/>
                <w:szCs w:val="21"/>
                <w:vertAlign w:val="baseline"/>
                <w:lang w:eastAsia="zh-CN"/>
              </w:rPr>
              <w:t>总悬浮</w:t>
            </w:r>
            <w:r>
              <w:rPr>
                <w:rFonts w:hint="default" w:ascii="Times New Roman" w:hAnsi="Times New Roman" w:eastAsia="宋体" w:cs="Times New Roman"/>
                <w:kern w:val="2"/>
                <w:sz w:val="21"/>
                <w:szCs w:val="21"/>
                <w:lang w:eastAsia="zh-CN"/>
              </w:rPr>
              <w:t>颗粒物</w:t>
            </w:r>
          </w:p>
        </w:tc>
        <w:tc>
          <w:tcPr>
            <w:tcW w:w="2267"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w:t>
            </w:r>
            <w:r>
              <w:rPr>
                <w:rFonts w:hint="default" w:ascii="Times New Roman" w:hAnsi="Times New Roman" w:eastAsia="宋体" w:cs="Times New Roman"/>
                <w:sz w:val="21"/>
                <w:szCs w:val="21"/>
                <w:vertAlign w:val="baseline"/>
                <w:lang w:eastAsia="zh-CN"/>
              </w:rPr>
              <w:t>环境空气 总悬浮颗粒物的测定 重量法</w:t>
            </w:r>
            <w:r>
              <w:rPr>
                <w:rFonts w:hint="default" w:ascii="Times New Roman" w:hAnsi="Times New Roman" w:eastAsia="宋体" w:cs="Times New Roman"/>
                <w:kern w:val="2"/>
                <w:sz w:val="21"/>
                <w:szCs w:val="21"/>
                <w:lang w:val="en-US" w:eastAsia="zh-CN"/>
              </w:rPr>
              <w:t>》</w:t>
            </w:r>
          </w:p>
          <w:p>
            <w:pPr>
              <w:ind w:left="0" w:leftChars="0" w:right="0" w:rightChars="0"/>
              <w:jc w:val="center"/>
              <w:rPr>
                <w:rFonts w:hint="default" w:ascii="Times New Roman" w:hAnsi="Times New Roman" w:eastAsia="宋体" w:cs="Times New Roman"/>
                <w:kern w:val="2"/>
                <w:sz w:val="21"/>
                <w:szCs w:val="21"/>
                <w:lang w:val="en-US" w:eastAsia="zh-CN" w:bidi="zh-CN"/>
              </w:rPr>
            </w:pPr>
            <w:r>
              <w:rPr>
                <w:rFonts w:hint="default" w:ascii="Times New Roman" w:hAnsi="Times New Roman" w:eastAsia="宋体" w:cs="Times New Roman"/>
                <w:sz w:val="21"/>
                <w:szCs w:val="21"/>
                <w:vertAlign w:val="baseline"/>
                <w:lang w:eastAsia="zh-CN"/>
              </w:rPr>
              <w:t>HJ 1263-2022</w:t>
            </w:r>
          </w:p>
        </w:tc>
        <w:tc>
          <w:tcPr>
            <w:tcW w:w="1258"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bidi="zh-CN"/>
              </w:rPr>
            </w:pPr>
            <w:r>
              <w:rPr>
                <w:rFonts w:hint="default" w:ascii="Times New Roman" w:hAnsi="Times New Roman" w:eastAsia="宋体" w:cs="Times New Roman"/>
                <w:sz w:val="21"/>
                <w:szCs w:val="21"/>
                <w:vertAlign w:val="baseline"/>
                <w:lang w:val="en-US" w:eastAsia="zh-CN"/>
              </w:rPr>
              <w:t>7μg/m</w:t>
            </w:r>
            <w:r>
              <w:rPr>
                <w:rFonts w:hint="default" w:ascii="Times New Roman" w:hAnsi="Times New Roman" w:eastAsia="宋体" w:cs="Times New Roman"/>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4" w:type="pct"/>
            <w:vMerge w:val="continue"/>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eastAsia="zh-CN"/>
              </w:rPr>
            </w:pPr>
          </w:p>
        </w:tc>
        <w:tc>
          <w:tcPr>
            <w:tcW w:w="789" w:type="pct"/>
            <w:tcBorders>
              <w:tl2br w:val="nil"/>
              <w:tr2bl w:val="nil"/>
            </w:tcBorders>
            <w:vAlign w:val="center"/>
          </w:tcPr>
          <w:p>
            <w:pPr>
              <w:ind w:left="0" w:leftChars="0" w:right="0" w:rightChars="0"/>
              <w:jc w:val="center"/>
              <w:rPr>
                <w:rFonts w:hint="default" w:ascii="Times New Roman" w:hAnsi="Times New Roman" w:eastAsia="宋体" w:cs="Times New Roman"/>
                <w:color w:val="000000" w:themeColor="text1"/>
                <w:kern w:val="2"/>
                <w:sz w:val="21"/>
                <w:szCs w:val="21"/>
                <w:lang w:val="en-US" w:eastAsia="zh-CN" w:bidi="zh-CN"/>
                <w14:textFill>
                  <w14:solidFill>
                    <w14:schemeClr w14:val="tx1"/>
                  </w14:solidFill>
                </w14:textFill>
              </w:rPr>
            </w:pPr>
            <w:r>
              <w:rPr>
                <w:rFonts w:hint="default" w:ascii="Times New Roman" w:hAnsi="Times New Roman" w:eastAsia="宋体" w:cs="Times New Roman"/>
                <w:sz w:val="21"/>
                <w:szCs w:val="21"/>
                <w:vertAlign w:val="baseline"/>
                <w:lang w:val="en-US" w:eastAsia="zh-CN"/>
              </w:rPr>
              <w:t>氨</w:t>
            </w:r>
          </w:p>
        </w:tc>
        <w:tc>
          <w:tcPr>
            <w:tcW w:w="2267" w:type="pct"/>
            <w:tcBorders>
              <w:tl2br w:val="nil"/>
              <w:tr2bl w:val="nil"/>
            </w:tcBorders>
            <w:vAlign w:val="center"/>
          </w:tcPr>
          <w:p>
            <w:pPr>
              <w:snapToGrid w:val="0"/>
              <w:ind w:left="0" w:leftChars="0" w:right="0" w:rightChars="0"/>
              <w:jc w:val="center"/>
              <w:rPr>
                <w:rFonts w:hint="default" w:ascii="Times New Roman" w:hAnsi="Times New Roman" w:eastAsia="宋体" w:cs="Times New Roman"/>
                <w:kern w:val="2"/>
                <w:sz w:val="21"/>
                <w:szCs w:val="21"/>
                <w:lang w:val="en-US" w:eastAsia="zh-CN" w:bidi="zh-CN"/>
              </w:rPr>
            </w:pPr>
            <w:r>
              <w:rPr>
                <w:rFonts w:hint="default" w:ascii="Times New Roman" w:hAnsi="Times New Roman" w:eastAsia="宋体" w:cs="Times New Roman"/>
                <w:kern w:val="2"/>
                <w:sz w:val="21"/>
                <w:szCs w:val="21"/>
                <w:lang w:val="en-US" w:eastAsia="zh-CN"/>
              </w:rPr>
              <w:t>《</w:t>
            </w:r>
            <w:r>
              <w:rPr>
                <w:rFonts w:hint="default" w:ascii="Times New Roman" w:hAnsi="Times New Roman" w:eastAsia="宋体" w:cs="Times New Roman"/>
                <w:sz w:val="21"/>
                <w:szCs w:val="21"/>
                <w:vertAlign w:val="baseline"/>
                <w:lang w:eastAsia="zh-CN"/>
              </w:rPr>
              <w:t>环境空气 氨的测定 次氯酸钠-水杨酸分光光度法</w:t>
            </w:r>
            <w:r>
              <w:rPr>
                <w:rFonts w:hint="default" w:ascii="Times New Roman" w:hAnsi="Times New Roman" w:eastAsia="宋体" w:cs="Times New Roman"/>
                <w:kern w:val="2"/>
                <w:sz w:val="21"/>
                <w:szCs w:val="21"/>
                <w:lang w:val="en-US" w:eastAsia="zh-CN"/>
              </w:rPr>
              <w:t>》</w:t>
            </w:r>
            <w:r>
              <w:rPr>
                <w:rFonts w:hint="default" w:ascii="Times New Roman" w:hAnsi="Times New Roman" w:eastAsia="宋体" w:cs="Times New Roman"/>
                <w:sz w:val="21"/>
                <w:szCs w:val="21"/>
                <w:vertAlign w:val="baseline"/>
                <w:lang w:val="en-US" w:eastAsia="zh-CN"/>
              </w:rPr>
              <w:t xml:space="preserve"> </w:t>
            </w:r>
            <w:r>
              <w:rPr>
                <w:rFonts w:hint="default" w:ascii="Times New Roman" w:hAnsi="Times New Roman" w:eastAsia="宋体" w:cs="Times New Roman"/>
                <w:sz w:val="21"/>
                <w:szCs w:val="21"/>
                <w:vertAlign w:val="baseline"/>
                <w:lang w:eastAsia="zh-CN"/>
              </w:rPr>
              <w:t xml:space="preserve">HJ 534-2009 </w:t>
            </w:r>
          </w:p>
        </w:tc>
        <w:tc>
          <w:tcPr>
            <w:tcW w:w="1258"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sz w:val="21"/>
                <w:szCs w:val="21"/>
                <w:vertAlign w:val="baseline"/>
                <w:lang w:val="en-US" w:eastAsia="zh-CN"/>
              </w:rPr>
              <w:t>0.025mg/m</w:t>
            </w:r>
            <w:r>
              <w:rPr>
                <w:rFonts w:hint="default" w:ascii="Times New Roman" w:hAnsi="Times New Roman" w:eastAsia="宋体" w:cs="Times New Roman"/>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4" w:type="pct"/>
            <w:vMerge w:val="continue"/>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rPr>
            </w:pPr>
          </w:p>
        </w:tc>
        <w:tc>
          <w:tcPr>
            <w:tcW w:w="789" w:type="pct"/>
            <w:tcBorders>
              <w:tl2br w:val="nil"/>
              <w:tr2bl w:val="nil"/>
            </w:tcBorders>
            <w:vAlign w:val="center"/>
          </w:tcPr>
          <w:p>
            <w:pPr>
              <w:ind w:left="0" w:leftChars="0" w:right="0" w:rightChars="0"/>
              <w:jc w:val="center"/>
              <w:rPr>
                <w:rFonts w:hint="default" w:ascii="Times New Roman" w:hAnsi="Times New Roman" w:eastAsia="宋体" w:cs="Times New Roman"/>
                <w:sz w:val="21"/>
                <w:szCs w:val="21"/>
                <w:vertAlign w:val="baseline"/>
                <w:lang w:val="en-US" w:eastAsia="zh-CN" w:bidi="zh-CN"/>
              </w:rPr>
            </w:pPr>
            <w:r>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t>氯化氢</w:t>
            </w:r>
          </w:p>
        </w:tc>
        <w:tc>
          <w:tcPr>
            <w:tcW w:w="2267" w:type="pct"/>
            <w:tcBorders>
              <w:tl2br w:val="nil"/>
              <w:tr2bl w:val="nil"/>
            </w:tcBorders>
            <w:vAlign w:val="center"/>
          </w:tcPr>
          <w:p>
            <w:pPr>
              <w:ind w:left="0" w:leftChars="0" w:right="0" w:rightChars="0"/>
              <w:jc w:val="center"/>
              <w:rPr>
                <w:rFonts w:hint="default" w:ascii="Times New Roman" w:hAnsi="Times New Roman" w:eastAsia="宋体" w:cs="Times New Roman"/>
                <w:sz w:val="21"/>
                <w:szCs w:val="21"/>
                <w:vertAlign w:val="baseline"/>
                <w:lang w:val="en-US" w:eastAsia="zh-CN" w:bidi="zh-CN"/>
              </w:rPr>
            </w:pPr>
            <w:r>
              <w:rPr>
                <w:rFonts w:hint="default" w:ascii="Times New Roman" w:hAnsi="Times New Roman" w:eastAsia="宋体" w:cs="Times New Roman"/>
                <w:kern w:val="2"/>
                <w:sz w:val="21"/>
                <w:szCs w:val="21"/>
                <w:lang w:val="en-US" w:eastAsia="zh-CN"/>
              </w:rPr>
              <w:t>《</w:t>
            </w:r>
            <w:r>
              <w:rPr>
                <w:rFonts w:hint="default" w:ascii="Times New Roman" w:hAnsi="Times New Roman" w:eastAsia="宋体" w:cs="Times New Roman"/>
                <w:sz w:val="21"/>
                <w:szCs w:val="21"/>
                <w:vertAlign w:val="baseline"/>
              </w:rPr>
              <w:t>固定污染源排气中氯化氢的测定 硫氰酸汞分光光度法</w:t>
            </w:r>
            <w:r>
              <w:rPr>
                <w:rFonts w:hint="default" w:ascii="Times New Roman" w:hAnsi="Times New Roman" w:eastAsia="宋体" w:cs="Times New Roman"/>
                <w:kern w:val="2"/>
                <w:sz w:val="21"/>
                <w:szCs w:val="21"/>
                <w:lang w:val="en-US" w:eastAsia="zh-CN"/>
              </w:rPr>
              <w:t>》</w:t>
            </w:r>
            <w:r>
              <w:rPr>
                <w:rFonts w:hint="default" w:ascii="Times New Roman" w:hAnsi="Times New Roman" w:eastAsia="宋体" w:cs="Times New Roman"/>
                <w:sz w:val="21"/>
                <w:szCs w:val="21"/>
                <w:vertAlign w:val="baseline"/>
              </w:rPr>
              <w:t>HJ</w:t>
            </w:r>
            <w:r>
              <w:rPr>
                <w:rFonts w:hint="default"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rPr>
              <w:t xml:space="preserve">T 27-1999 </w:t>
            </w:r>
          </w:p>
        </w:tc>
        <w:tc>
          <w:tcPr>
            <w:tcW w:w="1258" w:type="pct"/>
            <w:tcBorders>
              <w:tl2br w:val="nil"/>
              <w:tr2bl w:val="nil"/>
            </w:tcBorders>
            <w:vAlign w:val="center"/>
          </w:tcPr>
          <w:p>
            <w:pPr>
              <w:ind w:left="0" w:leftChars="0" w:right="0" w:rightChars="0"/>
              <w:jc w:val="center"/>
              <w:rPr>
                <w:rFonts w:hint="default" w:ascii="Times New Roman" w:hAnsi="Times New Roman" w:eastAsia="宋体" w:cs="Times New Roman"/>
                <w:sz w:val="21"/>
                <w:szCs w:val="21"/>
                <w:vertAlign w:val="baseline"/>
                <w:lang w:val="en-US" w:eastAsia="zh-CN" w:bidi="zh-CN"/>
              </w:rPr>
            </w:pPr>
            <w:r>
              <w:rPr>
                <w:rFonts w:hint="default" w:ascii="Times New Roman" w:hAnsi="Times New Roman" w:eastAsia="宋体" w:cs="Times New Roman"/>
                <w:sz w:val="21"/>
                <w:szCs w:val="21"/>
                <w:vertAlign w:val="baseline"/>
                <w:lang w:val="en-US" w:eastAsia="zh-CN"/>
              </w:rPr>
              <w:t>0.05mg/m</w:t>
            </w:r>
            <w:r>
              <w:rPr>
                <w:rFonts w:hint="default" w:ascii="Times New Roman" w:hAnsi="Times New Roman" w:eastAsia="宋体" w:cs="Times New Roman"/>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4" w:type="pct"/>
            <w:tcBorders>
              <w:tl2br w:val="nil"/>
              <w:tr2bl w:val="nil"/>
            </w:tcBorders>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zh-CN" w:eastAsia="zh-CN" w:bidi="zh-CN"/>
              </w:rPr>
            </w:pPr>
            <w:r>
              <w:rPr>
                <w:rFonts w:hint="default" w:ascii="Times New Roman" w:hAnsi="Times New Roman" w:eastAsia="宋体" w:cs="Times New Roman"/>
                <w:b w:val="0"/>
                <w:bCs w:val="0"/>
                <w:color w:val="auto"/>
                <w:kern w:val="2"/>
                <w:sz w:val="21"/>
                <w:szCs w:val="21"/>
                <w:lang w:eastAsia="zh-CN"/>
              </w:rPr>
              <w:t>噪声</w:t>
            </w:r>
          </w:p>
        </w:tc>
        <w:tc>
          <w:tcPr>
            <w:tcW w:w="789" w:type="pct"/>
            <w:tcBorders>
              <w:tl2br w:val="nil"/>
              <w:tr2bl w:val="nil"/>
            </w:tcBorders>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zh-CN"/>
              </w:rPr>
            </w:pPr>
            <w:r>
              <w:rPr>
                <w:rFonts w:hint="default" w:ascii="Times New Roman" w:hAnsi="Times New Roman" w:eastAsia="宋体" w:cs="Times New Roman"/>
                <w:b w:val="0"/>
                <w:bCs w:val="0"/>
                <w:color w:val="auto"/>
                <w:kern w:val="2"/>
                <w:sz w:val="21"/>
                <w:szCs w:val="21"/>
                <w:lang w:val="en-US" w:eastAsia="zh-CN"/>
              </w:rPr>
              <w:t>工业企业厂界环境噪声</w:t>
            </w:r>
          </w:p>
        </w:tc>
        <w:tc>
          <w:tcPr>
            <w:tcW w:w="2267"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《工业企业厂界环境噪声排放标准》</w:t>
            </w:r>
          </w:p>
          <w:p>
            <w:pPr>
              <w:ind w:left="0" w:leftChars="0" w:right="0" w:rightChars="0"/>
              <w:jc w:val="center"/>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kern w:val="2"/>
                <w:sz w:val="21"/>
                <w:szCs w:val="21"/>
                <w:lang w:val="en-US" w:eastAsia="zh-CN"/>
              </w:rPr>
              <w:t>GB 12348-2008</w:t>
            </w:r>
          </w:p>
        </w:tc>
        <w:tc>
          <w:tcPr>
            <w:tcW w:w="1258"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kern w:val="2"/>
                <w:sz w:val="21"/>
                <w:szCs w:val="21"/>
                <w:lang w:val="en-US" w:eastAsia="zh-CN"/>
              </w:rPr>
              <w:t>/</w:t>
            </w:r>
          </w:p>
        </w:tc>
      </w:tr>
    </w:tbl>
    <w:p>
      <w:pPr>
        <w:pStyle w:val="86"/>
        <w:jc w:val="left"/>
        <w:outlineLvl w:val="1"/>
        <w:rPr>
          <w:b/>
        </w:rPr>
      </w:pPr>
      <w:bookmarkStart w:id="332" w:name="_Toc7621"/>
      <w:r>
        <w:rPr>
          <w:rFonts w:hint="eastAsia"/>
          <w:b/>
        </w:rPr>
        <w:t>8.</w:t>
      </w:r>
      <w:r>
        <w:rPr>
          <w:rFonts w:hint="eastAsia"/>
          <w:b/>
          <w:lang w:val="en-US" w:eastAsia="zh-CN"/>
        </w:rPr>
        <w:t>2</w:t>
      </w:r>
      <w:r>
        <w:rPr>
          <w:b/>
        </w:rPr>
        <w:t>仪器型号编号</w:t>
      </w:r>
      <w:bookmarkEnd w:id="325"/>
      <w:bookmarkEnd w:id="326"/>
      <w:bookmarkEnd w:id="327"/>
      <w:bookmarkEnd w:id="328"/>
      <w:bookmarkEnd w:id="329"/>
      <w:bookmarkEnd w:id="332"/>
    </w:p>
    <w:p>
      <w:pPr>
        <w:jc w:val="center"/>
        <w:rPr>
          <w:rFonts w:hint="eastAsia"/>
          <w:b/>
          <w:bCs/>
          <w:sz w:val="24"/>
          <w:szCs w:val="32"/>
        </w:rPr>
      </w:pPr>
      <w:r>
        <w:rPr>
          <w:rFonts w:hint="eastAsia"/>
          <w:b/>
          <w:bCs/>
          <w:sz w:val="24"/>
          <w:szCs w:val="32"/>
        </w:rPr>
        <w:t>表8.</w:t>
      </w:r>
      <w:r>
        <w:rPr>
          <w:rFonts w:hint="eastAsia"/>
          <w:b/>
          <w:bCs/>
          <w:sz w:val="24"/>
          <w:szCs w:val="32"/>
          <w:lang w:val="en-US" w:eastAsia="zh-CN"/>
        </w:rPr>
        <w:t>2</w:t>
      </w:r>
      <w:r>
        <w:rPr>
          <w:rFonts w:hint="eastAsia"/>
          <w:b/>
          <w:bCs/>
          <w:sz w:val="24"/>
          <w:szCs w:val="32"/>
        </w:rPr>
        <w:t xml:space="preserve">  仪器型号编号及校准有效期</w:t>
      </w:r>
    </w:p>
    <w:tbl>
      <w:tblPr>
        <w:tblStyle w:val="32"/>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33"/>
        <w:gridCol w:w="1480"/>
        <w:gridCol w:w="2504"/>
        <w:gridCol w:w="1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1546"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eastAsia="zh-CN"/>
              </w:rPr>
            </w:pPr>
            <w:bookmarkStart w:id="333" w:name="_Toc10726717"/>
            <w:bookmarkStart w:id="334" w:name="_Toc31270"/>
            <w:bookmarkStart w:id="335" w:name="_Toc30996"/>
            <w:bookmarkStart w:id="336" w:name="_Toc500944461"/>
            <w:bookmarkStart w:id="337" w:name="_Toc515360871"/>
            <w:bookmarkStart w:id="338" w:name="_Toc9510"/>
            <w:bookmarkStart w:id="339" w:name="_Toc501715363"/>
            <w:bookmarkStart w:id="340" w:name="_Toc21485"/>
            <w:bookmarkStart w:id="341" w:name="_Toc515359897"/>
            <w:bookmarkStart w:id="342" w:name="_Toc16770"/>
            <w:bookmarkStart w:id="343" w:name="_Toc2133"/>
            <w:r>
              <w:rPr>
                <w:rFonts w:hint="default" w:ascii="Times New Roman" w:hAnsi="Times New Roman" w:eastAsia="宋体" w:cs="Times New Roman"/>
                <w:kern w:val="2"/>
                <w:sz w:val="21"/>
                <w:szCs w:val="21"/>
                <w:lang w:eastAsia="zh-CN"/>
              </w:rPr>
              <w:t>仪器名称</w:t>
            </w:r>
          </w:p>
        </w:tc>
        <w:tc>
          <w:tcPr>
            <w:tcW w:w="869"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lang w:eastAsia="zh-CN"/>
              </w:rPr>
              <w:t>仪器型号</w:t>
            </w:r>
          </w:p>
        </w:tc>
        <w:tc>
          <w:tcPr>
            <w:tcW w:w="1470"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lang w:eastAsia="zh-CN"/>
              </w:rPr>
              <w:t>仪器编号</w:t>
            </w:r>
          </w:p>
        </w:tc>
        <w:tc>
          <w:tcPr>
            <w:tcW w:w="1114"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仪器溯源有效期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6"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自动烟尘烟气测试仪</w:t>
            </w:r>
          </w:p>
        </w:tc>
        <w:tc>
          <w:tcPr>
            <w:tcW w:w="869"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GH-60E</w:t>
            </w:r>
          </w:p>
        </w:tc>
        <w:tc>
          <w:tcPr>
            <w:tcW w:w="1470"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J084</w:t>
            </w:r>
          </w:p>
        </w:tc>
        <w:tc>
          <w:tcPr>
            <w:tcW w:w="1114" w:type="pct"/>
            <w:tcBorders>
              <w:tl2br w:val="nil"/>
              <w:tr2bl w:val="nil"/>
            </w:tcBorders>
            <w:vAlign w:val="center"/>
          </w:tcPr>
          <w:p>
            <w:pPr>
              <w:ind w:left="0" w:leftChars="0" w:right="0" w:rightChars="0"/>
              <w:jc w:val="center"/>
              <w:rPr>
                <w:rFonts w:hint="default" w:ascii="Times New Roman" w:hAnsi="Times New Roman" w:eastAsia="宋体" w:cs="Times New Roman"/>
                <w:color w:val="000000"/>
                <w:kern w:val="2"/>
                <w:sz w:val="21"/>
                <w:szCs w:val="21"/>
                <w:lang w:val="en-US" w:eastAsia="zh-CN" w:bidi="zh-CN"/>
              </w:rPr>
            </w:pPr>
            <w:r>
              <w:rPr>
                <w:rFonts w:hint="default" w:ascii="Times New Roman" w:hAnsi="Times New Roman" w:eastAsia="宋体" w:cs="Times New Roman"/>
                <w:color w:val="000000"/>
                <w:kern w:val="2"/>
                <w:sz w:val="21"/>
                <w:szCs w:val="21"/>
                <w:lang w:val="en-US" w:eastAsia="zh-CN"/>
              </w:rPr>
              <w:t>2023.8.28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6"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kern w:val="2"/>
                <w:sz w:val="21"/>
                <w:szCs w:val="21"/>
                <w:lang w:val="en-US" w:eastAsia="zh-CN"/>
              </w:rPr>
              <w:t>自动烟尘（气）测试仪</w:t>
            </w:r>
          </w:p>
        </w:tc>
        <w:tc>
          <w:tcPr>
            <w:tcW w:w="869"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kern w:val="2"/>
                <w:sz w:val="21"/>
                <w:szCs w:val="21"/>
                <w:lang w:val="en-US" w:eastAsia="zh-CN"/>
              </w:rPr>
              <w:t>ZR-3260</w:t>
            </w:r>
          </w:p>
        </w:tc>
        <w:tc>
          <w:tcPr>
            <w:tcW w:w="1470"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kern w:val="2"/>
                <w:sz w:val="21"/>
                <w:szCs w:val="21"/>
                <w:lang w:val="en-US" w:eastAsia="zh-CN" w:bidi="ar-SA"/>
              </w:rPr>
              <w:t>J044</w:t>
            </w:r>
          </w:p>
        </w:tc>
        <w:tc>
          <w:tcPr>
            <w:tcW w:w="1114" w:type="pct"/>
            <w:tcBorders>
              <w:tl2br w:val="nil"/>
              <w:tr2bl w:val="nil"/>
            </w:tcBorders>
            <w:vAlign w:val="center"/>
          </w:tcPr>
          <w:p>
            <w:pPr>
              <w:ind w:left="0" w:leftChars="0" w:right="0" w:rightChars="0"/>
              <w:jc w:val="center"/>
              <w:rPr>
                <w:rFonts w:hint="default" w:ascii="Times New Roman" w:hAnsi="Times New Roman" w:eastAsia="宋体" w:cs="Times New Roman"/>
                <w:color w:val="000000"/>
                <w:kern w:val="2"/>
                <w:sz w:val="21"/>
                <w:szCs w:val="21"/>
                <w:lang w:val="en-US" w:eastAsia="zh-CN" w:bidi="zh-CN"/>
              </w:rPr>
            </w:pPr>
            <w:r>
              <w:rPr>
                <w:rFonts w:hint="default" w:ascii="Times New Roman" w:hAnsi="Times New Roman" w:eastAsia="宋体" w:cs="Times New Roman"/>
                <w:color w:val="000000"/>
                <w:kern w:val="2"/>
                <w:sz w:val="21"/>
                <w:szCs w:val="21"/>
                <w:lang w:val="en-US" w:eastAsia="zh-CN"/>
              </w:rPr>
              <w:t>2023.8.28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6"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kern w:val="2"/>
                <w:sz w:val="21"/>
                <w:szCs w:val="21"/>
                <w:lang w:val="en-US" w:eastAsia="zh-CN" w:bidi="ar-SA"/>
              </w:rPr>
              <w:t>综合大气采样器</w:t>
            </w:r>
          </w:p>
        </w:tc>
        <w:tc>
          <w:tcPr>
            <w:tcW w:w="869"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kern w:val="2"/>
                <w:sz w:val="21"/>
                <w:szCs w:val="21"/>
                <w:lang w:val="en-US" w:eastAsia="zh-CN" w:bidi="ar-SA"/>
              </w:rPr>
              <w:t>KB-6120-E</w:t>
            </w:r>
          </w:p>
        </w:tc>
        <w:tc>
          <w:tcPr>
            <w:tcW w:w="1470"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000000"/>
                <w:kern w:val="2"/>
                <w:sz w:val="21"/>
                <w:szCs w:val="21"/>
                <w:lang w:val="en-US" w:eastAsia="zh-CN" w:bidi="ar-SA"/>
              </w:rPr>
              <w:t>J113、J114、J115、J116</w:t>
            </w:r>
          </w:p>
        </w:tc>
        <w:tc>
          <w:tcPr>
            <w:tcW w:w="1114" w:type="pct"/>
            <w:tcBorders>
              <w:tl2br w:val="nil"/>
              <w:tr2bl w:val="nil"/>
            </w:tcBorders>
            <w:vAlign w:val="center"/>
          </w:tcPr>
          <w:p>
            <w:pPr>
              <w:ind w:left="0" w:leftChars="0" w:right="0" w:rightChars="0"/>
              <w:jc w:val="center"/>
              <w:rPr>
                <w:rFonts w:hint="default" w:ascii="Times New Roman" w:hAnsi="Times New Roman" w:eastAsia="宋体" w:cs="Times New Roman"/>
                <w:color w:val="000000"/>
                <w:kern w:val="2"/>
                <w:sz w:val="21"/>
                <w:szCs w:val="21"/>
                <w:lang w:val="en-US" w:eastAsia="zh-CN" w:bidi="zh-CN"/>
              </w:rPr>
            </w:pPr>
            <w:r>
              <w:rPr>
                <w:rFonts w:hint="default" w:ascii="Times New Roman" w:hAnsi="Times New Roman" w:eastAsia="宋体" w:cs="Times New Roman"/>
                <w:color w:val="000000"/>
                <w:kern w:val="2"/>
                <w:sz w:val="21"/>
                <w:szCs w:val="21"/>
                <w:lang w:val="en-US" w:eastAsia="zh-CN"/>
              </w:rPr>
              <w:t>2023.8.28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6"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kern w:val="2"/>
                <w:sz w:val="21"/>
                <w:szCs w:val="21"/>
                <w:lang w:val="en-US" w:eastAsia="zh-CN"/>
              </w:rPr>
              <w:t>手持气象站</w:t>
            </w:r>
          </w:p>
        </w:tc>
        <w:tc>
          <w:tcPr>
            <w:tcW w:w="869"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rPr>
              <w:t>HWS</w:t>
            </w:r>
          </w:p>
        </w:tc>
        <w:tc>
          <w:tcPr>
            <w:tcW w:w="1470"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rPr>
              <w:t>J124</w:t>
            </w:r>
          </w:p>
        </w:tc>
        <w:tc>
          <w:tcPr>
            <w:tcW w:w="1114"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kern w:val="2"/>
                <w:sz w:val="21"/>
                <w:szCs w:val="21"/>
                <w:lang w:val="en-US" w:eastAsia="zh-CN"/>
              </w:rPr>
              <w:t>2023.8.28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6"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bidi="zh-CN"/>
              </w:rPr>
            </w:pPr>
            <w:r>
              <w:rPr>
                <w:rFonts w:hint="default" w:ascii="Times New Roman" w:hAnsi="Times New Roman" w:eastAsia="宋体" w:cs="Times New Roman"/>
                <w:color w:val="auto"/>
                <w:kern w:val="2"/>
                <w:sz w:val="21"/>
                <w:szCs w:val="21"/>
                <w:lang w:eastAsia="zh-CN"/>
              </w:rPr>
              <w:t>多功能声级计</w:t>
            </w:r>
          </w:p>
        </w:tc>
        <w:tc>
          <w:tcPr>
            <w:tcW w:w="869"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kern w:val="2"/>
                <w:sz w:val="21"/>
                <w:szCs w:val="21"/>
                <w:lang w:val="en-US" w:eastAsia="zh-CN"/>
              </w:rPr>
              <w:t>AWA6228</w:t>
            </w:r>
            <w:r>
              <w:rPr>
                <w:rFonts w:hint="default" w:ascii="Times New Roman" w:hAnsi="Times New Roman" w:eastAsia="宋体" w:cs="Times New Roman"/>
                <w:kern w:val="2"/>
                <w:sz w:val="21"/>
                <w:szCs w:val="21"/>
                <w:vertAlign w:val="superscript"/>
                <w:lang w:val="en-US" w:eastAsia="zh-CN"/>
              </w:rPr>
              <w:t>+</w:t>
            </w:r>
          </w:p>
        </w:tc>
        <w:tc>
          <w:tcPr>
            <w:tcW w:w="1470" w:type="pct"/>
            <w:tcBorders>
              <w:tl2br w:val="nil"/>
              <w:tr2bl w:val="nil"/>
            </w:tcBorders>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kern w:val="2"/>
                <w:sz w:val="21"/>
                <w:szCs w:val="21"/>
                <w:lang w:eastAsia="zh-CN"/>
              </w:rPr>
              <w:t>J</w:t>
            </w:r>
            <w:r>
              <w:rPr>
                <w:rFonts w:hint="default" w:ascii="Times New Roman" w:hAnsi="Times New Roman" w:eastAsia="宋体" w:cs="Times New Roman"/>
                <w:color w:val="auto"/>
                <w:kern w:val="2"/>
                <w:sz w:val="21"/>
                <w:szCs w:val="21"/>
                <w:lang w:val="en-US" w:eastAsia="zh-CN"/>
              </w:rPr>
              <w:t>117</w:t>
            </w:r>
          </w:p>
        </w:tc>
        <w:tc>
          <w:tcPr>
            <w:tcW w:w="1114" w:type="pct"/>
            <w:tcBorders>
              <w:tl2br w:val="nil"/>
              <w:tr2bl w:val="nil"/>
            </w:tcBorders>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kern w:val="2"/>
                <w:sz w:val="21"/>
                <w:szCs w:val="21"/>
                <w:lang w:val="en-US" w:eastAsia="zh-CN"/>
              </w:rPr>
              <w:t>2023.8.28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6"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分析天平（万分之一）</w:t>
            </w:r>
          </w:p>
        </w:tc>
        <w:tc>
          <w:tcPr>
            <w:tcW w:w="869" w:type="pct"/>
            <w:tcBorders>
              <w:tl2br w:val="nil"/>
              <w:tr2bl w:val="nil"/>
            </w:tcBorders>
            <w:vAlign w:val="center"/>
          </w:tcPr>
          <w:p>
            <w:pPr>
              <w:ind w:left="0" w:leftChars="0" w:right="0" w:rightChars="0"/>
              <w:jc w:val="center"/>
              <w:rPr>
                <w:rFonts w:hint="default" w:ascii="Times New Roman" w:hAnsi="Times New Roman" w:eastAsia="宋体" w:cs="Times New Roman"/>
                <w:sz w:val="21"/>
                <w:szCs w:val="21"/>
                <w:vertAlign w:val="baseline"/>
                <w:lang w:val="en-US" w:eastAsia="zh-CN" w:bidi="zh-CN"/>
              </w:rPr>
            </w:pPr>
            <w:r>
              <w:rPr>
                <w:rFonts w:hint="default" w:ascii="Times New Roman" w:hAnsi="Times New Roman" w:eastAsia="宋体" w:cs="Times New Roman"/>
                <w:kern w:val="2"/>
                <w:sz w:val="21"/>
                <w:szCs w:val="21"/>
                <w:lang w:val="en-US" w:eastAsia="zh-CN"/>
              </w:rPr>
              <w:t>FA2204C</w:t>
            </w:r>
          </w:p>
        </w:tc>
        <w:tc>
          <w:tcPr>
            <w:tcW w:w="1470" w:type="pct"/>
            <w:tcBorders>
              <w:tl2br w:val="nil"/>
              <w:tr2bl w:val="nil"/>
            </w:tcBorders>
            <w:vAlign w:val="center"/>
          </w:tcPr>
          <w:p>
            <w:pPr>
              <w:ind w:left="0" w:leftChars="0" w:right="0" w:rightChars="0"/>
              <w:jc w:val="center"/>
              <w:rPr>
                <w:rFonts w:hint="default" w:ascii="Times New Roman" w:hAnsi="Times New Roman" w:eastAsia="宋体" w:cs="Times New Roman"/>
                <w:sz w:val="21"/>
                <w:szCs w:val="21"/>
                <w:vertAlign w:val="baseline"/>
                <w:lang w:val="en-US" w:eastAsia="zh-CN" w:bidi="zh-CN"/>
              </w:rPr>
            </w:pPr>
            <w:r>
              <w:rPr>
                <w:rFonts w:hint="default" w:ascii="Times New Roman" w:hAnsi="Times New Roman" w:eastAsia="宋体" w:cs="Times New Roman"/>
                <w:kern w:val="2"/>
                <w:sz w:val="21"/>
                <w:szCs w:val="21"/>
                <w:lang w:val="en-US" w:eastAsia="zh-CN"/>
              </w:rPr>
              <w:t>J014</w:t>
            </w:r>
          </w:p>
        </w:tc>
        <w:tc>
          <w:tcPr>
            <w:tcW w:w="1114" w:type="pct"/>
            <w:tcBorders>
              <w:tl2br w:val="nil"/>
              <w:tr2bl w:val="nil"/>
            </w:tcBorders>
            <w:vAlign w:val="center"/>
          </w:tcPr>
          <w:p>
            <w:pPr>
              <w:ind w:left="0" w:leftChars="0" w:right="0" w:rightChars="0"/>
              <w:jc w:val="center"/>
              <w:rPr>
                <w:rFonts w:hint="default" w:ascii="Times New Roman" w:hAnsi="Times New Roman" w:eastAsia="宋体" w:cs="Times New Roman"/>
                <w:sz w:val="21"/>
                <w:szCs w:val="21"/>
                <w:vertAlign w:val="baseline"/>
                <w:lang w:val="en-US" w:eastAsia="zh-CN" w:bidi="zh-CN"/>
              </w:rPr>
            </w:pPr>
            <w:r>
              <w:rPr>
                <w:rFonts w:hint="default" w:ascii="Times New Roman" w:hAnsi="Times New Roman" w:eastAsia="宋体" w:cs="Times New Roman"/>
                <w:kern w:val="2"/>
                <w:sz w:val="21"/>
                <w:szCs w:val="21"/>
                <w:lang w:val="en-US" w:eastAsia="zh-CN"/>
              </w:rPr>
              <w:t>2023.8.28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6"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十万分之一天平</w:t>
            </w:r>
          </w:p>
        </w:tc>
        <w:tc>
          <w:tcPr>
            <w:tcW w:w="869"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AUW120D</w:t>
            </w:r>
          </w:p>
        </w:tc>
        <w:tc>
          <w:tcPr>
            <w:tcW w:w="1470"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J013</w:t>
            </w:r>
          </w:p>
        </w:tc>
        <w:tc>
          <w:tcPr>
            <w:tcW w:w="1114"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2023.8.28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6"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bidi="zh-CN"/>
              </w:rPr>
            </w:pPr>
            <w:r>
              <w:rPr>
                <w:rFonts w:hint="default" w:ascii="Times New Roman" w:hAnsi="Times New Roman" w:eastAsia="宋体" w:cs="Times New Roman"/>
                <w:color w:val="auto"/>
                <w:kern w:val="2"/>
                <w:sz w:val="21"/>
                <w:szCs w:val="21"/>
                <w:lang w:eastAsia="zh-CN"/>
              </w:rPr>
              <w:t>紫外可见分光光度计</w:t>
            </w:r>
          </w:p>
        </w:tc>
        <w:tc>
          <w:tcPr>
            <w:tcW w:w="869"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bidi="zh-CN"/>
              </w:rPr>
            </w:pPr>
            <w:r>
              <w:rPr>
                <w:rFonts w:hint="default" w:ascii="Times New Roman" w:hAnsi="Times New Roman" w:eastAsia="宋体" w:cs="Times New Roman"/>
                <w:color w:val="auto"/>
                <w:kern w:val="2"/>
                <w:sz w:val="21"/>
                <w:szCs w:val="21"/>
                <w:lang w:val="en-US" w:eastAsia="zh-CN"/>
              </w:rPr>
              <w:t xml:space="preserve">T6新世纪 </w:t>
            </w:r>
          </w:p>
        </w:tc>
        <w:tc>
          <w:tcPr>
            <w:tcW w:w="1470" w:type="pct"/>
            <w:tcBorders>
              <w:tl2br w:val="nil"/>
              <w:tr2bl w:val="nil"/>
            </w:tcBorders>
            <w:vAlign w:val="center"/>
          </w:tcPr>
          <w:p>
            <w:pPr>
              <w:ind w:left="0" w:leftChars="0" w:right="0" w:rightChars="0"/>
              <w:jc w:val="center"/>
              <w:rPr>
                <w:rFonts w:hint="default" w:ascii="Times New Roman" w:hAnsi="Times New Roman" w:eastAsia="宋体" w:cs="Times New Roman"/>
                <w:kern w:val="2"/>
                <w:sz w:val="21"/>
                <w:szCs w:val="21"/>
                <w:lang w:val="en-US" w:eastAsia="zh-CN" w:bidi="zh-CN"/>
              </w:rPr>
            </w:pPr>
            <w:r>
              <w:rPr>
                <w:rFonts w:hint="default" w:ascii="Times New Roman" w:hAnsi="Times New Roman" w:eastAsia="宋体" w:cs="Times New Roman"/>
                <w:color w:val="auto"/>
                <w:kern w:val="2"/>
                <w:sz w:val="21"/>
                <w:szCs w:val="21"/>
                <w:lang w:val="en-US" w:eastAsia="zh-CN"/>
              </w:rPr>
              <w:t>J006</w:t>
            </w:r>
          </w:p>
        </w:tc>
        <w:tc>
          <w:tcPr>
            <w:tcW w:w="1114"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t>2023.8.28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6"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自动烟尘烟气测试仪</w:t>
            </w:r>
          </w:p>
        </w:tc>
        <w:tc>
          <w:tcPr>
            <w:tcW w:w="869"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GH-60E</w:t>
            </w:r>
          </w:p>
        </w:tc>
        <w:tc>
          <w:tcPr>
            <w:tcW w:w="1470" w:type="pct"/>
            <w:tcBorders>
              <w:tl2br w:val="nil"/>
              <w:tr2bl w:val="nil"/>
            </w:tcBorders>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zh-CN"/>
              </w:rPr>
              <w:t>J130</w:t>
            </w:r>
          </w:p>
        </w:tc>
        <w:tc>
          <w:tcPr>
            <w:tcW w:w="1114" w:type="pct"/>
            <w:tcBorders>
              <w:tl2br w:val="nil"/>
              <w:tr2bl w:val="nil"/>
            </w:tcBorders>
            <w:vAlign w:val="center"/>
          </w:tcPr>
          <w:p>
            <w:pPr>
              <w:ind w:left="0" w:leftChars="0" w:right="0" w:rightChars="0"/>
              <w:jc w:val="center"/>
              <w:rPr>
                <w:rFonts w:hint="default" w:ascii="Times New Roman" w:hAnsi="Times New Roman" w:eastAsia="宋体" w:cs="Times New Roman"/>
                <w:color w:val="000000"/>
                <w:kern w:val="2"/>
                <w:sz w:val="21"/>
                <w:szCs w:val="21"/>
                <w:lang w:val="en-US" w:eastAsia="zh-CN" w:bidi="zh-CN"/>
              </w:rPr>
            </w:pPr>
            <w:r>
              <w:rPr>
                <w:rFonts w:hint="default" w:ascii="Times New Roman" w:hAnsi="Times New Roman" w:eastAsia="宋体" w:cs="Times New Roman"/>
                <w:color w:val="000000"/>
                <w:kern w:val="2"/>
                <w:sz w:val="21"/>
                <w:szCs w:val="21"/>
                <w:lang w:val="en-US" w:eastAsia="zh-CN"/>
              </w:rPr>
              <w:t>2023.8.28</w:t>
            </w:r>
          </w:p>
        </w:tc>
      </w:tr>
    </w:tbl>
    <w:p>
      <w:pPr>
        <w:pStyle w:val="91"/>
        <w:spacing w:line="360" w:lineRule="auto"/>
        <w:outlineLvl w:val="1"/>
      </w:pPr>
      <w:r>
        <w:rPr>
          <w:rFonts w:hint="eastAsia"/>
        </w:rPr>
        <w:t>8.</w:t>
      </w:r>
      <w:r>
        <w:rPr>
          <w:rFonts w:hint="eastAsia"/>
          <w:lang w:val="en-US" w:eastAsia="zh-CN"/>
        </w:rPr>
        <w:t>3</w:t>
      </w:r>
      <w:r>
        <w:t>监测分析方法</w:t>
      </w:r>
      <w:bookmarkEnd w:id="333"/>
      <w:bookmarkEnd w:id="334"/>
      <w:bookmarkEnd w:id="335"/>
      <w:bookmarkEnd w:id="336"/>
      <w:bookmarkEnd w:id="337"/>
      <w:bookmarkEnd w:id="338"/>
      <w:bookmarkEnd w:id="339"/>
      <w:bookmarkEnd w:id="340"/>
      <w:bookmarkEnd w:id="341"/>
      <w:bookmarkEnd w:id="342"/>
      <w:bookmarkEnd w:id="343"/>
    </w:p>
    <w:p>
      <w:pPr>
        <w:spacing w:line="360" w:lineRule="auto"/>
        <w:ind w:firstLine="480" w:firstLineChars="200"/>
        <w:jc w:val="left"/>
        <w:rPr>
          <w:sz w:val="24"/>
          <w:szCs w:val="24"/>
        </w:rPr>
      </w:pPr>
      <w:r>
        <w:rPr>
          <w:rFonts w:hint="eastAsia"/>
          <w:sz w:val="24"/>
          <w:szCs w:val="24"/>
        </w:rPr>
        <w:t>验收监测质量保证及质量控制：</w:t>
      </w:r>
    </w:p>
    <w:p>
      <w:pPr>
        <w:spacing w:line="360" w:lineRule="auto"/>
        <w:ind w:firstLine="480" w:firstLineChars="200"/>
        <w:jc w:val="left"/>
        <w:rPr>
          <w:sz w:val="24"/>
          <w:szCs w:val="24"/>
        </w:rPr>
      </w:pPr>
      <w:r>
        <w:rPr>
          <w:rFonts w:hint="eastAsia"/>
          <w:sz w:val="24"/>
          <w:szCs w:val="24"/>
        </w:rPr>
        <w:t>1、监测分析过程中的质量保证和质量控制</w:t>
      </w:r>
    </w:p>
    <w:p>
      <w:pPr>
        <w:pStyle w:val="40"/>
        <w:rPr>
          <w:sz w:val="24"/>
          <w:szCs w:val="24"/>
        </w:rPr>
      </w:pPr>
      <w:r>
        <w:rPr>
          <w:sz w:val="24"/>
          <w:szCs w:val="24"/>
        </w:rPr>
        <w:t>本次验收监测采样及分析过程均严格按照《环境空气监测质量保证手册》及《环境监测技术规范》等要求进行，实施全程序质量控制。具体质控要求如下：</w:t>
      </w:r>
      <w:bookmarkStart w:id="344" w:name="_Toc500753993"/>
      <w:bookmarkStart w:id="345" w:name="_Toc500598014"/>
    </w:p>
    <w:p>
      <w:pPr>
        <w:pStyle w:val="40"/>
        <w:rPr>
          <w:sz w:val="24"/>
          <w:szCs w:val="24"/>
        </w:rPr>
      </w:pPr>
      <w:r>
        <w:rPr>
          <w:rFonts w:hint="eastAsia"/>
          <w:sz w:val="24"/>
          <w:szCs w:val="24"/>
        </w:rPr>
        <w:t>（1）</w:t>
      </w:r>
      <w:r>
        <w:rPr>
          <w:sz w:val="24"/>
          <w:szCs w:val="24"/>
        </w:rPr>
        <w:t>及时组织监测人员到现场勘察，进行现场点位确认。</w:t>
      </w:r>
      <w:bookmarkEnd w:id="344"/>
      <w:bookmarkEnd w:id="345"/>
      <w:bookmarkStart w:id="346" w:name="_Toc500753994"/>
      <w:bookmarkStart w:id="347" w:name="_Toc500598015"/>
    </w:p>
    <w:p>
      <w:pPr>
        <w:pStyle w:val="40"/>
        <w:jc w:val="both"/>
      </w:pPr>
      <w:r>
        <w:rPr>
          <w:rFonts w:hint="eastAsia"/>
        </w:rPr>
        <w:t>（2）</w:t>
      </w:r>
      <w:r>
        <w:t>根据现场勘察的情况，按照《大气污染物无组织排放监测技术导则》（HJ/T55-2000）、《固定污染源监测技术规范》（HJ/T 397-2007）、《工业企业厂界环境噪声排放标准》（GB12348-2008），编制现场监测方案和现场监测实施方案。</w:t>
      </w:r>
      <w:bookmarkEnd w:id="346"/>
      <w:bookmarkEnd w:id="347"/>
    </w:p>
    <w:p>
      <w:pPr>
        <w:spacing w:line="360" w:lineRule="auto"/>
        <w:ind w:firstLine="480" w:firstLineChars="200"/>
        <w:rPr>
          <w:sz w:val="24"/>
          <w:szCs w:val="24"/>
        </w:rPr>
      </w:pPr>
      <w:r>
        <w:rPr>
          <w:rFonts w:hint="eastAsia"/>
          <w:sz w:val="24"/>
          <w:szCs w:val="24"/>
        </w:rPr>
        <w:t>（</w:t>
      </w:r>
      <w:r>
        <w:rPr>
          <w:sz w:val="24"/>
          <w:szCs w:val="24"/>
        </w:rPr>
        <w:t>3</w:t>
      </w:r>
      <w:r>
        <w:rPr>
          <w:rFonts w:hint="eastAsia"/>
          <w:sz w:val="24"/>
          <w:szCs w:val="24"/>
        </w:rPr>
        <w:t>）使用的标准方法均为现行有效的方法，且方法最低检出限能满足各项监测因子的最高质量标准。</w:t>
      </w:r>
    </w:p>
    <w:p>
      <w:pPr>
        <w:spacing w:line="360" w:lineRule="auto"/>
        <w:ind w:firstLine="480" w:firstLineChars="200"/>
        <w:rPr>
          <w:sz w:val="24"/>
          <w:szCs w:val="24"/>
        </w:rPr>
      </w:pPr>
      <w:r>
        <w:rPr>
          <w:rFonts w:hint="eastAsia"/>
          <w:sz w:val="24"/>
          <w:szCs w:val="24"/>
        </w:rPr>
        <w:t>（</w:t>
      </w:r>
      <w:r>
        <w:rPr>
          <w:sz w:val="24"/>
          <w:szCs w:val="24"/>
        </w:rPr>
        <w:t>4</w:t>
      </w:r>
      <w:r>
        <w:rPr>
          <w:rFonts w:hint="eastAsia"/>
          <w:sz w:val="24"/>
          <w:szCs w:val="24"/>
        </w:rPr>
        <w:t>）所有的监测人员均持证上岗，对监测过程中涉及的重要技术环节进行了严格的培训。</w:t>
      </w:r>
    </w:p>
    <w:p>
      <w:pPr>
        <w:spacing w:line="360" w:lineRule="auto"/>
        <w:ind w:firstLine="480" w:firstLineChars="200"/>
        <w:rPr>
          <w:sz w:val="24"/>
          <w:szCs w:val="24"/>
        </w:rPr>
      </w:pPr>
      <w:r>
        <w:rPr>
          <w:rFonts w:hint="eastAsia"/>
          <w:sz w:val="24"/>
          <w:szCs w:val="24"/>
        </w:rPr>
        <w:t>（</w:t>
      </w:r>
      <w:r>
        <w:rPr>
          <w:sz w:val="24"/>
          <w:szCs w:val="24"/>
        </w:rPr>
        <w:t>5</w:t>
      </w:r>
      <w:r>
        <w:rPr>
          <w:rFonts w:hint="eastAsia"/>
          <w:sz w:val="24"/>
          <w:szCs w:val="24"/>
        </w:rPr>
        <w:t>）实验室分析仪器均经过省级计量部门鉴定，保证监测数据的准确性和代表性。</w:t>
      </w:r>
    </w:p>
    <w:p>
      <w:pPr>
        <w:spacing w:line="360" w:lineRule="auto"/>
        <w:ind w:firstLine="480" w:firstLineChars="200"/>
        <w:rPr>
          <w:sz w:val="24"/>
          <w:szCs w:val="24"/>
        </w:rPr>
      </w:pPr>
      <w:r>
        <w:rPr>
          <w:rFonts w:hint="eastAsia"/>
          <w:sz w:val="24"/>
          <w:szCs w:val="24"/>
        </w:rPr>
        <w:t>（</w:t>
      </w:r>
      <w:r>
        <w:rPr>
          <w:sz w:val="24"/>
          <w:szCs w:val="24"/>
        </w:rPr>
        <w:t>6</w:t>
      </w:r>
      <w:r>
        <w:rPr>
          <w:rFonts w:hint="eastAsia"/>
          <w:sz w:val="24"/>
          <w:szCs w:val="24"/>
        </w:rPr>
        <w:t>）数据进行三级审核（室主任审核、质量负责人复审、技术负责人签发）。</w:t>
      </w:r>
    </w:p>
    <w:p>
      <w:pPr>
        <w:spacing w:line="360" w:lineRule="auto"/>
        <w:ind w:firstLine="480" w:firstLineChars="200"/>
        <w:rPr>
          <w:sz w:val="24"/>
          <w:szCs w:val="24"/>
        </w:rPr>
      </w:pPr>
      <w:r>
        <w:rPr>
          <w:rFonts w:hint="eastAsia"/>
          <w:sz w:val="24"/>
          <w:szCs w:val="24"/>
        </w:rPr>
        <w:t>（</w:t>
      </w:r>
      <w:r>
        <w:rPr>
          <w:sz w:val="24"/>
          <w:szCs w:val="24"/>
        </w:rPr>
        <w:t>7</w:t>
      </w:r>
      <w:r>
        <w:rPr>
          <w:rFonts w:hint="eastAsia"/>
          <w:sz w:val="24"/>
          <w:szCs w:val="24"/>
        </w:rPr>
        <w:t>）样品的采集、运输均按相关的技术规范要求进行。</w:t>
      </w:r>
    </w:p>
    <w:p>
      <w:pPr>
        <w:spacing w:line="360" w:lineRule="auto"/>
        <w:ind w:firstLine="480" w:firstLineChars="200"/>
        <w:rPr>
          <w:sz w:val="24"/>
          <w:szCs w:val="24"/>
        </w:rPr>
      </w:pPr>
      <w:r>
        <w:rPr>
          <w:rFonts w:hint="eastAsia"/>
          <w:sz w:val="24"/>
          <w:szCs w:val="24"/>
        </w:rPr>
        <w:t>（</w:t>
      </w:r>
      <w:r>
        <w:rPr>
          <w:sz w:val="24"/>
          <w:szCs w:val="24"/>
        </w:rPr>
        <w:t>8</w:t>
      </w:r>
      <w:r>
        <w:rPr>
          <w:rFonts w:hint="eastAsia"/>
          <w:sz w:val="24"/>
          <w:szCs w:val="24"/>
        </w:rPr>
        <w:t>）样品分析质量控制：</w:t>
      </w:r>
    </w:p>
    <w:p>
      <w:pPr>
        <w:spacing w:line="360" w:lineRule="auto"/>
        <w:ind w:firstLine="480" w:firstLineChars="200"/>
      </w:pPr>
      <w:r>
        <w:rPr>
          <w:rFonts w:hint="eastAsia"/>
          <w:sz w:val="24"/>
          <w:szCs w:val="24"/>
        </w:rPr>
        <w:t>用空白值、标准曲线的相关、截距、斜率评价实验过程的一致性。</w:t>
      </w:r>
    </w:p>
    <w:p>
      <w:pPr>
        <w:pStyle w:val="86"/>
        <w:jc w:val="both"/>
        <w:outlineLvl w:val="9"/>
        <w:rPr>
          <w:b/>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titlePg/>
          <w:rtlGutter w:val="0"/>
          <w:docGrid w:type="lines" w:linePitch="319" w:charSpace="0"/>
        </w:sectPr>
      </w:pPr>
    </w:p>
    <w:p>
      <w:pPr>
        <w:pStyle w:val="86"/>
        <w:rPr>
          <w:b/>
        </w:rPr>
      </w:pPr>
      <w:bookmarkStart w:id="348" w:name="_Toc5923"/>
      <w:bookmarkStart w:id="349" w:name="_Toc32252"/>
      <w:bookmarkStart w:id="350" w:name="_Toc6502"/>
      <w:bookmarkStart w:id="351" w:name="_Toc26433"/>
      <w:bookmarkStart w:id="352" w:name="_Toc7216"/>
      <w:bookmarkStart w:id="353" w:name="_Toc6567"/>
      <w:r>
        <w:rPr>
          <w:rFonts w:hint="eastAsia"/>
          <w:b/>
        </w:rPr>
        <w:t xml:space="preserve">第九章  </w:t>
      </w:r>
      <w:r>
        <w:rPr>
          <w:b/>
        </w:rPr>
        <w:t>验收监测结果</w:t>
      </w:r>
      <w:bookmarkEnd w:id="330"/>
      <w:bookmarkEnd w:id="331"/>
      <w:bookmarkEnd w:id="348"/>
      <w:bookmarkEnd w:id="349"/>
      <w:bookmarkEnd w:id="350"/>
      <w:bookmarkEnd w:id="351"/>
      <w:bookmarkEnd w:id="352"/>
      <w:bookmarkEnd w:id="353"/>
    </w:p>
    <w:p>
      <w:pPr>
        <w:pStyle w:val="40"/>
        <w:ind w:firstLine="0" w:firstLineChars="0"/>
        <w:outlineLvl w:val="1"/>
        <w:rPr>
          <w:b/>
          <w:bCs/>
          <w:sz w:val="28"/>
          <w:szCs w:val="28"/>
        </w:rPr>
      </w:pPr>
      <w:bookmarkStart w:id="354" w:name="_Toc32378"/>
      <w:bookmarkStart w:id="355" w:name="_Toc18349"/>
      <w:bookmarkStart w:id="356" w:name="_Toc515360874"/>
      <w:bookmarkStart w:id="357" w:name="_Toc13504"/>
      <w:bookmarkStart w:id="358" w:name="_Toc13752784"/>
      <w:bookmarkStart w:id="359" w:name="_Toc515359900"/>
      <w:bookmarkStart w:id="360" w:name="_Toc29374"/>
      <w:bookmarkStart w:id="361" w:name="_Toc25522"/>
      <w:bookmarkStart w:id="362" w:name="_Toc18370"/>
      <w:r>
        <w:rPr>
          <w:rFonts w:hint="eastAsia"/>
          <w:b/>
          <w:bCs/>
          <w:sz w:val="28"/>
          <w:szCs w:val="28"/>
        </w:rPr>
        <w:t>9.1</w:t>
      </w:r>
      <w:r>
        <w:rPr>
          <w:b/>
          <w:bCs/>
          <w:sz w:val="28"/>
          <w:szCs w:val="28"/>
        </w:rPr>
        <w:t>生产工况</w:t>
      </w:r>
      <w:bookmarkEnd w:id="354"/>
      <w:bookmarkEnd w:id="355"/>
      <w:bookmarkEnd w:id="356"/>
      <w:bookmarkEnd w:id="357"/>
      <w:bookmarkEnd w:id="358"/>
      <w:bookmarkEnd w:id="359"/>
      <w:bookmarkEnd w:id="360"/>
      <w:bookmarkEnd w:id="361"/>
      <w:bookmarkEnd w:id="362"/>
    </w:p>
    <w:p>
      <w:pPr>
        <w:pStyle w:val="86"/>
        <w:ind w:firstLine="480" w:firstLineChars="200"/>
        <w:jc w:val="both"/>
        <w:outlineLvl w:val="9"/>
        <w:rPr>
          <w:bCs/>
          <w:sz w:val="21"/>
          <w:szCs w:val="21"/>
          <w:highlight w:val="yellow"/>
        </w:rPr>
      </w:pPr>
      <w:bookmarkStart w:id="363" w:name="_Toc512519573"/>
      <w:bookmarkStart w:id="364" w:name="_Toc508806192"/>
      <w:bookmarkStart w:id="365" w:name="_Toc503769153"/>
      <w:bookmarkStart w:id="366" w:name="_Toc510513648"/>
      <w:bookmarkStart w:id="367" w:name="_Toc29209"/>
      <w:bookmarkStart w:id="368" w:name="_Toc513795213"/>
      <w:bookmarkStart w:id="369" w:name="_Toc18436"/>
      <w:bookmarkStart w:id="370" w:name="_Toc515359917"/>
      <w:bookmarkStart w:id="371" w:name="_Toc18941"/>
      <w:bookmarkStart w:id="372" w:name="_Toc31668"/>
      <w:bookmarkStart w:id="373" w:name="_Toc2059"/>
      <w:bookmarkStart w:id="374" w:name="_Toc515360891"/>
      <w:bookmarkStart w:id="375" w:name="_Toc13752801"/>
      <w:bookmarkStart w:id="376" w:name="_Toc20746"/>
      <w:r>
        <w:rPr>
          <w:rFonts w:hAnsi="宋体"/>
          <w:bCs/>
          <w:sz w:val="24"/>
        </w:rPr>
        <w:t>项目区在监测期间正常生产，各环保设施运行正常，通过现场勘察，项目区环保设施均在正常工作，未发现任何环保设备无故停止运行，</w:t>
      </w:r>
      <w:r>
        <w:rPr>
          <w:rFonts w:hAnsi="宋体"/>
          <w:bCs/>
          <w:color w:val="000000"/>
          <w:sz w:val="24"/>
        </w:rPr>
        <w:t>同时，</w:t>
      </w:r>
      <w:r>
        <w:rPr>
          <w:rFonts w:hAnsi="宋体"/>
          <w:bCs/>
          <w:color w:val="000000"/>
          <w:sz w:val="24"/>
          <w:highlight w:val="none"/>
        </w:rPr>
        <w:t>本次验收记录了</w:t>
      </w:r>
      <w:r>
        <w:rPr>
          <w:rFonts w:hAnsi="宋体"/>
          <w:bCs/>
          <w:sz w:val="24"/>
        </w:rPr>
        <w:t>20</w:t>
      </w:r>
      <w:r>
        <w:rPr>
          <w:rFonts w:hint="eastAsia" w:hAnsi="宋体"/>
          <w:bCs/>
          <w:sz w:val="24"/>
        </w:rPr>
        <w:t>2</w:t>
      </w:r>
      <w:r>
        <w:rPr>
          <w:rFonts w:hint="eastAsia" w:hAnsi="宋体"/>
          <w:bCs/>
          <w:sz w:val="24"/>
          <w:lang w:val="en-US" w:eastAsia="zh-CN"/>
        </w:rPr>
        <w:t>3</w:t>
      </w:r>
      <w:r>
        <w:rPr>
          <w:rFonts w:hAnsi="宋体"/>
          <w:bCs/>
          <w:sz w:val="24"/>
        </w:rPr>
        <w:t>年</w:t>
      </w:r>
      <w:r>
        <w:rPr>
          <w:rFonts w:hint="eastAsia" w:hAnsi="宋体"/>
          <w:bCs/>
          <w:sz w:val="24"/>
          <w:lang w:val="en-US" w:eastAsia="zh-CN"/>
        </w:rPr>
        <w:t>7</w:t>
      </w:r>
      <w:r>
        <w:rPr>
          <w:rFonts w:hAnsi="宋体"/>
          <w:bCs/>
          <w:sz w:val="24"/>
        </w:rPr>
        <w:t>月</w:t>
      </w:r>
      <w:r>
        <w:rPr>
          <w:rFonts w:hint="eastAsia" w:hAnsi="宋体"/>
          <w:bCs/>
          <w:sz w:val="24"/>
          <w:lang w:val="en-US" w:eastAsia="zh-CN"/>
        </w:rPr>
        <w:t>20</w:t>
      </w:r>
      <w:r>
        <w:rPr>
          <w:rFonts w:hAnsi="宋体"/>
          <w:bCs/>
          <w:sz w:val="24"/>
        </w:rPr>
        <w:t>日</w:t>
      </w:r>
      <w:r>
        <w:rPr>
          <w:rFonts w:hint="eastAsia" w:hAnsi="宋体"/>
          <w:bCs/>
          <w:sz w:val="24"/>
        </w:rPr>
        <w:t>、</w:t>
      </w:r>
      <w:r>
        <w:rPr>
          <w:rFonts w:hint="eastAsia" w:hAnsi="宋体"/>
          <w:bCs/>
          <w:sz w:val="24"/>
          <w:lang w:val="en-US" w:eastAsia="zh-CN"/>
        </w:rPr>
        <w:t>21</w:t>
      </w:r>
      <w:r>
        <w:rPr>
          <w:rFonts w:hAnsi="宋体"/>
          <w:bCs/>
          <w:sz w:val="24"/>
        </w:rPr>
        <w:t>日</w:t>
      </w:r>
      <w:r>
        <w:rPr>
          <w:rFonts w:hint="eastAsia" w:hAnsi="宋体"/>
          <w:bCs/>
          <w:sz w:val="24"/>
          <w:lang w:eastAsia="zh-CN"/>
        </w:rPr>
        <w:t>、</w:t>
      </w:r>
      <w:r>
        <w:rPr>
          <w:rFonts w:hint="eastAsia" w:hAnsi="宋体"/>
          <w:bCs/>
          <w:sz w:val="24"/>
          <w:lang w:val="en-US" w:eastAsia="zh-CN"/>
        </w:rPr>
        <w:t>2023年8月15日、16日</w:t>
      </w:r>
      <w:r>
        <w:rPr>
          <w:rFonts w:hint="eastAsia" w:hAnsi="宋体"/>
          <w:bCs/>
          <w:sz w:val="24"/>
          <w:lang w:eastAsia="zh-CN"/>
        </w:rPr>
        <w:t>四</w:t>
      </w:r>
      <w:r>
        <w:rPr>
          <w:rFonts w:hAnsi="宋体"/>
          <w:bCs/>
          <w:color w:val="000000"/>
          <w:sz w:val="24"/>
          <w:highlight w:val="none"/>
        </w:rPr>
        <w:t>天的生产工况。</w:t>
      </w:r>
      <w:bookmarkEnd w:id="363"/>
      <w:bookmarkEnd w:id="364"/>
      <w:bookmarkEnd w:id="365"/>
      <w:bookmarkEnd w:id="366"/>
      <w:bookmarkEnd w:id="367"/>
      <w:bookmarkEnd w:id="368"/>
    </w:p>
    <w:p>
      <w:pPr>
        <w:pStyle w:val="86"/>
        <w:spacing w:line="240" w:lineRule="auto"/>
        <w:outlineLvl w:val="9"/>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pPr>
      <w:bookmarkStart w:id="377" w:name="_Toc512519574"/>
      <w:bookmarkStart w:id="378" w:name="_Toc510513649"/>
      <w:bookmarkStart w:id="379" w:name="_Toc32724"/>
      <w:bookmarkStart w:id="380" w:name="_Toc513795214"/>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表</w:t>
      </w:r>
      <w:r>
        <w:rPr>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9</w:t>
      </w:r>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.1 项目区生产工况表</w:t>
      </w:r>
      <w:bookmarkEnd w:id="377"/>
      <w:bookmarkEnd w:id="378"/>
      <w:bookmarkEnd w:id="379"/>
      <w:bookmarkEnd w:id="380"/>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9"/>
        <w:gridCol w:w="1723"/>
        <w:gridCol w:w="1756"/>
        <w:gridCol w:w="1756"/>
        <w:gridCol w:w="1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892" w:type="pct"/>
            <w:tcBorders>
              <w:tl2br w:val="single" w:color="auto" w:sz="4" w:space="0"/>
            </w:tcBorders>
            <w:noWrap w:val="0"/>
            <w:vAlign w:val="center"/>
          </w:tcPr>
          <w:p>
            <w:pPr>
              <w:pStyle w:val="86"/>
              <w:spacing w:line="240" w:lineRule="auto"/>
              <w:jc w:val="right"/>
              <w:outlineLvl w:val="9"/>
              <w:rPr>
                <w:bCs/>
                <w:sz w:val="21"/>
                <w:szCs w:val="21"/>
                <w:highlight w:val="none"/>
              </w:rPr>
            </w:pPr>
            <w:bookmarkStart w:id="381" w:name="_Toc510513650"/>
            <w:bookmarkStart w:id="382" w:name="_Toc513795215"/>
            <w:bookmarkStart w:id="383" w:name="_Toc512519575"/>
            <w:r>
              <w:rPr>
                <w:rFonts w:hint="eastAsia" w:hAnsi="宋体"/>
                <w:bCs/>
                <w:sz w:val="21"/>
                <w:szCs w:val="21"/>
                <w:highlight w:val="none"/>
                <w:lang w:val="en-US" w:eastAsia="zh-CN"/>
              </w:rPr>
              <w:t xml:space="preserve">             </w:t>
            </w:r>
            <w:bookmarkStart w:id="384" w:name="_Toc1326"/>
            <w:r>
              <w:rPr>
                <w:rFonts w:hAnsi="宋体"/>
                <w:bCs/>
                <w:sz w:val="21"/>
                <w:szCs w:val="21"/>
                <w:highlight w:val="none"/>
              </w:rPr>
              <w:t>日期</w:t>
            </w:r>
            <w:bookmarkEnd w:id="381"/>
            <w:bookmarkEnd w:id="382"/>
            <w:bookmarkEnd w:id="383"/>
            <w:bookmarkEnd w:id="384"/>
          </w:p>
          <w:p>
            <w:pPr>
              <w:pStyle w:val="86"/>
              <w:spacing w:line="240" w:lineRule="auto"/>
              <w:jc w:val="both"/>
              <w:outlineLvl w:val="9"/>
              <w:rPr>
                <w:bCs/>
                <w:sz w:val="21"/>
                <w:szCs w:val="21"/>
                <w:highlight w:val="none"/>
              </w:rPr>
            </w:pPr>
            <w:bookmarkStart w:id="385" w:name="_Toc512519576"/>
            <w:bookmarkStart w:id="386" w:name="_Toc13227"/>
            <w:bookmarkStart w:id="387" w:name="_Toc510513651"/>
            <w:bookmarkStart w:id="388" w:name="_Toc513795216"/>
            <w:r>
              <w:rPr>
                <w:rFonts w:hAnsi="宋体"/>
                <w:bCs/>
                <w:sz w:val="21"/>
                <w:szCs w:val="21"/>
                <w:highlight w:val="none"/>
              </w:rPr>
              <w:t>项目</w:t>
            </w:r>
            <w:bookmarkEnd w:id="385"/>
            <w:bookmarkEnd w:id="386"/>
            <w:bookmarkEnd w:id="387"/>
            <w:bookmarkEnd w:id="388"/>
          </w:p>
        </w:tc>
        <w:tc>
          <w:tcPr>
            <w:tcW w:w="1012" w:type="pct"/>
            <w:noWrap w:val="0"/>
            <w:vAlign w:val="center"/>
          </w:tcPr>
          <w:p>
            <w:pPr>
              <w:pStyle w:val="86"/>
              <w:spacing w:line="240" w:lineRule="auto"/>
              <w:outlineLvl w:val="9"/>
              <w:rPr>
                <w:bCs/>
                <w:sz w:val="21"/>
                <w:szCs w:val="21"/>
                <w:highlight w:val="none"/>
              </w:rPr>
            </w:pPr>
            <w:bookmarkStart w:id="389" w:name="_Toc512519577"/>
            <w:bookmarkStart w:id="390" w:name="_Toc510513652"/>
            <w:bookmarkStart w:id="391" w:name="_Toc19975"/>
            <w:bookmarkStart w:id="392" w:name="_Toc513795217"/>
            <w:r>
              <w:rPr>
                <w:rFonts w:hint="eastAsia"/>
                <w:bCs/>
                <w:sz w:val="21"/>
                <w:szCs w:val="21"/>
                <w:highlight w:val="none"/>
                <w:lang w:val="en-US" w:eastAsia="zh-CN"/>
              </w:rPr>
              <w:t>7</w:t>
            </w:r>
            <w:r>
              <w:rPr>
                <w:rFonts w:hAnsi="宋体"/>
                <w:bCs/>
                <w:sz w:val="21"/>
                <w:szCs w:val="21"/>
                <w:highlight w:val="none"/>
              </w:rPr>
              <w:t>月</w:t>
            </w:r>
            <w:r>
              <w:rPr>
                <w:rFonts w:hint="eastAsia" w:hAnsi="宋体"/>
                <w:bCs/>
                <w:sz w:val="21"/>
                <w:szCs w:val="21"/>
                <w:highlight w:val="none"/>
                <w:lang w:val="en-US" w:eastAsia="zh-CN"/>
              </w:rPr>
              <w:t>20</w:t>
            </w:r>
            <w:r>
              <w:rPr>
                <w:rFonts w:hAnsi="宋体"/>
                <w:bCs/>
                <w:sz w:val="21"/>
                <w:szCs w:val="21"/>
                <w:highlight w:val="none"/>
              </w:rPr>
              <w:t>日</w:t>
            </w:r>
            <w:bookmarkEnd w:id="389"/>
            <w:bookmarkEnd w:id="390"/>
            <w:bookmarkEnd w:id="391"/>
            <w:bookmarkEnd w:id="392"/>
          </w:p>
        </w:tc>
        <w:tc>
          <w:tcPr>
            <w:tcW w:w="1031" w:type="pct"/>
            <w:noWrap w:val="0"/>
            <w:vAlign w:val="center"/>
          </w:tcPr>
          <w:p>
            <w:pPr>
              <w:pStyle w:val="86"/>
              <w:spacing w:line="240" w:lineRule="auto"/>
              <w:outlineLvl w:val="9"/>
              <w:rPr>
                <w:bCs/>
                <w:sz w:val="21"/>
                <w:szCs w:val="21"/>
                <w:highlight w:val="none"/>
              </w:rPr>
            </w:pPr>
            <w:bookmarkStart w:id="393" w:name="_Toc512519578"/>
            <w:bookmarkStart w:id="394" w:name="_Toc513795218"/>
            <w:bookmarkStart w:id="395" w:name="_Toc10538"/>
            <w:bookmarkStart w:id="396" w:name="_Toc510513653"/>
            <w:r>
              <w:rPr>
                <w:rFonts w:hint="eastAsia"/>
                <w:bCs/>
                <w:color w:val="auto"/>
                <w:sz w:val="21"/>
                <w:szCs w:val="21"/>
                <w:highlight w:val="none"/>
                <w:lang w:val="en-US" w:eastAsia="zh-CN"/>
              </w:rPr>
              <w:t>7</w:t>
            </w:r>
            <w:r>
              <w:rPr>
                <w:rFonts w:hAnsi="宋体"/>
                <w:bCs/>
                <w:color w:val="auto"/>
                <w:sz w:val="21"/>
                <w:szCs w:val="21"/>
                <w:highlight w:val="none"/>
              </w:rPr>
              <w:t>月</w:t>
            </w:r>
            <w:r>
              <w:rPr>
                <w:rFonts w:hint="eastAsia"/>
                <w:bCs/>
                <w:sz w:val="21"/>
                <w:szCs w:val="21"/>
                <w:highlight w:val="none"/>
                <w:lang w:val="en-US" w:eastAsia="zh-CN"/>
              </w:rPr>
              <w:t>21</w:t>
            </w:r>
            <w:r>
              <w:rPr>
                <w:rFonts w:hAnsi="宋体"/>
                <w:bCs/>
                <w:sz w:val="21"/>
                <w:szCs w:val="21"/>
                <w:highlight w:val="none"/>
              </w:rPr>
              <w:t>日</w:t>
            </w:r>
            <w:bookmarkEnd w:id="393"/>
            <w:bookmarkEnd w:id="394"/>
            <w:bookmarkEnd w:id="395"/>
            <w:bookmarkEnd w:id="396"/>
          </w:p>
        </w:tc>
        <w:tc>
          <w:tcPr>
            <w:tcW w:w="1031" w:type="pct"/>
            <w:noWrap w:val="0"/>
            <w:vAlign w:val="center"/>
          </w:tcPr>
          <w:p>
            <w:pPr>
              <w:pStyle w:val="86"/>
              <w:spacing w:line="240" w:lineRule="auto"/>
              <w:outlineLvl w:val="9"/>
              <w:rPr>
                <w:rFonts w:hint="default"/>
                <w:bCs/>
                <w:color w:val="auto"/>
                <w:sz w:val="21"/>
                <w:szCs w:val="21"/>
                <w:highlight w:val="none"/>
                <w:lang w:val="en-US" w:eastAsia="zh-CN"/>
              </w:rPr>
            </w:pPr>
            <w:r>
              <w:rPr>
                <w:rFonts w:hint="eastAsia"/>
                <w:bCs/>
                <w:color w:val="auto"/>
                <w:sz w:val="21"/>
                <w:szCs w:val="21"/>
                <w:highlight w:val="none"/>
                <w:lang w:val="en-US" w:eastAsia="zh-CN"/>
              </w:rPr>
              <w:t>8月15日</w:t>
            </w:r>
          </w:p>
        </w:tc>
        <w:tc>
          <w:tcPr>
            <w:tcW w:w="1032" w:type="pct"/>
            <w:noWrap w:val="0"/>
            <w:vAlign w:val="center"/>
          </w:tcPr>
          <w:p>
            <w:pPr>
              <w:pStyle w:val="86"/>
              <w:spacing w:line="240" w:lineRule="auto"/>
              <w:outlineLvl w:val="9"/>
              <w:rPr>
                <w:rFonts w:hint="eastAsia"/>
                <w:bCs/>
                <w:color w:val="auto"/>
                <w:sz w:val="21"/>
                <w:szCs w:val="21"/>
                <w:highlight w:val="none"/>
                <w:lang w:val="en-US" w:eastAsia="zh-CN"/>
              </w:rPr>
            </w:pPr>
            <w:r>
              <w:rPr>
                <w:rFonts w:hint="eastAsia"/>
                <w:bCs/>
                <w:color w:val="auto"/>
                <w:sz w:val="21"/>
                <w:szCs w:val="21"/>
                <w:highlight w:val="none"/>
                <w:lang w:val="en-US" w:eastAsia="zh-CN"/>
              </w:rPr>
              <w:t>8月16日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892" w:type="pct"/>
            <w:noWrap w:val="0"/>
            <w:vAlign w:val="center"/>
          </w:tcPr>
          <w:p>
            <w:pPr>
              <w:pStyle w:val="86"/>
              <w:spacing w:line="240" w:lineRule="auto"/>
              <w:outlineLvl w:val="9"/>
              <w:rPr>
                <w:bCs/>
                <w:sz w:val="21"/>
                <w:szCs w:val="21"/>
              </w:rPr>
            </w:pPr>
            <w:bookmarkStart w:id="397" w:name="_Toc510513654"/>
            <w:bookmarkStart w:id="398" w:name="_Toc1549"/>
            <w:bookmarkStart w:id="399" w:name="_Toc513795219"/>
            <w:bookmarkStart w:id="400" w:name="_Toc512519579"/>
            <w:r>
              <w:rPr>
                <w:rFonts w:hAnsi="宋体"/>
                <w:bCs/>
                <w:sz w:val="21"/>
                <w:szCs w:val="21"/>
              </w:rPr>
              <w:t>环评申报时生产能力</w:t>
            </w:r>
            <w:bookmarkEnd w:id="397"/>
            <w:bookmarkEnd w:id="398"/>
            <w:bookmarkEnd w:id="399"/>
            <w:bookmarkEnd w:id="400"/>
          </w:p>
          <w:p>
            <w:pPr>
              <w:pStyle w:val="86"/>
              <w:spacing w:line="240" w:lineRule="auto"/>
              <w:outlineLvl w:val="9"/>
              <w:rPr>
                <w:bCs/>
                <w:sz w:val="21"/>
                <w:szCs w:val="21"/>
              </w:rPr>
            </w:pPr>
            <w:bookmarkStart w:id="401" w:name="_Toc512519580"/>
            <w:bookmarkStart w:id="402" w:name="_Toc510513655"/>
            <w:bookmarkStart w:id="403" w:name="_Toc513795220"/>
            <w:bookmarkStart w:id="404" w:name="_Toc7598"/>
            <w:r>
              <w:rPr>
                <w:rFonts w:hAnsi="宋体"/>
                <w:bCs/>
                <w:sz w:val="21"/>
                <w:szCs w:val="21"/>
              </w:rPr>
              <w:t>（按年生产</w:t>
            </w:r>
            <w:r>
              <w:rPr>
                <w:rFonts w:hint="eastAsia"/>
                <w:bCs/>
                <w:sz w:val="21"/>
                <w:szCs w:val="21"/>
              </w:rPr>
              <w:t>300</w:t>
            </w:r>
            <w:r>
              <w:rPr>
                <w:rFonts w:hAnsi="宋体"/>
                <w:bCs/>
                <w:sz w:val="21"/>
                <w:szCs w:val="21"/>
              </w:rPr>
              <w:t>日计）</w:t>
            </w:r>
            <w:bookmarkEnd w:id="401"/>
            <w:bookmarkEnd w:id="402"/>
            <w:bookmarkEnd w:id="403"/>
            <w:bookmarkEnd w:id="404"/>
          </w:p>
        </w:tc>
        <w:tc>
          <w:tcPr>
            <w:tcW w:w="4107" w:type="pct"/>
            <w:gridSpan w:val="4"/>
            <w:noWrap w:val="0"/>
            <w:vAlign w:val="center"/>
          </w:tcPr>
          <w:p>
            <w:pPr>
              <w:pStyle w:val="86"/>
              <w:spacing w:line="240" w:lineRule="auto"/>
              <w:ind w:firstLine="0" w:firstLineChars="0"/>
              <w:outlineLvl w:val="9"/>
              <w:rPr>
                <w:rFonts w:hint="eastAsia"/>
                <w:bCs/>
                <w:sz w:val="21"/>
                <w:szCs w:val="21"/>
                <w:highlight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10万吨</w:t>
            </w:r>
            <w:r>
              <w:rPr>
                <w:rFonts w:hint="eastAsia" w:cs="Times New Roman"/>
                <w:color w:val="000000" w:themeColor="text1"/>
                <w:sz w:val="21"/>
                <w:szCs w:val="21"/>
                <w:lang w:val="en-US" w:eastAsia="zh-CN"/>
                <w14:textFill>
                  <w14:solidFill>
                    <w14:schemeClr w14:val="tx1"/>
                  </w14:solidFill>
                </w14:textFill>
              </w:rPr>
              <w:t>高端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金属结构件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2" w:type="pct"/>
            <w:noWrap w:val="0"/>
            <w:vAlign w:val="center"/>
          </w:tcPr>
          <w:p>
            <w:pPr>
              <w:pStyle w:val="86"/>
              <w:spacing w:line="240" w:lineRule="auto"/>
              <w:outlineLvl w:val="9"/>
              <w:rPr>
                <w:bCs/>
                <w:sz w:val="21"/>
                <w:szCs w:val="21"/>
              </w:rPr>
            </w:pPr>
            <w:bookmarkStart w:id="405" w:name="_Toc513795222"/>
            <w:bookmarkStart w:id="406" w:name="_Toc510513657"/>
            <w:bookmarkStart w:id="407" w:name="_Toc32339"/>
            <w:bookmarkStart w:id="408" w:name="_Toc512519582"/>
            <w:r>
              <w:rPr>
                <w:rFonts w:hAnsi="宋体"/>
                <w:bCs/>
                <w:sz w:val="21"/>
                <w:szCs w:val="21"/>
              </w:rPr>
              <w:t>实际生产能力</w:t>
            </w:r>
            <w:bookmarkEnd w:id="405"/>
            <w:bookmarkEnd w:id="406"/>
            <w:bookmarkEnd w:id="407"/>
            <w:bookmarkEnd w:id="408"/>
          </w:p>
          <w:p>
            <w:pPr>
              <w:pStyle w:val="86"/>
              <w:spacing w:line="240" w:lineRule="auto"/>
              <w:outlineLvl w:val="9"/>
              <w:rPr>
                <w:bCs/>
                <w:sz w:val="21"/>
                <w:szCs w:val="21"/>
              </w:rPr>
            </w:pPr>
            <w:bookmarkStart w:id="409" w:name="_Toc510513658"/>
            <w:bookmarkStart w:id="410" w:name="_Toc10852"/>
            <w:bookmarkStart w:id="411" w:name="_Toc513795223"/>
            <w:bookmarkStart w:id="412" w:name="_Toc512519583"/>
            <w:r>
              <w:rPr>
                <w:rFonts w:hAnsi="宋体"/>
                <w:bCs/>
                <w:sz w:val="21"/>
                <w:szCs w:val="21"/>
              </w:rPr>
              <w:t>（按年生产</w:t>
            </w:r>
            <w:r>
              <w:rPr>
                <w:rFonts w:hint="eastAsia"/>
                <w:bCs/>
                <w:sz w:val="21"/>
                <w:szCs w:val="21"/>
              </w:rPr>
              <w:t>300天</w:t>
            </w:r>
            <w:r>
              <w:rPr>
                <w:rFonts w:hAnsi="宋体"/>
                <w:bCs/>
                <w:sz w:val="21"/>
                <w:szCs w:val="21"/>
              </w:rPr>
              <w:t>计）</w:t>
            </w:r>
            <w:bookmarkEnd w:id="409"/>
            <w:bookmarkEnd w:id="410"/>
            <w:bookmarkEnd w:id="411"/>
            <w:bookmarkEnd w:id="412"/>
          </w:p>
        </w:tc>
        <w:tc>
          <w:tcPr>
            <w:tcW w:w="4107" w:type="pct"/>
            <w:gridSpan w:val="4"/>
            <w:noWrap w:val="0"/>
            <w:vAlign w:val="center"/>
          </w:tcPr>
          <w:p>
            <w:pPr>
              <w:pStyle w:val="86"/>
              <w:spacing w:line="240" w:lineRule="auto"/>
              <w:ind w:firstLine="0" w:firstLineChars="0"/>
              <w:outlineLvl w:val="9"/>
              <w:rPr>
                <w:rFonts w:hint="eastAsia"/>
                <w:bCs/>
                <w:sz w:val="21"/>
                <w:szCs w:val="21"/>
                <w:highlight w:val="none"/>
                <w:lang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10万吨</w:t>
            </w:r>
            <w:r>
              <w:rPr>
                <w:rFonts w:hint="eastAsia" w:cs="Times New Roman"/>
                <w:color w:val="000000" w:themeColor="text1"/>
                <w:sz w:val="21"/>
                <w:szCs w:val="21"/>
                <w:lang w:val="en-US" w:eastAsia="zh-CN"/>
                <w14:textFill>
                  <w14:solidFill>
                    <w14:schemeClr w14:val="tx1"/>
                  </w14:solidFill>
                </w14:textFill>
              </w:rPr>
              <w:t>高端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金属结构件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892" w:type="pct"/>
            <w:noWrap w:val="0"/>
            <w:vAlign w:val="center"/>
          </w:tcPr>
          <w:p>
            <w:pPr>
              <w:pStyle w:val="86"/>
              <w:spacing w:line="240" w:lineRule="auto"/>
              <w:outlineLvl w:val="9"/>
              <w:rPr>
                <w:bCs/>
                <w:sz w:val="21"/>
                <w:szCs w:val="21"/>
              </w:rPr>
            </w:pPr>
            <w:bookmarkStart w:id="413" w:name="_Toc19160"/>
            <w:bookmarkStart w:id="414" w:name="_Toc512519585"/>
            <w:bookmarkStart w:id="415" w:name="_Toc513795225"/>
            <w:bookmarkStart w:id="416" w:name="_Toc510513660"/>
            <w:r>
              <w:rPr>
                <w:rFonts w:hAnsi="宋体"/>
                <w:bCs/>
                <w:sz w:val="21"/>
                <w:szCs w:val="21"/>
              </w:rPr>
              <w:t>实际产量</w:t>
            </w:r>
            <w:bookmarkEnd w:id="413"/>
            <w:bookmarkEnd w:id="414"/>
            <w:bookmarkEnd w:id="415"/>
            <w:bookmarkEnd w:id="416"/>
          </w:p>
        </w:tc>
        <w:tc>
          <w:tcPr>
            <w:tcW w:w="1012" w:type="pct"/>
            <w:noWrap w:val="0"/>
            <w:vAlign w:val="center"/>
          </w:tcPr>
          <w:p>
            <w:pPr>
              <w:jc w:val="center"/>
              <w:rPr>
                <w:szCs w:val="21"/>
              </w:rPr>
            </w:pPr>
            <w:r>
              <w:rPr>
                <w:rFonts w:hint="eastAsia"/>
                <w:bCs/>
                <w:sz w:val="21"/>
                <w:szCs w:val="21"/>
                <w:lang w:val="en-US" w:eastAsia="zh-CN"/>
              </w:rPr>
              <w:t>296.7t</w:t>
            </w:r>
            <w:r>
              <w:rPr>
                <w:rFonts w:hint="eastAsia" w:cs="Times New Roman"/>
                <w:color w:val="000000" w:themeColor="text1"/>
                <w:sz w:val="21"/>
                <w:szCs w:val="21"/>
                <w:lang w:val="en-US" w:eastAsia="zh-CN"/>
                <w14:textFill>
                  <w14:solidFill>
                    <w14:schemeClr w14:val="tx1"/>
                  </w14:solidFill>
                </w14:textFill>
              </w:rPr>
              <w:t>高端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金属结构件</w:t>
            </w:r>
          </w:p>
        </w:tc>
        <w:tc>
          <w:tcPr>
            <w:tcW w:w="1031" w:type="pct"/>
            <w:noWrap w:val="0"/>
            <w:vAlign w:val="center"/>
          </w:tcPr>
          <w:p>
            <w:pPr>
              <w:jc w:val="center"/>
              <w:rPr>
                <w:rFonts w:hint="default" w:eastAsia="宋体"/>
                <w:szCs w:val="21"/>
                <w:lang w:val="en-US" w:eastAsia="zh-CN"/>
              </w:rPr>
            </w:pPr>
            <w:r>
              <w:rPr>
                <w:rFonts w:hint="eastAsia"/>
                <w:szCs w:val="21"/>
                <w:lang w:val="en-US" w:eastAsia="zh-CN"/>
              </w:rPr>
              <w:t>316.7t</w:t>
            </w:r>
            <w:r>
              <w:rPr>
                <w:rFonts w:hint="eastAsia" w:cs="Times New Roman"/>
                <w:color w:val="000000" w:themeColor="text1"/>
                <w:sz w:val="21"/>
                <w:szCs w:val="21"/>
                <w:lang w:val="en-US" w:eastAsia="zh-CN"/>
                <w14:textFill>
                  <w14:solidFill>
                    <w14:schemeClr w14:val="tx1"/>
                  </w14:solidFill>
                </w14:textFill>
              </w:rPr>
              <w:t>高端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金属结构件</w:t>
            </w:r>
          </w:p>
        </w:tc>
        <w:tc>
          <w:tcPr>
            <w:tcW w:w="1031" w:type="pct"/>
            <w:noWrap w:val="0"/>
            <w:vAlign w:val="center"/>
          </w:tcPr>
          <w:p>
            <w:pPr>
              <w:jc w:val="center"/>
              <w:rPr>
                <w:rFonts w:hint="default"/>
                <w:bCs/>
                <w:sz w:val="21"/>
                <w:szCs w:val="21"/>
                <w:highlight w:val="none"/>
                <w:lang w:val="en-US" w:eastAsia="zh-CN"/>
              </w:rPr>
            </w:pPr>
            <w:r>
              <w:rPr>
                <w:rFonts w:hint="eastAsia"/>
                <w:bCs/>
                <w:sz w:val="21"/>
                <w:szCs w:val="21"/>
                <w:highlight w:val="none"/>
                <w:lang w:val="en-US" w:eastAsia="zh-CN"/>
              </w:rPr>
              <w:t>306.7t</w:t>
            </w:r>
            <w:r>
              <w:rPr>
                <w:rFonts w:hint="eastAsia" w:cs="Times New Roman"/>
                <w:color w:val="000000" w:themeColor="text1"/>
                <w:sz w:val="21"/>
                <w:szCs w:val="21"/>
                <w:lang w:val="en-US" w:eastAsia="zh-CN"/>
                <w14:textFill>
                  <w14:solidFill>
                    <w14:schemeClr w14:val="tx1"/>
                  </w14:solidFill>
                </w14:textFill>
              </w:rPr>
              <w:t>高端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金属结构件</w:t>
            </w:r>
          </w:p>
        </w:tc>
        <w:tc>
          <w:tcPr>
            <w:tcW w:w="1032" w:type="pct"/>
            <w:noWrap w:val="0"/>
            <w:vAlign w:val="center"/>
          </w:tcPr>
          <w:p>
            <w:pPr>
              <w:jc w:val="center"/>
              <w:rPr>
                <w:rFonts w:hint="default"/>
                <w:bCs/>
                <w:sz w:val="21"/>
                <w:szCs w:val="21"/>
                <w:highlight w:val="none"/>
                <w:lang w:val="en-US" w:eastAsia="zh-CN"/>
              </w:rPr>
            </w:pPr>
            <w:r>
              <w:rPr>
                <w:rFonts w:hint="eastAsia"/>
                <w:bCs/>
                <w:sz w:val="21"/>
                <w:szCs w:val="21"/>
                <w:highlight w:val="none"/>
                <w:lang w:val="en-US" w:eastAsia="zh-CN"/>
              </w:rPr>
              <w:t>310t</w:t>
            </w:r>
            <w:r>
              <w:rPr>
                <w:rFonts w:hint="eastAsia" w:cs="Times New Roman"/>
                <w:color w:val="000000" w:themeColor="text1"/>
                <w:sz w:val="21"/>
                <w:szCs w:val="21"/>
                <w:lang w:val="en-US" w:eastAsia="zh-CN"/>
                <w14:textFill>
                  <w14:solidFill>
                    <w14:schemeClr w14:val="tx1"/>
                  </w14:solidFill>
                </w14:textFill>
              </w:rPr>
              <w:t>高端</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金属结构件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92" w:type="pct"/>
            <w:noWrap w:val="0"/>
            <w:vAlign w:val="center"/>
          </w:tcPr>
          <w:p>
            <w:pPr>
              <w:pStyle w:val="86"/>
              <w:spacing w:line="240" w:lineRule="auto"/>
              <w:outlineLvl w:val="9"/>
              <w:rPr>
                <w:bCs/>
                <w:sz w:val="21"/>
                <w:szCs w:val="21"/>
              </w:rPr>
            </w:pPr>
            <w:bookmarkStart w:id="417" w:name="_Toc510513661"/>
            <w:bookmarkStart w:id="418" w:name="_Toc513795226"/>
            <w:bookmarkStart w:id="419" w:name="_Toc7061"/>
            <w:bookmarkStart w:id="420" w:name="_Toc512519586"/>
            <w:r>
              <w:rPr>
                <w:rFonts w:hAnsi="宋体"/>
                <w:bCs/>
                <w:sz w:val="21"/>
                <w:szCs w:val="21"/>
              </w:rPr>
              <w:t>生产负荷（</w:t>
            </w:r>
            <w:r>
              <w:rPr>
                <w:rFonts w:hint="default" w:ascii="Times New Roman" w:hAnsi="Times New Roman" w:cs="Times New Roman"/>
                <w:bCs/>
                <w:sz w:val="21"/>
                <w:szCs w:val="21"/>
              </w:rPr>
              <w:t>％</w:t>
            </w:r>
            <w:r>
              <w:rPr>
                <w:rFonts w:hAnsi="宋体"/>
                <w:bCs/>
                <w:sz w:val="21"/>
                <w:szCs w:val="21"/>
              </w:rPr>
              <w:t>）</w:t>
            </w:r>
            <w:bookmarkEnd w:id="417"/>
            <w:bookmarkEnd w:id="418"/>
            <w:bookmarkEnd w:id="419"/>
            <w:bookmarkEnd w:id="420"/>
          </w:p>
        </w:tc>
        <w:tc>
          <w:tcPr>
            <w:tcW w:w="1012" w:type="pct"/>
            <w:noWrap w:val="0"/>
            <w:vAlign w:val="center"/>
          </w:tcPr>
          <w:p>
            <w:pPr>
              <w:jc w:val="center"/>
              <w:rPr>
                <w:rFonts w:hint="default" w:eastAsia="宋体"/>
                <w:bCs/>
                <w:sz w:val="21"/>
                <w:szCs w:val="21"/>
                <w:lang w:val="en-US" w:eastAsia="zh-CN"/>
              </w:rPr>
            </w:pPr>
            <w:r>
              <w:rPr>
                <w:rFonts w:hint="eastAsia"/>
                <w:bCs/>
                <w:sz w:val="21"/>
                <w:szCs w:val="21"/>
                <w:lang w:val="en-US" w:eastAsia="zh-CN"/>
              </w:rPr>
              <w:t>89</w:t>
            </w:r>
          </w:p>
        </w:tc>
        <w:tc>
          <w:tcPr>
            <w:tcW w:w="1031" w:type="pct"/>
            <w:noWrap w:val="0"/>
            <w:vAlign w:val="center"/>
          </w:tcPr>
          <w:p>
            <w:pPr>
              <w:jc w:val="center"/>
              <w:rPr>
                <w:rFonts w:hint="default" w:eastAsia="宋体"/>
                <w:bCs/>
                <w:sz w:val="21"/>
                <w:szCs w:val="21"/>
                <w:lang w:val="en-US" w:eastAsia="zh-CN"/>
              </w:rPr>
            </w:pPr>
            <w:r>
              <w:rPr>
                <w:rFonts w:hint="eastAsia"/>
                <w:bCs/>
                <w:sz w:val="21"/>
                <w:szCs w:val="21"/>
                <w:lang w:val="en-US" w:eastAsia="zh-CN"/>
              </w:rPr>
              <w:t>95</w:t>
            </w:r>
          </w:p>
        </w:tc>
        <w:tc>
          <w:tcPr>
            <w:tcW w:w="1031" w:type="pct"/>
            <w:noWrap w:val="0"/>
            <w:vAlign w:val="center"/>
          </w:tcPr>
          <w:p>
            <w:pPr>
              <w:jc w:val="center"/>
              <w:rPr>
                <w:rFonts w:hint="default"/>
                <w:sz w:val="21"/>
                <w:szCs w:val="21"/>
                <w:highlight w:val="none"/>
                <w:lang w:val="en-US" w:eastAsia="zh-CN"/>
              </w:rPr>
            </w:pPr>
            <w:r>
              <w:rPr>
                <w:rFonts w:hint="eastAsia"/>
                <w:sz w:val="21"/>
                <w:szCs w:val="21"/>
                <w:highlight w:val="none"/>
                <w:lang w:val="en-US" w:eastAsia="zh-CN"/>
              </w:rPr>
              <w:t>92</w:t>
            </w:r>
          </w:p>
        </w:tc>
        <w:tc>
          <w:tcPr>
            <w:tcW w:w="1032" w:type="pct"/>
            <w:noWrap w:val="0"/>
            <w:vAlign w:val="center"/>
          </w:tcPr>
          <w:p>
            <w:pPr>
              <w:jc w:val="center"/>
              <w:rPr>
                <w:rFonts w:hint="default"/>
                <w:sz w:val="21"/>
                <w:szCs w:val="21"/>
                <w:highlight w:val="none"/>
                <w:lang w:val="en-US" w:eastAsia="zh-CN"/>
              </w:rPr>
            </w:pPr>
            <w:r>
              <w:rPr>
                <w:rFonts w:hint="eastAsia"/>
                <w:sz w:val="21"/>
                <w:szCs w:val="21"/>
                <w:highlight w:val="none"/>
                <w:lang w:val="en-US" w:eastAsia="zh-CN"/>
              </w:rPr>
              <w:t>93</w:t>
            </w:r>
          </w:p>
        </w:tc>
      </w:tr>
    </w:tbl>
    <w:p>
      <w:pPr>
        <w:pStyle w:val="40"/>
        <w:ind w:firstLine="0" w:firstLineChars="0"/>
        <w:outlineLvl w:val="1"/>
        <w:rPr>
          <w:b/>
          <w:bCs/>
          <w:sz w:val="28"/>
          <w:szCs w:val="28"/>
        </w:rPr>
      </w:pPr>
      <w:bookmarkStart w:id="421" w:name="_Toc6319"/>
      <w:r>
        <w:rPr>
          <w:rFonts w:hint="eastAsia"/>
          <w:b/>
          <w:bCs/>
          <w:sz w:val="28"/>
          <w:szCs w:val="28"/>
        </w:rPr>
        <w:t>9.2</w:t>
      </w:r>
      <w:r>
        <w:rPr>
          <w:b/>
          <w:bCs/>
          <w:sz w:val="28"/>
          <w:szCs w:val="28"/>
        </w:rPr>
        <w:t>环境保护设施调试效果</w:t>
      </w:r>
      <w:bookmarkEnd w:id="369"/>
      <w:bookmarkEnd w:id="370"/>
      <w:bookmarkEnd w:id="371"/>
      <w:bookmarkEnd w:id="372"/>
      <w:bookmarkEnd w:id="373"/>
      <w:bookmarkEnd w:id="374"/>
      <w:bookmarkEnd w:id="375"/>
      <w:bookmarkEnd w:id="376"/>
      <w:bookmarkEnd w:id="421"/>
    </w:p>
    <w:p>
      <w:pPr>
        <w:numPr>
          <w:ilvl w:val="0"/>
          <w:numId w:val="0"/>
        </w:num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eastAsia" w:cs="Times New Roman"/>
          <w:b/>
          <w:color w:val="000000" w:themeColor="text1"/>
          <w:sz w:val="24"/>
          <w:lang w:val="en-US" w:eastAsia="zh-CN"/>
          <w14:textFill>
            <w14:solidFill>
              <w14:schemeClr w14:val="tx1"/>
            </w14:solidFill>
          </w14:textFill>
        </w:rPr>
        <w:t>1、</w:t>
      </w:r>
      <w:r>
        <w:rPr>
          <w:rFonts w:hint="default" w:ascii="Times New Roman" w:hAnsi="Times New Roman" w:cs="Times New Roman"/>
          <w:b/>
          <w:color w:val="000000" w:themeColor="text1"/>
          <w:sz w:val="24"/>
          <w14:textFill>
            <w14:solidFill>
              <w14:schemeClr w14:val="tx1"/>
            </w14:solidFill>
          </w14:textFill>
        </w:rPr>
        <w:t xml:space="preserve">废气监测结果 </w:t>
      </w:r>
      <w:r>
        <w:rPr>
          <w:rFonts w:hint="default" w:ascii="Times New Roman" w:hAnsi="Times New Roman" w:cs="Times New Roman"/>
          <w:b/>
          <w:color w:val="000000" w:themeColor="text1"/>
          <w:sz w:val="28"/>
          <w:szCs w:val="28"/>
          <w14:textFill>
            <w14:solidFill>
              <w14:schemeClr w14:val="tx1"/>
            </w14:solidFill>
          </w14:textFill>
        </w:rPr>
        <w:t xml:space="preserve"> </w:t>
      </w:r>
    </w:p>
    <w:p>
      <w:pPr>
        <w:spacing w:line="360" w:lineRule="auto"/>
        <w:jc w:val="left"/>
        <w:rPr>
          <w:rFonts w:hint="eastAsia" w:ascii="Times New Roman" w:hAnsi="Times New Roman" w:cs="Times New Roman" w:eastAsiaTheme="minorEastAsia"/>
          <w:b/>
          <w:color w:val="000000" w:themeColor="text1"/>
          <w:sz w:val="24"/>
          <w:lang w:eastAsia="zh-CN"/>
          <w14:textFill>
            <w14:solidFill>
              <w14:schemeClr w14:val="tx1"/>
            </w14:solidFill>
          </w14:textFill>
        </w:rPr>
      </w:pPr>
      <w:r>
        <w:rPr>
          <w:rFonts w:hint="default" w:ascii="Times New Roman" w:hAnsi="Times New Roman" w:cs="Times New Roman"/>
          <w:b/>
          <w:color w:val="000000" w:themeColor="text1"/>
          <w:sz w:val="24"/>
          <w:lang w:eastAsia="zh-CN"/>
          <w14:textFill>
            <w14:solidFill>
              <w14:schemeClr w14:val="tx1"/>
            </w14:solidFill>
          </w14:textFill>
        </w:rPr>
        <w:t>（</w:t>
      </w:r>
      <w:r>
        <w:rPr>
          <w:rFonts w:hint="default" w:ascii="Times New Roman" w:hAnsi="Times New Roman" w:cs="Times New Roman"/>
          <w:b/>
          <w:color w:val="000000" w:themeColor="text1"/>
          <w:sz w:val="24"/>
          <w:lang w:val="en-US" w:eastAsia="zh-CN"/>
          <w14:textFill>
            <w14:solidFill>
              <w14:schemeClr w14:val="tx1"/>
            </w14:solidFill>
          </w14:textFill>
        </w:rPr>
        <w:t>1</w:t>
      </w:r>
      <w:r>
        <w:rPr>
          <w:rFonts w:hint="default" w:ascii="Times New Roman" w:hAnsi="Times New Roman" w:cs="Times New Roman"/>
          <w:b/>
          <w:color w:val="000000" w:themeColor="text1"/>
          <w:sz w:val="24"/>
          <w:lang w:eastAsia="zh-CN"/>
          <w14:textFill>
            <w14:solidFill>
              <w14:schemeClr w14:val="tx1"/>
            </w14:solidFill>
          </w14:textFill>
        </w:rPr>
        <w:t>）</w:t>
      </w:r>
      <w:r>
        <w:rPr>
          <w:rFonts w:hint="eastAsia" w:cs="Times New Roman"/>
          <w:b/>
          <w:color w:val="000000" w:themeColor="text1"/>
          <w:sz w:val="24"/>
          <w:lang w:eastAsia="zh-CN"/>
          <w14:textFill>
            <w14:solidFill>
              <w14:schemeClr w14:val="tx1"/>
            </w14:solidFill>
          </w14:textFill>
        </w:rPr>
        <w:t>有</w:t>
      </w:r>
      <w:r>
        <w:rPr>
          <w:rFonts w:hint="default" w:ascii="Times New Roman" w:hAnsi="Times New Roman" w:cs="Times New Roman"/>
          <w:b/>
          <w:color w:val="000000" w:themeColor="text1"/>
          <w:sz w:val="24"/>
          <w:lang w:eastAsia="zh-CN"/>
          <w14:textFill>
            <w14:solidFill>
              <w14:schemeClr w14:val="tx1"/>
            </w14:solidFill>
          </w14:textFill>
        </w:rPr>
        <w:t>组织废气</w:t>
      </w:r>
    </w:p>
    <w:p>
      <w:pPr>
        <w:spacing w:line="360" w:lineRule="auto"/>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w:t>
      </w:r>
      <w:r>
        <w:rPr>
          <w:rFonts w:hint="eastAsia" w:ascii="Times New Roman" w:hAnsi="Times New Roman" w:cs="Times New Roman"/>
          <w:b/>
          <w:color w:val="000000" w:themeColor="text1"/>
          <w:sz w:val="24"/>
          <w:lang w:val="en-US" w:eastAsia="zh-CN"/>
          <w14:textFill>
            <w14:solidFill>
              <w14:schemeClr w14:val="tx1"/>
            </w14:solidFill>
          </w14:textFill>
        </w:rPr>
        <w:t>9</w:t>
      </w:r>
      <w:r>
        <w:rPr>
          <w:rFonts w:hint="default" w:ascii="Times New Roman" w:hAnsi="Times New Roman" w:cs="Times New Roman"/>
          <w:b/>
          <w:color w:val="000000" w:themeColor="text1"/>
          <w:sz w:val="24"/>
          <w14:textFill>
            <w14:solidFill>
              <w14:schemeClr w14:val="tx1"/>
            </w14:solidFill>
          </w14:textFill>
        </w:rPr>
        <w:t>.</w:t>
      </w:r>
      <w:r>
        <w:rPr>
          <w:rFonts w:hint="eastAsia" w:cs="Times New Roman"/>
          <w:b/>
          <w:color w:val="000000" w:themeColor="text1"/>
          <w:sz w:val="24"/>
          <w:lang w:val="en-US" w:eastAsia="zh-CN"/>
          <w14:textFill>
            <w14:solidFill>
              <w14:schemeClr w14:val="tx1"/>
            </w14:solidFill>
          </w14:textFill>
        </w:rPr>
        <w:t>2-1</w:t>
      </w:r>
      <w:r>
        <w:rPr>
          <w:rFonts w:hint="default" w:ascii="Times New Roman" w:hAnsi="Times New Roman" w:cs="Times New Roman"/>
          <w:b/>
          <w:color w:val="000000" w:themeColor="text1"/>
          <w:sz w:val="24"/>
          <w14:textFill>
            <w14:solidFill>
              <w14:schemeClr w14:val="tx1"/>
            </w14:solidFill>
          </w14:textFill>
        </w:rPr>
        <w:t xml:space="preserve">  项目</w:t>
      </w:r>
      <w:r>
        <w:rPr>
          <w:rFonts w:hint="eastAsia" w:cs="Times New Roman"/>
          <w:b/>
          <w:color w:val="000000" w:themeColor="text1"/>
          <w:sz w:val="24"/>
          <w:lang w:eastAsia="zh-CN"/>
          <w14:textFill>
            <w14:solidFill>
              <w14:schemeClr w14:val="tx1"/>
            </w14:solidFill>
          </w14:textFill>
        </w:rPr>
        <w:t>有组织废气</w:t>
      </w:r>
      <w:r>
        <w:rPr>
          <w:rFonts w:hint="default" w:ascii="Times New Roman" w:hAnsi="Times New Roman" w:cs="Times New Roman"/>
          <w:b/>
          <w:color w:val="000000" w:themeColor="text1"/>
          <w:sz w:val="24"/>
          <w14:textFill>
            <w14:solidFill>
              <w14:schemeClr w14:val="tx1"/>
            </w14:solidFill>
          </w14:textFill>
        </w:rPr>
        <w:t>监测结果统计表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423"/>
        <w:gridCol w:w="1181"/>
        <w:gridCol w:w="1014"/>
        <w:gridCol w:w="1014"/>
        <w:gridCol w:w="1014"/>
        <w:gridCol w:w="51"/>
        <w:gridCol w:w="963"/>
        <w:gridCol w:w="1015"/>
        <w:gridCol w:w="1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1426" w:type="pct"/>
            <w:gridSpan w:val="3"/>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采样日期</w:t>
            </w:r>
          </w:p>
        </w:tc>
        <w:tc>
          <w:tcPr>
            <w:tcW w:w="1815" w:type="pct"/>
            <w:gridSpan w:val="4"/>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2023.7.20</w:t>
            </w:r>
          </w:p>
        </w:tc>
        <w:tc>
          <w:tcPr>
            <w:tcW w:w="1757" w:type="pct"/>
            <w:gridSpan w:val="3"/>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2023.7.21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5" w:type="pct"/>
            <w:vMerge w:val="restar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检测点位</w:t>
            </w:r>
          </w:p>
        </w:tc>
        <w:tc>
          <w:tcPr>
            <w:tcW w:w="941" w:type="pct"/>
            <w:gridSpan w:val="2"/>
            <w:vMerge w:val="restar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检测项目</w:t>
            </w:r>
          </w:p>
        </w:tc>
        <w:tc>
          <w:tcPr>
            <w:tcW w:w="3573" w:type="pct"/>
            <w:gridSpan w:val="7"/>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941" w:type="pct"/>
            <w:gridSpan w:val="2"/>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第一次</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第二次</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第三次</w:t>
            </w:r>
          </w:p>
        </w:tc>
        <w:tc>
          <w:tcPr>
            <w:tcW w:w="595" w:type="pct"/>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第一次</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第二次</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5" w:type="pct"/>
            <w:vMerge w:val="restar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DA002（排气筒进口）</w:t>
            </w:r>
          </w:p>
        </w:tc>
        <w:tc>
          <w:tcPr>
            <w:tcW w:w="941" w:type="pct"/>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标干流量(m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/h)</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34141</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34674</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35007</w:t>
            </w:r>
          </w:p>
        </w:tc>
        <w:tc>
          <w:tcPr>
            <w:tcW w:w="595" w:type="pct"/>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35571</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35897</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34958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restar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颗粒物</w:t>
            </w: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进口浓度(mg/m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67</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78</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70</w:t>
            </w:r>
          </w:p>
        </w:tc>
        <w:tc>
          <w:tcPr>
            <w:tcW w:w="595" w:type="pct"/>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65</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81</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进口平均浓度</w:t>
            </w:r>
            <w:r>
              <w:rPr>
                <w:rFonts w:hint="default" w:ascii="Times New Roman" w:hAnsi="Times New Roman" w:eastAsia="宋体" w:cs="Times New Roman"/>
                <w:color w:val="auto"/>
                <w:kern w:val="2"/>
                <w:sz w:val="21"/>
                <w:szCs w:val="21"/>
                <w:lang w:val="en-US" w:eastAsia="zh-CN" w:bidi="ar-SA"/>
              </w:rPr>
              <w:t>(mg/m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c>
          <w:tcPr>
            <w:tcW w:w="3573" w:type="pct"/>
            <w:gridSpan w:val="7"/>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进口速率(kg/h)</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2.29</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2.70</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2.45</w:t>
            </w:r>
          </w:p>
        </w:tc>
        <w:tc>
          <w:tcPr>
            <w:tcW w:w="595" w:type="pct"/>
            <w:gridSpan w:val="2"/>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2.31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2.91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进口平均速率</w:t>
            </w:r>
            <w:r>
              <w:rPr>
                <w:rFonts w:hint="default" w:ascii="Times New Roman" w:hAnsi="Times New Roman" w:eastAsia="宋体" w:cs="Times New Roman"/>
                <w:color w:val="auto"/>
                <w:kern w:val="2"/>
                <w:sz w:val="21"/>
                <w:szCs w:val="21"/>
                <w:lang w:val="en-US" w:eastAsia="zh-CN" w:bidi="ar-SA"/>
              </w:rPr>
              <w:t>(kg/h)</w:t>
            </w:r>
          </w:p>
        </w:tc>
        <w:tc>
          <w:tcPr>
            <w:tcW w:w="3573" w:type="pct"/>
            <w:gridSpan w:val="7"/>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restar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氯化氢</w:t>
            </w: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进口浓度(mg/m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1.4</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1.7</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1.1</w:t>
            </w:r>
          </w:p>
        </w:tc>
        <w:tc>
          <w:tcPr>
            <w:tcW w:w="595" w:type="pct"/>
            <w:gridSpan w:val="2"/>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2.0</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1.6</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进口平均浓度</w:t>
            </w:r>
            <w:r>
              <w:rPr>
                <w:rFonts w:hint="default" w:ascii="Times New Roman" w:hAnsi="Times New Roman" w:eastAsia="宋体" w:cs="Times New Roman"/>
                <w:color w:val="auto"/>
                <w:kern w:val="2"/>
                <w:sz w:val="21"/>
                <w:szCs w:val="21"/>
                <w:lang w:val="en-US" w:eastAsia="zh-CN" w:bidi="ar-SA"/>
              </w:rPr>
              <w:t>(mg/m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c>
          <w:tcPr>
            <w:tcW w:w="3573" w:type="pct"/>
            <w:gridSpan w:val="7"/>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进口速率(kg/h)</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4.78</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-2</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5.89</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-2</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3.85</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-2</w:t>
            </w:r>
          </w:p>
        </w:tc>
        <w:tc>
          <w:tcPr>
            <w:tcW w:w="595" w:type="pct"/>
            <w:gridSpan w:val="2"/>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7.11</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-2</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5.74</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-2</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8.04</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进口平均速率</w:t>
            </w:r>
            <w:r>
              <w:rPr>
                <w:rFonts w:hint="default" w:ascii="Times New Roman" w:hAnsi="Times New Roman" w:eastAsia="宋体" w:cs="Times New Roman"/>
                <w:color w:val="auto"/>
                <w:kern w:val="2"/>
                <w:sz w:val="21"/>
                <w:szCs w:val="21"/>
                <w:lang w:val="en-US" w:eastAsia="zh-CN" w:bidi="ar-SA"/>
              </w:rPr>
              <w:t>(kg/h)</w:t>
            </w:r>
          </w:p>
        </w:tc>
        <w:tc>
          <w:tcPr>
            <w:tcW w:w="3573" w:type="pct"/>
            <w:gridSpan w:val="7"/>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5.90</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restar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氨</w:t>
            </w: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进口浓度(mg/m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6.83</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6.40</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7.01</w:t>
            </w:r>
          </w:p>
        </w:tc>
        <w:tc>
          <w:tcPr>
            <w:tcW w:w="595" w:type="pct"/>
            <w:gridSpan w:val="2"/>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6.97</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6.79</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进口平均浓度</w:t>
            </w:r>
            <w:r>
              <w:rPr>
                <w:rFonts w:hint="default" w:ascii="Times New Roman" w:hAnsi="Times New Roman" w:eastAsia="宋体" w:cs="Times New Roman"/>
                <w:color w:val="auto"/>
                <w:kern w:val="2"/>
                <w:sz w:val="21"/>
                <w:szCs w:val="21"/>
                <w:lang w:val="en-US" w:eastAsia="zh-CN" w:bidi="ar-SA"/>
              </w:rPr>
              <w:t>(mg/m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c>
          <w:tcPr>
            <w:tcW w:w="3573" w:type="pct"/>
            <w:gridSpan w:val="7"/>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6.91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进口速率(kg/h)</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2.33</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2.22</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2.45</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gridSpan w:val="2"/>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2.48</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2.44</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2.60</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进口平均速率</w:t>
            </w:r>
            <w:r>
              <w:rPr>
                <w:rFonts w:hint="default" w:ascii="Times New Roman" w:hAnsi="Times New Roman" w:eastAsia="宋体" w:cs="Times New Roman"/>
                <w:color w:val="auto"/>
                <w:kern w:val="2"/>
                <w:sz w:val="21"/>
                <w:szCs w:val="21"/>
                <w:lang w:val="en-US" w:eastAsia="zh-CN" w:bidi="ar-SA"/>
              </w:rPr>
              <w:t>(kg/h)</w:t>
            </w:r>
          </w:p>
        </w:tc>
        <w:tc>
          <w:tcPr>
            <w:tcW w:w="3573" w:type="pct"/>
            <w:gridSpan w:val="7"/>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2.42</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restar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DA002（排气筒出口）</w:t>
            </w:r>
          </w:p>
        </w:tc>
        <w:tc>
          <w:tcPr>
            <w:tcW w:w="941" w:type="pct"/>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标干流量(m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/h)</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69177</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67286</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67895</w:t>
            </w:r>
          </w:p>
        </w:tc>
        <w:tc>
          <w:tcPr>
            <w:tcW w:w="595" w:type="pct"/>
            <w:gridSpan w:val="2"/>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68563</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67222</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69177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restar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颗粒物</w:t>
            </w: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排放浓度(mg/m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26</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35</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32</w:t>
            </w:r>
          </w:p>
        </w:tc>
        <w:tc>
          <w:tcPr>
            <w:tcW w:w="595" w:type="pct"/>
            <w:gridSpan w:val="2"/>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28</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35</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平均排放浓度（</w:t>
            </w:r>
            <w:r>
              <w:rPr>
                <w:rFonts w:hint="default" w:ascii="Times New Roman" w:hAnsi="Times New Roman" w:eastAsia="宋体" w:cs="Times New Roman"/>
                <w:color w:val="auto"/>
                <w:kern w:val="2"/>
                <w:sz w:val="21"/>
                <w:szCs w:val="21"/>
                <w:lang w:val="en-US" w:eastAsia="zh-CN" w:bidi="ar-SA"/>
              </w:rPr>
              <w:t>mg/m</w:t>
            </w:r>
            <w:r>
              <w:rPr>
                <w:rFonts w:hint="default" w:ascii="Times New Roman" w:hAnsi="Times New Roman" w:eastAsia="宋体" w:cs="Times New Roman"/>
                <w:color w:val="auto"/>
                <w:kern w:val="2"/>
                <w:sz w:val="21"/>
                <w:szCs w:val="21"/>
                <w:vertAlign w:val="superscript"/>
                <w:lang w:val="en-US" w:eastAsia="zh-CN" w:bidi="ar-SA"/>
              </w:rPr>
              <w:t>3</w:t>
            </w:r>
            <w:r>
              <w:rPr>
                <w:rFonts w:hint="eastAsia" w:cs="Times New Roman"/>
                <w:color w:val="auto"/>
                <w:kern w:val="2"/>
                <w:sz w:val="21"/>
                <w:szCs w:val="21"/>
                <w:lang w:val="en-US" w:eastAsia="zh-CN" w:bidi="ar-SA"/>
              </w:rPr>
              <w:t>）</w:t>
            </w:r>
          </w:p>
        </w:tc>
        <w:tc>
          <w:tcPr>
            <w:tcW w:w="3573" w:type="pct"/>
            <w:gridSpan w:val="7"/>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排放速率(kg/h)</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1.80</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2.36</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2.17</w:t>
            </w:r>
          </w:p>
        </w:tc>
        <w:tc>
          <w:tcPr>
            <w:tcW w:w="595" w:type="pct"/>
            <w:gridSpan w:val="2"/>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1.92</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2.35</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平均</w:t>
            </w:r>
            <w:r>
              <w:rPr>
                <w:rFonts w:hint="default" w:ascii="Times New Roman" w:hAnsi="Times New Roman" w:eastAsia="宋体" w:cs="Times New Roman"/>
                <w:color w:val="auto"/>
                <w:kern w:val="2"/>
                <w:sz w:val="21"/>
                <w:szCs w:val="21"/>
                <w:lang w:val="en-US" w:eastAsia="zh-CN" w:bidi="ar-SA"/>
              </w:rPr>
              <w:t>排放速率(kg/h)</w:t>
            </w:r>
          </w:p>
        </w:tc>
        <w:tc>
          <w:tcPr>
            <w:tcW w:w="3573" w:type="pct"/>
            <w:gridSpan w:val="7"/>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2.14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restar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氯化氢</w:t>
            </w: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排放浓度(mg/m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bidi="ar-SA"/>
              </w:rPr>
              <w:t>ND</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595" w:type="pct"/>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平均排放浓度（</w:t>
            </w:r>
            <w:r>
              <w:rPr>
                <w:rFonts w:hint="default" w:ascii="Times New Roman" w:hAnsi="Times New Roman" w:eastAsia="宋体" w:cs="Times New Roman"/>
                <w:color w:val="auto"/>
                <w:kern w:val="2"/>
                <w:sz w:val="21"/>
                <w:szCs w:val="21"/>
                <w:lang w:val="en-US" w:eastAsia="zh-CN" w:bidi="ar-SA"/>
              </w:rPr>
              <w:t>mg/m</w:t>
            </w:r>
            <w:r>
              <w:rPr>
                <w:rFonts w:hint="default" w:ascii="Times New Roman" w:hAnsi="Times New Roman" w:eastAsia="宋体" w:cs="Times New Roman"/>
                <w:color w:val="auto"/>
                <w:kern w:val="2"/>
                <w:sz w:val="21"/>
                <w:szCs w:val="21"/>
                <w:vertAlign w:val="superscript"/>
                <w:lang w:val="en-US" w:eastAsia="zh-CN" w:bidi="ar-SA"/>
              </w:rPr>
              <w:t>3</w:t>
            </w:r>
            <w:r>
              <w:rPr>
                <w:rFonts w:hint="eastAsia" w:cs="Times New Roman"/>
                <w:color w:val="auto"/>
                <w:kern w:val="2"/>
                <w:sz w:val="21"/>
                <w:szCs w:val="21"/>
                <w:lang w:val="en-US" w:eastAsia="zh-CN" w:bidi="ar-SA"/>
              </w:rPr>
              <w:t>）</w:t>
            </w:r>
          </w:p>
        </w:tc>
        <w:tc>
          <w:tcPr>
            <w:tcW w:w="3573" w:type="pct"/>
            <w:gridSpan w:val="7"/>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排放速率(kg/h)</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595" w:type="pct"/>
            <w:gridSpan w:val="2"/>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平均</w:t>
            </w:r>
            <w:r>
              <w:rPr>
                <w:rFonts w:hint="default" w:ascii="Times New Roman" w:hAnsi="Times New Roman" w:eastAsia="宋体" w:cs="Times New Roman"/>
                <w:color w:val="auto"/>
                <w:kern w:val="2"/>
                <w:sz w:val="21"/>
                <w:szCs w:val="21"/>
                <w:lang w:val="en-US" w:eastAsia="zh-CN" w:bidi="ar-SA"/>
              </w:rPr>
              <w:t>排放速率(kg/h)</w:t>
            </w:r>
          </w:p>
        </w:tc>
        <w:tc>
          <w:tcPr>
            <w:tcW w:w="3573" w:type="pct"/>
            <w:gridSpan w:val="7"/>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restar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氨</w:t>
            </w: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排放浓度(mg/m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3.11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2.78</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2.43</w:t>
            </w:r>
          </w:p>
        </w:tc>
        <w:tc>
          <w:tcPr>
            <w:tcW w:w="595" w:type="pct"/>
            <w:gridSpan w:val="2"/>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2.61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3.32</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平均排放浓度（</w:t>
            </w:r>
            <w:r>
              <w:rPr>
                <w:rFonts w:hint="default" w:ascii="Times New Roman" w:hAnsi="Times New Roman" w:eastAsia="宋体" w:cs="Times New Roman"/>
                <w:color w:val="auto"/>
                <w:kern w:val="2"/>
                <w:sz w:val="21"/>
                <w:szCs w:val="21"/>
                <w:lang w:val="en-US" w:eastAsia="zh-CN" w:bidi="ar-SA"/>
              </w:rPr>
              <w:t>mg/m</w:t>
            </w:r>
            <w:r>
              <w:rPr>
                <w:rFonts w:hint="default" w:ascii="Times New Roman" w:hAnsi="Times New Roman" w:eastAsia="宋体" w:cs="Times New Roman"/>
                <w:color w:val="auto"/>
                <w:kern w:val="2"/>
                <w:sz w:val="21"/>
                <w:szCs w:val="21"/>
                <w:vertAlign w:val="superscript"/>
                <w:lang w:val="en-US" w:eastAsia="zh-CN" w:bidi="ar-SA"/>
              </w:rPr>
              <w:t>3</w:t>
            </w:r>
            <w:r>
              <w:rPr>
                <w:rFonts w:hint="eastAsia" w:cs="Times New Roman"/>
                <w:color w:val="auto"/>
                <w:kern w:val="2"/>
                <w:sz w:val="21"/>
                <w:szCs w:val="21"/>
                <w:lang w:val="en-US" w:eastAsia="zh-CN" w:bidi="ar-SA"/>
              </w:rPr>
              <w:t>）</w:t>
            </w:r>
          </w:p>
        </w:tc>
        <w:tc>
          <w:tcPr>
            <w:tcW w:w="3573" w:type="pct"/>
            <w:gridSpan w:val="7"/>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排放速率(kg/h)</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2.15</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1.87</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1.65</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gridSpan w:val="2"/>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1.79</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2.23</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2.12</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平均</w:t>
            </w:r>
            <w:r>
              <w:rPr>
                <w:rFonts w:hint="default" w:ascii="Times New Roman" w:hAnsi="Times New Roman" w:eastAsia="宋体" w:cs="Times New Roman"/>
                <w:color w:val="auto"/>
                <w:kern w:val="2"/>
                <w:sz w:val="21"/>
                <w:szCs w:val="21"/>
                <w:lang w:val="en-US" w:eastAsia="zh-CN" w:bidi="ar-SA"/>
              </w:rPr>
              <w:t>排放速率(kg/h)</w:t>
            </w:r>
          </w:p>
        </w:tc>
        <w:tc>
          <w:tcPr>
            <w:tcW w:w="3573" w:type="pct"/>
            <w:gridSpan w:val="7"/>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1.97</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b/>
          <w:color w:val="000000" w:themeColor="text1"/>
          <w:sz w:val="24"/>
          <w:lang w:eastAsia="zh-CN"/>
          <w14:textFill>
            <w14:solidFill>
              <w14:schemeClr w14:val="tx1"/>
            </w14:solidFill>
          </w14:textFill>
        </w:rPr>
        <w:t>表</w:t>
      </w:r>
      <w:r>
        <w:rPr>
          <w:rFonts w:hint="eastAsia" w:ascii="Times New Roman" w:hAnsi="Times New Roman" w:eastAsia="宋体" w:cs="Times New Roman"/>
          <w:b/>
          <w:color w:val="000000" w:themeColor="text1"/>
          <w:sz w:val="24"/>
          <w:lang w:val="en-US" w:eastAsia="zh-CN"/>
          <w14:textFill>
            <w14:solidFill>
              <w14:schemeClr w14:val="tx1"/>
            </w14:solidFill>
          </w14:textFill>
        </w:rPr>
        <w:t xml:space="preserve">9.2-2 </w:t>
      </w:r>
      <w:r>
        <w:rPr>
          <w:rFonts w:hint="default" w:ascii="Times New Roman" w:hAnsi="Times New Roman" w:eastAsia="宋体" w:cs="Times New Roman"/>
          <w:b/>
          <w:color w:val="000000" w:themeColor="text1"/>
          <w:sz w:val="24"/>
          <w:lang w:eastAsia="zh-CN"/>
          <w14:textFill>
            <w14:solidFill>
              <w14:schemeClr w14:val="tx1"/>
            </w14:solidFill>
          </w14:textFill>
        </w:rPr>
        <w:t>项目</w:t>
      </w:r>
      <w:r>
        <w:rPr>
          <w:rFonts w:hint="eastAsia" w:cs="Times New Roman"/>
          <w:b/>
          <w:color w:val="000000" w:themeColor="text1"/>
          <w:sz w:val="24"/>
          <w:lang w:eastAsia="zh-CN"/>
          <w14:textFill>
            <w14:solidFill>
              <w14:schemeClr w14:val="tx1"/>
            </w14:solidFill>
          </w14:textFill>
        </w:rPr>
        <w:t>有组织废气</w:t>
      </w:r>
      <w:r>
        <w:rPr>
          <w:rFonts w:hint="default" w:ascii="Times New Roman" w:hAnsi="Times New Roman" w:cs="Times New Roman"/>
          <w:b/>
          <w:color w:val="000000" w:themeColor="text1"/>
          <w:sz w:val="24"/>
          <w14:textFill>
            <w14:solidFill>
              <w14:schemeClr w14:val="tx1"/>
            </w14:solidFill>
          </w14:textFill>
        </w:rPr>
        <w:t>监测结果统计表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423"/>
        <w:gridCol w:w="1181"/>
        <w:gridCol w:w="1014"/>
        <w:gridCol w:w="1014"/>
        <w:gridCol w:w="1014"/>
        <w:gridCol w:w="1014"/>
        <w:gridCol w:w="1015"/>
        <w:gridCol w:w="1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26" w:type="pct"/>
            <w:gridSpan w:val="3"/>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采样日期</w:t>
            </w:r>
          </w:p>
        </w:tc>
        <w:tc>
          <w:tcPr>
            <w:tcW w:w="1786" w:type="pct"/>
            <w:gridSpan w:val="3"/>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2023.8.15</w:t>
            </w:r>
          </w:p>
        </w:tc>
        <w:tc>
          <w:tcPr>
            <w:tcW w:w="1786" w:type="pct"/>
            <w:gridSpan w:val="3"/>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2023.8.16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5" w:type="pct"/>
            <w:vMerge w:val="restar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检测点位</w:t>
            </w:r>
          </w:p>
        </w:tc>
        <w:tc>
          <w:tcPr>
            <w:tcW w:w="941" w:type="pct"/>
            <w:gridSpan w:val="2"/>
            <w:vMerge w:val="restar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检测项目</w:t>
            </w:r>
          </w:p>
        </w:tc>
        <w:tc>
          <w:tcPr>
            <w:tcW w:w="3573" w:type="pct"/>
            <w:gridSpan w:val="6"/>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941" w:type="pct"/>
            <w:gridSpan w:val="2"/>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第一次</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第二次</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第三次</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第一次</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第二次</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restar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DA001（排气筒出口）</w:t>
            </w:r>
          </w:p>
        </w:tc>
        <w:tc>
          <w:tcPr>
            <w:tcW w:w="941" w:type="pct"/>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标干流量(m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/h)</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48471</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49119</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49661</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50595</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52371</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51836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restart"/>
            <w:vAlign w:val="center"/>
          </w:tcPr>
          <w:p>
            <w:pPr>
              <w:ind w:left="0" w:leftChars="0"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color w:val="auto"/>
                <w:kern w:val="2"/>
                <w:sz w:val="21"/>
                <w:szCs w:val="21"/>
                <w:lang w:val="en-US" w:eastAsia="zh-CN" w:bidi="ar-SA"/>
              </w:rPr>
              <w:t>氯化氢</w:t>
            </w: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排放浓度(mg/m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4.5</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5.0</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4.7</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5.5</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4.8</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eastAsia"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平均排放浓度（</w:t>
            </w:r>
            <w:r>
              <w:rPr>
                <w:rFonts w:hint="default" w:ascii="Times New Roman" w:hAnsi="Times New Roman" w:eastAsia="宋体" w:cs="Times New Roman"/>
                <w:color w:val="auto"/>
                <w:kern w:val="2"/>
                <w:sz w:val="21"/>
                <w:szCs w:val="21"/>
                <w:lang w:val="en-US" w:eastAsia="zh-CN" w:bidi="ar-SA"/>
              </w:rPr>
              <w:t>mg/m</w:t>
            </w:r>
            <w:r>
              <w:rPr>
                <w:rFonts w:hint="default" w:ascii="Times New Roman" w:hAnsi="Times New Roman" w:eastAsia="宋体" w:cs="Times New Roman"/>
                <w:color w:val="auto"/>
                <w:kern w:val="2"/>
                <w:sz w:val="21"/>
                <w:szCs w:val="21"/>
                <w:vertAlign w:val="superscript"/>
                <w:lang w:val="en-US" w:eastAsia="zh-CN" w:bidi="ar-SA"/>
              </w:rPr>
              <w:t>3</w:t>
            </w:r>
            <w:r>
              <w:rPr>
                <w:rFonts w:hint="eastAsia" w:cs="Times New Roman"/>
                <w:color w:val="auto"/>
                <w:kern w:val="2"/>
                <w:sz w:val="21"/>
                <w:szCs w:val="21"/>
                <w:lang w:val="en-US" w:eastAsia="zh-CN" w:bidi="ar-SA"/>
              </w:rPr>
              <w:t>）</w:t>
            </w:r>
          </w:p>
        </w:tc>
        <w:tc>
          <w:tcPr>
            <w:tcW w:w="3573" w:type="pct"/>
            <w:gridSpan w:val="6"/>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4.95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排放速率(kg/h)</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2.18</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2.46</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2.33</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2.78</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2.51</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2.70</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平均</w:t>
            </w:r>
            <w:r>
              <w:rPr>
                <w:rFonts w:hint="default" w:ascii="Times New Roman" w:hAnsi="Times New Roman" w:eastAsia="宋体" w:cs="Times New Roman"/>
                <w:color w:val="auto"/>
                <w:kern w:val="2"/>
                <w:sz w:val="21"/>
                <w:szCs w:val="21"/>
                <w:lang w:val="en-US" w:eastAsia="zh-CN" w:bidi="ar-SA"/>
              </w:rPr>
              <w:t>排放速率(kg/h)</w:t>
            </w:r>
          </w:p>
        </w:tc>
        <w:tc>
          <w:tcPr>
            <w:tcW w:w="3573" w:type="pct"/>
            <w:gridSpan w:val="6"/>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color w:val="auto"/>
                <w:kern w:val="2"/>
                <w:sz w:val="21"/>
                <w:szCs w:val="21"/>
                <w:lang w:val="en-US" w:eastAsia="zh-CN"/>
              </w:rPr>
              <w:t>2.49</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restart"/>
            <w:vAlign w:val="center"/>
          </w:tcPr>
          <w:p>
            <w:pPr>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kern w:val="2"/>
                <w:sz w:val="21"/>
                <w:szCs w:val="21"/>
                <w:lang w:val="en-US" w:eastAsia="zh-CN" w:bidi="ar-SA"/>
              </w:rPr>
              <w:t>DA003（排气筒出口）</w:t>
            </w:r>
          </w:p>
        </w:tc>
        <w:tc>
          <w:tcPr>
            <w:tcW w:w="941" w:type="pct"/>
            <w:gridSpan w:val="2"/>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含氧量(%)</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6.5</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6.1</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6.4</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6.9</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6.2</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941" w:type="pct"/>
            <w:gridSpan w:val="2"/>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标干流量(m</w:t>
            </w:r>
            <w:r>
              <w:rPr>
                <w:rFonts w:hint="default" w:ascii="Times New Roman" w:hAnsi="Times New Roman" w:eastAsia="宋体" w:cs="Times New Roman"/>
                <w:b w:val="0"/>
                <w:bCs w:val="0"/>
                <w:color w:val="auto"/>
                <w:kern w:val="2"/>
                <w:sz w:val="21"/>
                <w:szCs w:val="21"/>
                <w:vertAlign w:val="superscript"/>
                <w:lang w:val="en-US" w:eastAsia="zh-CN" w:bidi="ar-SA"/>
              </w:rPr>
              <w:t>3</w:t>
            </w:r>
            <w:r>
              <w:rPr>
                <w:rFonts w:hint="default" w:ascii="Times New Roman" w:hAnsi="Times New Roman" w:eastAsia="宋体" w:cs="Times New Roman"/>
                <w:b w:val="0"/>
                <w:bCs w:val="0"/>
                <w:color w:val="auto"/>
                <w:kern w:val="2"/>
                <w:sz w:val="21"/>
                <w:szCs w:val="21"/>
                <w:lang w:val="en-US" w:eastAsia="zh-CN" w:bidi="ar-SA"/>
              </w:rPr>
              <w:t>/h)</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4767</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4571</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4858</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4460</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4673</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4753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restar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低浓度颗粒物</w:t>
            </w: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排放浓度(mg/m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4.5</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5.2</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4.7</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4.9</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5.5</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平均排放浓度（</w:t>
            </w:r>
            <w:r>
              <w:rPr>
                <w:rFonts w:hint="default" w:ascii="Times New Roman" w:hAnsi="Times New Roman" w:eastAsia="宋体" w:cs="Times New Roman"/>
                <w:color w:val="auto"/>
                <w:kern w:val="2"/>
                <w:sz w:val="21"/>
                <w:szCs w:val="21"/>
                <w:lang w:val="en-US" w:eastAsia="zh-CN" w:bidi="ar-SA"/>
              </w:rPr>
              <w:t>mg/m</w:t>
            </w:r>
            <w:r>
              <w:rPr>
                <w:rFonts w:hint="default" w:ascii="Times New Roman" w:hAnsi="Times New Roman" w:eastAsia="宋体" w:cs="Times New Roman"/>
                <w:color w:val="auto"/>
                <w:kern w:val="2"/>
                <w:sz w:val="21"/>
                <w:szCs w:val="21"/>
                <w:vertAlign w:val="superscript"/>
                <w:lang w:val="en-US" w:eastAsia="zh-CN" w:bidi="ar-SA"/>
              </w:rPr>
              <w:t>3</w:t>
            </w:r>
            <w:r>
              <w:rPr>
                <w:rFonts w:hint="eastAsia" w:cs="Times New Roman"/>
                <w:color w:val="auto"/>
                <w:kern w:val="2"/>
                <w:sz w:val="21"/>
                <w:szCs w:val="21"/>
                <w:lang w:val="en-US" w:eastAsia="zh-CN" w:bidi="ar-SA"/>
              </w:rPr>
              <w:t>）</w:t>
            </w:r>
          </w:p>
        </w:tc>
        <w:tc>
          <w:tcPr>
            <w:tcW w:w="3573" w:type="pct"/>
            <w:gridSpan w:val="6"/>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折算浓度(mg/m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5.4</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5.6</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6.5</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平均</w:t>
            </w:r>
            <w:r>
              <w:rPr>
                <w:rFonts w:hint="default" w:ascii="Times New Roman" w:hAnsi="Times New Roman" w:eastAsia="宋体" w:cs="Times New Roman"/>
                <w:color w:val="auto"/>
                <w:kern w:val="2"/>
                <w:sz w:val="21"/>
                <w:szCs w:val="21"/>
                <w:lang w:val="en-US" w:eastAsia="zh-CN" w:bidi="ar-SA"/>
              </w:rPr>
              <w:t>折算浓度(mg/m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c>
          <w:tcPr>
            <w:tcW w:w="3573" w:type="pct"/>
            <w:gridSpan w:val="6"/>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排放速率(kg/h)</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2.15</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-2</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2.38</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-2</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2.28</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-2</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2.19</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-2</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2.57</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-2</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2.52</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平均</w:t>
            </w:r>
            <w:r>
              <w:rPr>
                <w:rFonts w:hint="default" w:ascii="Times New Roman" w:hAnsi="Times New Roman" w:eastAsia="宋体" w:cs="Times New Roman"/>
                <w:color w:val="auto"/>
                <w:kern w:val="2"/>
                <w:sz w:val="21"/>
                <w:szCs w:val="21"/>
                <w:lang w:val="en-US" w:eastAsia="zh-CN" w:bidi="ar-SA"/>
              </w:rPr>
              <w:t>排放速率(kg/h)</w:t>
            </w:r>
          </w:p>
        </w:tc>
        <w:tc>
          <w:tcPr>
            <w:tcW w:w="3573" w:type="pct"/>
            <w:gridSpan w:val="6"/>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2.35</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restar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二氧化硫</w:t>
            </w: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排放浓度</w:t>
            </w:r>
            <w:r>
              <w:rPr>
                <w:rFonts w:hint="eastAsia"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mg/m</w:t>
            </w:r>
            <w:r>
              <w:rPr>
                <w:rFonts w:hint="default" w:ascii="Times New Roman" w:hAnsi="Times New Roman" w:eastAsia="宋体" w:cs="Times New Roman"/>
                <w:color w:val="auto"/>
                <w:kern w:val="2"/>
                <w:sz w:val="21"/>
                <w:szCs w:val="21"/>
                <w:vertAlign w:val="superscript"/>
                <w:lang w:val="en-US" w:eastAsia="zh-CN" w:bidi="ar-SA"/>
              </w:rPr>
              <w:t>3</w:t>
            </w:r>
            <w:r>
              <w:rPr>
                <w:rFonts w:hint="eastAsia" w:cs="Times New Roman"/>
                <w:color w:val="auto"/>
                <w:kern w:val="2"/>
                <w:sz w:val="21"/>
                <w:szCs w:val="21"/>
                <w:lang w:val="en-US" w:eastAsia="zh-CN" w:bidi="ar-SA"/>
              </w:rPr>
              <w:t>）</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595"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平均排放浓度（</w:t>
            </w:r>
            <w:r>
              <w:rPr>
                <w:rFonts w:hint="default" w:ascii="Times New Roman" w:hAnsi="Times New Roman" w:eastAsia="宋体" w:cs="Times New Roman"/>
                <w:color w:val="auto"/>
                <w:kern w:val="2"/>
                <w:sz w:val="21"/>
                <w:szCs w:val="21"/>
                <w:lang w:val="en-US" w:eastAsia="zh-CN" w:bidi="ar-SA"/>
              </w:rPr>
              <w:t>mg/m</w:t>
            </w:r>
            <w:r>
              <w:rPr>
                <w:rFonts w:hint="default" w:ascii="Times New Roman" w:hAnsi="Times New Roman" w:eastAsia="宋体" w:cs="Times New Roman"/>
                <w:color w:val="auto"/>
                <w:kern w:val="2"/>
                <w:sz w:val="21"/>
                <w:szCs w:val="21"/>
                <w:vertAlign w:val="superscript"/>
                <w:lang w:val="en-US" w:eastAsia="zh-CN" w:bidi="ar-SA"/>
              </w:rPr>
              <w:t>3</w:t>
            </w:r>
            <w:r>
              <w:rPr>
                <w:rFonts w:hint="eastAsia" w:cs="Times New Roman"/>
                <w:color w:val="auto"/>
                <w:kern w:val="2"/>
                <w:sz w:val="21"/>
                <w:szCs w:val="21"/>
                <w:lang w:val="en-US" w:eastAsia="zh-CN" w:bidi="ar-SA"/>
              </w:rPr>
              <w:t>）</w:t>
            </w:r>
          </w:p>
        </w:tc>
        <w:tc>
          <w:tcPr>
            <w:tcW w:w="3573" w:type="pct"/>
            <w:gridSpan w:val="6"/>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3.0（未检测出排放浓度，按检出限浓度计算）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折算浓度</w:t>
            </w:r>
            <w:r>
              <w:rPr>
                <w:rFonts w:hint="eastAsia"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mg/m</w:t>
            </w:r>
            <w:r>
              <w:rPr>
                <w:rFonts w:hint="default" w:ascii="Times New Roman" w:hAnsi="Times New Roman" w:eastAsia="宋体" w:cs="Times New Roman"/>
                <w:color w:val="auto"/>
                <w:kern w:val="2"/>
                <w:sz w:val="21"/>
                <w:szCs w:val="21"/>
                <w:vertAlign w:val="superscript"/>
                <w:lang w:val="en-US" w:eastAsia="zh-CN" w:bidi="ar-SA"/>
              </w:rPr>
              <w:t>3</w:t>
            </w:r>
            <w:r>
              <w:rPr>
                <w:rFonts w:hint="eastAsia"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平均</w:t>
            </w:r>
            <w:r>
              <w:rPr>
                <w:rFonts w:hint="default" w:ascii="Times New Roman" w:hAnsi="Times New Roman" w:eastAsia="宋体" w:cs="Times New Roman"/>
                <w:color w:val="auto"/>
                <w:kern w:val="2"/>
                <w:sz w:val="21"/>
                <w:szCs w:val="21"/>
                <w:lang w:val="en-US" w:eastAsia="zh-CN" w:bidi="ar-SA"/>
              </w:rPr>
              <w:t>折算浓度</w:t>
            </w:r>
            <w:r>
              <w:rPr>
                <w:rFonts w:hint="eastAsia"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mg/m</w:t>
            </w:r>
            <w:r>
              <w:rPr>
                <w:rFonts w:hint="default" w:ascii="Times New Roman" w:hAnsi="Times New Roman" w:eastAsia="宋体" w:cs="Times New Roman"/>
                <w:color w:val="auto"/>
                <w:kern w:val="2"/>
                <w:sz w:val="21"/>
                <w:szCs w:val="21"/>
                <w:vertAlign w:val="superscript"/>
                <w:lang w:val="en-US" w:eastAsia="zh-CN" w:bidi="ar-SA"/>
              </w:rPr>
              <w:t>3</w:t>
            </w:r>
            <w:r>
              <w:rPr>
                <w:rFonts w:hint="eastAsia" w:cs="Times New Roman"/>
                <w:color w:val="auto"/>
                <w:kern w:val="2"/>
                <w:sz w:val="21"/>
                <w:szCs w:val="21"/>
                <w:lang w:val="en-US" w:eastAsia="zh-CN" w:bidi="ar-SA"/>
              </w:rPr>
              <w:t>）</w:t>
            </w:r>
          </w:p>
        </w:tc>
        <w:tc>
          <w:tcPr>
            <w:tcW w:w="3573" w:type="pct"/>
            <w:gridSpan w:val="6"/>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3.0（未检测出排放浓度，按检出限浓度计算）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排放速率</w:t>
            </w:r>
            <w:r>
              <w:rPr>
                <w:rFonts w:hint="eastAsia"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kg/h</w:t>
            </w:r>
            <w:r>
              <w:rPr>
                <w:rFonts w:hint="eastAsia"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平均</w:t>
            </w:r>
            <w:r>
              <w:rPr>
                <w:rFonts w:hint="default" w:ascii="Times New Roman" w:hAnsi="Times New Roman" w:eastAsia="宋体" w:cs="Times New Roman"/>
                <w:color w:val="auto"/>
                <w:kern w:val="2"/>
                <w:sz w:val="21"/>
                <w:szCs w:val="21"/>
                <w:lang w:val="en-US" w:eastAsia="zh-CN" w:bidi="ar-SA"/>
              </w:rPr>
              <w:t>排放速率</w:t>
            </w:r>
            <w:r>
              <w:rPr>
                <w:rFonts w:hint="eastAsia"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kg/h</w:t>
            </w:r>
            <w:r>
              <w:rPr>
                <w:rFonts w:hint="eastAsia" w:cs="Times New Roman"/>
                <w:color w:val="auto"/>
                <w:kern w:val="2"/>
                <w:sz w:val="21"/>
                <w:szCs w:val="21"/>
                <w:lang w:val="en-US" w:eastAsia="zh-CN" w:bidi="ar-SA"/>
              </w:rPr>
              <w:t>）</w:t>
            </w:r>
          </w:p>
        </w:tc>
        <w:tc>
          <w:tcPr>
            <w:tcW w:w="3573" w:type="pct"/>
            <w:gridSpan w:val="6"/>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restart"/>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氮氧化物</w:t>
            </w: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排放浓度</w:t>
            </w:r>
            <w:r>
              <w:rPr>
                <w:rFonts w:hint="eastAsia"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mg/m</w:t>
            </w:r>
            <w:r>
              <w:rPr>
                <w:rFonts w:hint="default" w:ascii="Times New Roman" w:hAnsi="Times New Roman" w:eastAsia="宋体" w:cs="Times New Roman"/>
                <w:color w:val="auto"/>
                <w:kern w:val="2"/>
                <w:sz w:val="21"/>
                <w:szCs w:val="21"/>
                <w:vertAlign w:val="superscript"/>
                <w:lang w:val="en-US" w:eastAsia="zh-CN" w:bidi="ar-SA"/>
              </w:rPr>
              <w:t>3</w:t>
            </w:r>
            <w:r>
              <w:rPr>
                <w:rFonts w:hint="eastAsia"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50</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43</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43</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40</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平均排放浓度（</w:t>
            </w:r>
            <w:r>
              <w:rPr>
                <w:rFonts w:hint="default" w:ascii="Times New Roman" w:hAnsi="Times New Roman" w:eastAsia="宋体" w:cs="Times New Roman"/>
                <w:color w:val="auto"/>
                <w:kern w:val="2"/>
                <w:sz w:val="21"/>
                <w:szCs w:val="21"/>
                <w:lang w:val="en-US" w:eastAsia="zh-CN" w:bidi="ar-SA"/>
              </w:rPr>
              <w:t>mg/m</w:t>
            </w:r>
            <w:r>
              <w:rPr>
                <w:rFonts w:hint="default" w:ascii="Times New Roman" w:hAnsi="Times New Roman" w:eastAsia="宋体" w:cs="Times New Roman"/>
                <w:color w:val="auto"/>
                <w:kern w:val="2"/>
                <w:sz w:val="21"/>
                <w:szCs w:val="21"/>
                <w:vertAlign w:val="superscript"/>
                <w:lang w:val="en-US" w:eastAsia="zh-CN" w:bidi="ar-SA"/>
              </w:rPr>
              <w:t>3</w:t>
            </w:r>
            <w:r>
              <w:rPr>
                <w:rFonts w:hint="eastAsia" w:cs="Times New Roman"/>
                <w:color w:val="auto"/>
                <w:kern w:val="2"/>
                <w:sz w:val="21"/>
                <w:szCs w:val="21"/>
                <w:lang w:val="en-US" w:eastAsia="zh-CN" w:bidi="ar-SA"/>
              </w:rPr>
              <w:t>）</w:t>
            </w:r>
          </w:p>
        </w:tc>
        <w:tc>
          <w:tcPr>
            <w:tcW w:w="3573" w:type="pct"/>
            <w:gridSpan w:val="6"/>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折算浓度(mg/m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60</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52</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50</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48</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平均</w:t>
            </w:r>
            <w:r>
              <w:rPr>
                <w:rFonts w:hint="default" w:ascii="Times New Roman" w:hAnsi="Times New Roman" w:eastAsia="宋体" w:cs="Times New Roman"/>
                <w:color w:val="auto"/>
                <w:kern w:val="2"/>
                <w:sz w:val="21"/>
                <w:szCs w:val="21"/>
                <w:lang w:val="en-US" w:eastAsia="zh-CN" w:bidi="ar-SA"/>
              </w:rPr>
              <w:t>折算浓度</w:t>
            </w:r>
            <w:r>
              <w:rPr>
                <w:rFonts w:hint="eastAsia"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mg/m</w:t>
            </w:r>
            <w:r>
              <w:rPr>
                <w:rFonts w:hint="default" w:ascii="Times New Roman" w:hAnsi="Times New Roman" w:eastAsia="宋体" w:cs="Times New Roman"/>
                <w:color w:val="auto"/>
                <w:kern w:val="2"/>
                <w:sz w:val="21"/>
                <w:szCs w:val="21"/>
                <w:vertAlign w:val="superscript"/>
                <w:lang w:val="en-US" w:eastAsia="zh-CN" w:bidi="ar-SA"/>
              </w:rPr>
              <w:t>3</w:t>
            </w:r>
            <w:r>
              <w:rPr>
                <w:rFonts w:hint="eastAsia" w:cs="Times New Roman"/>
                <w:color w:val="auto"/>
                <w:kern w:val="2"/>
                <w:sz w:val="21"/>
                <w:szCs w:val="21"/>
                <w:lang w:val="en-US" w:eastAsia="zh-CN" w:bidi="ar-SA"/>
              </w:rPr>
              <w:t>）</w:t>
            </w:r>
          </w:p>
        </w:tc>
        <w:tc>
          <w:tcPr>
            <w:tcW w:w="3573" w:type="pct"/>
            <w:gridSpan w:val="6"/>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51.67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排放速率</w:t>
            </w:r>
            <w:r>
              <w:rPr>
                <w:rFonts w:hint="eastAsia"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kg/h</w:t>
            </w:r>
            <w:r>
              <w:rPr>
                <w:rFonts w:hint="eastAsia" w:cs="Times New Roman"/>
                <w:color w:val="auto"/>
                <w:kern w:val="2"/>
                <w:sz w:val="21"/>
                <w:szCs w:val="21"/>
                <w:lang w:val="en-US" w:eastAsia="zh-CN" w:bidi="ar-SA"/>
              </w:rPr>
              <w:t>）</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2.38</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1.97</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2.09</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1.78</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1.92</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c>
          <w:tcPr>
            <w:tcW w:w="595"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1.95</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85" w:type="pct"/>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248" w:type="pct"/>
            <w:vMerge w:val="continue"/>
            <w:vAlign w:val="center"/>
          </w:tcPr>
          <w:p>
            <w:pPr>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p>
        </w:tc>
        <w:tc>
          <w:tcPr>
            <w:tcW w:w="693" w:type="pc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平均</w:t>
            </w:r>
            <w:r>
              <w:rPr>
                <w:rFonts w:hint="default" w:ascii="Times New Roman" w:hAnsi="Times New Roman" w:eastAsia="宋体" w:cs="Times New Roman"/>
                <w:color w:val="auto"/>
                <w:kern w:val="2"/>
                <w:sz w:val="21"/>
                <w:szCs w:val="21"/>
                <w:lang w:val="en-US" w:eastAsia="zh-CN" w:bidi="ar-SA"/>
              </w:rPr>
              <w:t>排放速率</w:t>
            </w:r>
            <w:r>
              <w:rPr>
                <w:rFonts w:hint="eastAsia"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kg/h</w:t>
            </w:r>
            <w:r>
              <w:rPr>
                <w:rFonts w:hint="eastAsia" w:cs="Times New Roman"/>
                <w:color w:val="auto"/>
                <w:kern w:val="2"/>
                <w:sz w:val="21"/>
                <w:szCs w:val="21"/>
                <w:lang w:val="en-US" w:eastAsia="zh-CN" w:bidi="ar-SA"/>
              </w:rPr>
              <w:t>）</w:t>
            </w:r>
          </w:p>
        </w:tc>
        <w:tc>
          <w:tcPr>
            <w:tcW w:w="3573" w:type="pct"/>
            <w:gridSpan w:val="6"/>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2.02</w:t>
            </w:r>
            <w:r>
              <w:rPr>
                <w:rFonts w:hint="default" w:ascii="Times New Roman" w:hAnsi="Times New Roman" w:eastAsia="宋体" w:cs="Times New Roman"/>
                <w:color w:val="auto"/>
                <w:kern w:val="2"/>
                <w:sz w:val="21"/>
                <w:szCs w:val="21"/>
                <w:lang w:val="en-US" w:eastAsia="zh-CN"/>
              </w:rPr>
              <w:t>×</w:t>
            </w:r>
            <w:r>
              <w:rPr>
                <w:rFonts w:hint="default" w:ascii="Times New Roman" w:hAnsi="Times New Roman" w:eastAsia="宋体" w:cs="Times New Roman"/>
                <w:color w:val="auto"/>
                <w:sz w:val="21"/>
                <w:szCs w:val="21"/>
                <w:lang w:val="en-US" w:eastAsia="zh-CN" w:bidi="ar-SA"/>
              </w:rPr>
              <w:t>10</w:t>
            </w:r>
            <w:r>
              <w:rPr>
                <w:rFonts w:hint="default" w:ascii="Times New Roman" w:hAnsi="Times New Roman" w:eastAsia="宋体" w:cs="Times New Roman"/>
                <w:color w:val="auto"/>
                <w:sz w:val="21"/>
                <w:szCs w:val="21"/>
                <w:vertAlign w:val="superscript"/>
                <w:lang w:val="en-US" w:eastAsia="zh-CN" w:bidi="ar-SA"/>
              </w:rPr>
              <w:t>-1</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color w:val="auto"/>
          <w:sz w:val="24"/>
          <w:szCs w:val="24"/>
          <w:lang w:val="en-US" w:eastAsia="zh-CN"/>
        </w:rPr>
      </w:pPr>
      <w:r>
        <w:rPr>
          <w:rFonts w:hint="default" w:ascii="Times New Roman" w:hAnsi="Times New Roman" w:cs="Times New Roman"/>
          <w:color w:val="auto"/>
          <w:sz w:val="24"/>
          <w:szCs w:val="24"/>
        </w:rPr>
        <w:t>根据上表可知，在验收监测期间，</w:t>
      </w:r>
      <w:r>
        <w:rPr>
          <w:rFonts w:hint="eastAsia" w:cs="Times New Roman"/>
          <w:color w:val="auto"/>
          <w:sz w:val="24"/>
          <w:szCs w:val="24"/>
          <w:lang w:eastAsia="zh-CN"/>
        </w:rPr>
        <w:t>酸洗废气排气筒（</w:t>
      </w:r>
      <w:r>
        <w:rPr>
          <w:rFonts w:hint="eastAsia" w:cs="Times New Roman"/>
          <w:color w:val="auto"/>
          <w:sz w:val="24"/>
          <w:szCs w:val="24"/>
          <w:lang w:val="en-US" w:eastAsia="zh-CN"/>
        </w:rPr>
        <w:t>DA001</w:t>
      </w:r>
      <w:r>
        <w:rPr>
          <w:rFonts w:hint="eastAsia" w:cs="Times New Roman"/>
          <w:color w:val="auto"/>
          <w:sz w:val="24"/>
          <w:szCs w:val="24"/>
          <w:lang w:eastAsia="zh-CN"/>
        </w:rPr>
        <w:t>）氯化氢有组织平均排放浓度为</w:t>
      </w:r>
      <w:r>
        <w:rPr>
          <w:rFonts w:hint="eastAsia" w:cs="Times New Roman"/>
          <w:color w:val="auto"/>
          <w:sz w:val="24"/>
          <w:szCs w:val="24"/>
          <w:lang w:val="en-US" w:eastAsia="zh-CN"/>
        </w:rPr>
        <w:t>4.95mg/m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、平均排放速率为2.49</w:t>
      </w:r>
      <w:r>
        <w:rPr>
          <w:rFonts w:hint="default" w:cs="Times New Roman"/>
          <w:color w:val="auto"/>
          <w:sz w:val="24"/>
          <w:szCs w:val="24"/>
          <w:lang w:val="en-US" w:eastAsia="zh-CN"/>
        </w:rPr>
        <w:t>×10</w:t>
      </w:r>
      <w:r>
        <w:rPr>
          <w:rFonts w:hint="default" w:cs="Times New Roman"/>
          <w:color w:val="auto"/>
          <w:sz w:val="24"/>
          <w:szCs w:val="24"/>
          <w:vertAlign w:val="superscript"/>
          <w:lang w:val="en-US" w:eastAsia="zh-CN"/>
        </w:rPr>
        <w:t>-1</w:t>
      </w:r>
      <w:r>
        <w:rPr>
          <w:rFonts w:hint="default" w:cs="Times New Roman"/>
          <w:color w:val="auto"/>
          <w:sz w:val="24"/>
          <w:szCs w:val="24"/>
          <w:lang w:val="en-US" w:eastAsia="zh-CN"/>
        </w:rPr>
        <w:t>kg/h</w:t>
      </w:r>
      <w:r>
        <w:rPr>
          <w:rFonts w:hint="eastAsia" w:cs="Times New Roman"/>
          <w:color w:val="auto"/>
          <w:sz w:val="24"/>
          <w:szCs w:val="24"/>
          <w:lang w:val="en-US" w:eastAsia="zh-CN"/>
        </w:rPr>
        <w:t>。锌锅废气排气筒（DA002）颗粒物有组织平均排放浓度为</w:t>
      </w:r>
      <w:r>
        <w:rPr>
          <w:rFonts w:hint="eastAsia" w:cs="Times New Roman"/>
          <w:color w:val="auto"/>
          <w:kern w:val="2"/>
          <w:sz w:val="24"/>
          <w:szCs w:val="24"/>
          <w:lang w:val="en-US" w:eastAsia="zh-CN" w:bidi="ar-SA"/>
        </w:rPr>
        <w:t>31.33</w:t>
      </w:r>
      <w:r>
        <w:rPr>
          <w:rFonts w:hint="eastAsia" w:cs="Times New Roman"/>
          <w:color w:val="auto"/>
          <w:sz w:val="24"/>
          <w:szCs w:val="24"/>
          <w:lang w:val="en-US" w:eastAsia="zh-CN"/>
        </w:rPr>
        <w:t>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、平均排放速率为</w:t>
      </w:r>
      <w:r>
        <w:rPr>
          <w:rFonts w:hint="eastAsia" w:cs="Times New Roman"/>
          <w:i w:val="0"/>
          <w:iCs w:val="0"/>
          <w:color w:val="000000"/>
          <w:kern w:val="0"/>
          <w:sz w:val="24"/>
          <w:szCs w:val="24"/>
          <w:u w:val="none"/>
          <w:lang w:val="en-US" w:eastAsia="zh-CN" w:bidi="ar"/>
        </w:rPr>
        <w:t>2.14</w:t>
      </w:r>
      <w:r>
        <w:rPr>
          <w:rFonts w:hint="default" w:cs="Times New Roman"/>
          <w:color w:val="auto"/>
          <w:sz w:val="24"/>
          <w:szCs w:val="24"/>
          <w:lang w:val="en-US" w:eastAsia="zh-CN"/>
        </w:rPr>
        <w:t>kg/h</w:t>
      </w:r>
      <w:r>
        <w:rPr>
          <w:rFonts w:hint="eastAsia" w:cs="Times New Roman"/>
          <w:color w:val="auto"/>
          <w:sz w:val="24"/>
          <w:szCs w:val="24"/>
          <w:lang w:val="en-US" w:eastAsia="zh-CN"/>
        </w:rPr>
        <w:t>；氯化氢未检出；氨平均排放浓度为</w:t>
      </w:r>
      <w:r>
        <w:rPr>
          <w:rFonts w:hint="eastAsia" w:cs="Times New Roman"/>
          <w:color w:val="auto"/>
          <w:kern w:val="2"/>
          <w:sz w:val="24"/>
          <w:szCs w:val="24"/>
          <w:lang w:val="en-US" w:eastAsia="zh-CN" w:bidi="ar-SA"/>
        </w:rPr>
        <w:t>2.89</w:t>
      </w:r>
      <w:r>
        <w:rPr>
          <w:rFonts w:hint="eastAsia" w:cs="Times New Roman"/>
          <w:color w:val="auto"/>
          <w:sz w:val="24"/>
          <w:szCs w:val="24"/>
          <w:lang w:val="en-US" w:eastAsia="zh-CN"/>
        </w:rPr>
        <w:t>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、平均排放速率为</w:t>
      </w:r>
      <w:r>
        <w:rPr>
          <w:rFonts w:hint="eastAsia" w:cs="Times New Roman"/>
          <w:i w:val="0"/>
          <w:iCs w:val="0"/>
          <w:color w:val="000000"/>
          <w:kern w:val="0"/>
          <w:sz w:val="24"/>
          <w:szCs w:val="24"/>
          <w:u w:val="none"/>
          <w:lang w:val="en-US" w:eastAsia="zh-CN" w:bidi="ar"/>
        </w:rPr>
        <w:t>1.97×10</w:t>
      </w:r>
      <w:r>
        <w:rPr>
          <w:rFonts w:hint="eastAsia" w:cs="Times New Roman"/>
          <w:i w:val="0"/>
          <w:iCs w:val="0"/>
          <w:color w:val="000000"/>
          <w:kern w:val="0"/>
          <w:sz w:val="24"/>
          <w:szCs w:val="24"/>
          <w:u w:val="none"/>
          <w:vertAlign w:val="superscript"/>
          <w:lang w:val="en-US" w:eastAsia="zh-CN" w:bidi="ar"/>
        </w:rPr>
        <w:t>-1</w:t>
      </w:r>
      <w:r>
        <w:rPr>
          <w:rFonts w:hint="default" w:cs="Times New Roman"/>
          <w:color w:val="auto"/>
          <w:sz w:val="24"/>
          <w:szCs w:val="24"/>
          <w:lang w:val="en-US" w:eastAsia="zh-CN"/>
        </w:rPr>
        <w:t>kg/h</w:t>
      </w:r>
      <w:r>
        <w:rPr>
          <w:rFonts w:hint="eastAsia" w:cs="Times New Roman"/>
          <w:color w:val="auto"/>
          <w:sz w:val="24"/>
          <w:szCs w:val="24"/>
          <w:lang w:val="en-US" w:eastAsia="zh-CN"/>
        </w:rPr>
        <w:t>。天然气燃烧废气排放筒（DA003）颗粒物有组织平均排放浓度为5.02mg/m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、平均排放速率为2.35×10</w:t>
      </w:r>
      <w:r>
        <w:rPr>
          <w:rFonts w:hint="eastAsia" w:cs="Times New Roman"/>
          <w:color w:val="auto"/>
          <w:sz w:val="24"/>
          <w:szCs w:val="24"/>
          <w:vertAlign w:val="superscript"/>
          <w:lang w:val="en-US" w:eastAsia="zh-CN"/>
        </w:rPr>
        <w:t>-2</w:t>
      </w:r>
      <w:r>
        <w:rPr>
          <w:rFonts w:hint="eastAsia" w:cs="Times New Roman"/>
          <w:color w:val="auto"/>
          <w:sz w:val="24"/>
          <w:szCs w:val="24"/>
          <w:lang w:val="en-US" w:eastAsia="zh-CN"/>
        </w:rPr>
        <w:t>kg/h；SO</w:t>
      </w:r>
      <w:r>
        <w:rPr>
          <w:rFonts w:hint="eastAsia" w:cs="Times New Roman"/>
          <w:color w:val="auto"/>
          <w:sz w:val="24"/>
          <w:szCs w:val="24"/>
          <w:vertAlign w:val="subscript"/>
          <w:lang w:val="en-US" w:eastAsia="zh-CN"/>
        </w:rPr>
        <w:t>2</w:t>
      </w:r>
      <w:r>
        <w:rPr>
          <w:rFonts w:hint="eastAsia" w:cs="Times New Roman"/>
          <w:color w:val="auto"/>
          <w:sz w:val="24"/>
          <w:szCs w:val="24"/>
          <w:lang w:val="en-US" w:eastAsia="zh-CN"/>
        </w:rPr>
        <w:t>排放浓度为3.0mg/m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；NO</w:t>
      </w:r>
      <w:r>
        <w:rPr>
          <w:rFonts w:hint="eastAsia" w:cs="Times New Roman"/>
          <w:color w:val="auto"/>
          <w:sz w:val="24"/>
          <w:szCs w:val="24"/>
          <w:vertAlign w:val="subscript"/>
          <w:lang w:val="en-US" w:eastAsia="zh-CN"/>
        </w:rPr>
        <w:t>X</w:t>
      </w:r>
      <w:r>
        <w:rPr>
          <w:rFonts w:hint="eastAsia" w:cs="Times New Roman"/>
          <w:color w:val="auto"/>
          <w:sz w:val="24"/>
          <w:szCs w:val="24"/>
          <w:lang w:val="en-US" w:eastAsia="zh-CN"/>
        </w:rPr>
        <w:t>平均排放浓度为</w:t>
      </w:r>
      <w:r>
        <w:rPr>
          <w:rFonts w:hint="eastAsia" w:cs="Times New Roman"/>
          <w:color w:val="auto"/>
          <w:kern w:val="2"/>
          <w:sz w:val="24"/>
          <w:szCs w:val="24"/>
          <w:lang w:val="en-US" w:eastAsia="zh-CN" w:bidi="ar-SA"/>
        </w:rPr>
        <w:t>43</w:t>
      </w:r>
      <w:r>
        <w:rPr>
          <w:rFonts w:hint="eastAsia" w:cs="Times New Roman"/>
          <w:color w:val="auto"/>
          <w:sz w:val="24"/>
          <w:szCs w:val="24"/>
          <w:lang w:val="en-US" w:eastAsia="zh-CN"/>
        </w:rPr>
        <w:t>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、平均排放速率为2.02×10</w:t>
      </w:r>
      <w:r>
        <w:rPr>
          <w:rFonts w:hint="eastAsia" w:cs="Times New Roman"/>
          <w:color w:val="auto"/>
          <w:sz w:val="24"/>
          <w:szCs w:val="24"/>
          <w:vertAlign w:val="superscript"/>
          <w:lang w:val="en-US" w:eastAsia="zh-CN"/>
        </w:rPr>
        <w:t>-1</w:t>
      </w:r>
      <w:r>
        <w:rPr>
          <w:rFonts w:hint="eastAsia" w:cs="Times New Roman"/>
          <w:color w:val="auto"/>
          <w:sz w:val="24"/>
          <w:szCs w:val="24"/>
          <w:lang w:val="en-US" w:eastAsia="zh-CN"/>
        </w:rPr>
        <w:t>kg/h。</w:t>
      </w:r>
    </w:p>
    <w:p>
      <w:pPr>
        <w:pStyle w:val="36"/>
        <w:keepNext w:val="0"/>
        <w:keepLines w:val="0"/>
        <w:pageBreakBefore w:val="0"/>
        <w:widowControl w:val="0"/>
        <w:kinsoku/>
        <w:wordWrap/>
        <w:overflowPunct/>
        <w:topLinePunct w:val="0"/>
        <w:autoSpaceDE w:val="0"/>
        <w:autoSpaceDN w:val="0"/>
        <w:bidi w:val="0"/>
        <w:adjustRightInd w:val="0"/>
        <w:snapToGrid/>
        <w:ind w:firstLine="480" w:firstLineChars="200"/>
        <w:jc w:val="both"/>
        <w:textAlignment w:val="auto"/>
        <w:rPr>
          <w:rFonts w:hint="default" w:ascii="Times New Roman" w:hAnsi="Times New Roman" w:cs="Times New Roman"/>
          <w:b w:val="0"/>
          <w:bCs/>
          <w:color w:val="000000" w:themeColor="text1"/>
          <w:sz w:val="24"/>
          <w:lang w:eastAsia="zh-CN"/>
          <w14:textFill>
            <w14:solidFill>
              <w14:schemeClr w14:val="tx1"/>
            </w14:solidFill>
          </w14:textFill>
        </w:rPr>
      </w:pPr>
      <w:r>
        <w:rPr>
          <w:rFonts w:hint="default" w:ascii="Times New Roman" w:hAnsi="Times New Roman" w:cs="Times New Roman"/>
          <w:b w:val="0"/>
          <w:bCs/>
          <w:color w:val="auto"/>
          <w:sz w:val="24"/>
          <w:lang w:eastAsia="zh-CN"/>
        </w:rPr>
        <w:t>酸洗废气排气筒（</w:t>
      </w:r>
      <w:r>
        <w:rPr>
          <w:rFonts w:hint="default" w:ascii="Times New Roman" w:hAnsi="Times New Roman" w:cs="Times New Roman"/>
          <w:b w:val="0"/>
          <w:bCs/>
          <w:color w:val="auto"/>
          <w:sz w:val="24"/>
          <w:lang w:val="en-US" w:eastAsia="zh-CN"/>
        </w:rPr>
        <w:t>DA001</w:t>
      </w:r>
      <w:r>
        <w:rPr>
          <w:rFonts w:hint="default" w:ascii="Times New Roman" w:hAnsi="Times New Roman" w:cs="Times New Roman"/>
          <w:b w:val="0"/>
          <w:bCs/>
          <w:color w:val="auto"/>
          <w:sz w:val="24"/>
          <w:lang w:eastAsia="zh-CN"/>
        </w:rPr>
        <w:t>）</w:t>
      </w:r>
      <w:r>
        <w:rPr>
          <w:rFonts w:hint="default" w:ascii="Times New Roman" w:hAnsi="Times New Roman" w:eastAsia="宋体" w:cs="Times New Roman"/>
          <w:b w:val="0"/>
          <w:bCs/>
          <w:color w:val="000000" w:themeColor="text1"/>
          <w:sz w:val="24"/>
          <w:lang w:val="en-US" w:eastAsia="zh-CN"/>
          <w14:textFill>
            <w14:solidFill>
              <w14:schemeClr w14:val="tx1"/>
            </w14:solidFill>
          </w14:textFill>
        </w:rPr>
        <w:t>氯化氢</w:t>
      </w:r>
      <w:r>
        <w:rPr>
          <w:rFonts w:hint="default" w:ascii="Times New Roman" w:hAnsi="Times New Roman" w:cs="Times New Roman"/>
          <w:b w:val="0"/>
          <w:bCs/>
          <w:color w:val="000000" w:themeColor="text1"/>
          <w:sz w:val="24"/>
          <w:lang w:val="en-US" w:eastAsia="zh-CN"/>
          <w14:textFill>
            <w14:solidFill>
              <w14:schemeClr w14:val="tx1"/>
            </w14:solidFill>
          </w14:textFill>
        </w:rPr>
        <w:t>排放满足</w:t>
      </w:r>
      <w:r>
        <w:rPr>
          <w:rFonts w:hint="default" w:ascii="Times New Roman" w:hAnsi="Times New Roman" w:eastAsia="宋体" w:cs="Times New Roman"/>
          <w:b w:val="0"/>
          <w:bCs/>
          <w:color w:val="000000" w:themeColor="text1"/>
          <w:sz w:val="24"/>
          <w:lang w:val="en-US" w:eastAsia="zh-CN"/>
          <w14:textFill>
            <w14:solidFill>
              <w14:schemeClr w14:val="tx1"/>
            </w14:solidFill>
          </w14:textFill>
        </w:rPr>
        <w:t>《电镀污染物排放标准》（GB 21900-2008）表5中新建企业大气污染物排放浓度限值</w:t>
      </w:r>
      <w:r>
        <w:rPr>
          <w:rFonts w:hint="default" w:ascii="Times New Roman" w:hAnsi="Times New Roman" w:cs="Times New Roman"/>
          <w:b w:val="0"/>
          <w:bCs/>
          <w:color w:val="000000" w:themeColor="text1"/>
          <w:sz w:val="24"/>
          <w:lang w:val="en-US" w:eastAsia="zh-CN"/>
          <w14:textFill>
            <w14:solidFill>
              <w14:schemeClr w14:val="tx1"/>
            </w14:solidFill>
          </w14:textFill>
        </w:rPr>
        <w:t>；</w:t>
      </w:r>
      <w:r>
        <w:rPr>
          <w:rFonts w:hint="default" w:ascii="Times New Roman" w:hAnsi="Times New Roman" w:cs="Times New Roman"/>
          <w:b w:val="0"/>
          <w:bCs/>
          <w:color w:val="auto"/>
          <w:sz w:val="24"/>
          <w:lang w:val="en-US" w:eastAsia="zh-CN"/>
        </w:rPr>
        <w:t>锌锅废气排气筒（DA002）颗粒物排放满足</w:t>
      </w:r>
      <w:r>
        <w:rPr>
          <w:rFonts w:hint="default" w:ascii="Times New Roman" w:hAnsi="Times New Roman" w:eastAsia="宋体" w:cs="Times New Roman"/>
          <w:b w:val="0"/>
          <w:bCs/>
          <w:color w:val="000000" w:themeColor="text1"/>
          <w:sz w:val="24"/>
          <w14:textFill>
            <w14:solidFill>
              <w14:schemeClr w14:val="tx1"/>
            </w14:solidFill>
          </w14:textFill>
        </w:rPr>
        <w:t>《大气污染物综合排放标准》（GB16297-1996）表2中二级标准</w:t>
      </w:r>
      <w:r>
        <w:rPr>
          <w:rFonts w:hint="default" w:ascii="Times New Roman" w:hAnsi="Times New Roman" w:cs="Times New Roman"/>
          <w:b w:val="0"/>
          <w:bCs/>
          <w:color w:val="000000" w:themeColor="text1"/>
          <w:sz w:val="24"/>
          <w:lang w:eastAsia="zh-CN"/>
          <w14:textFill>
            <w14:solidFill>
              <w14:schemeClr w14:val="tx1"/>
            </w14:solidFill>
          </w14:textFill>
        </w:rPr>
        <w:t>、氯化氢</w:t>
      </w:r>
      <w:r>
        <w:rPr>
          <w:rFonts w:hint="default" w:ascii="Times New Roman" w:hAnsi="Times New Roman" w:cs="Times New Roman"/>
          <w:b w:val="0"/>
          <w:bCs/>
          <w:color w:val="000000" w:themeColor="text1"/>
          <w:sz w:val="24"/>
          <w:lang w:val="en-US" w:eastAsia="zh-CN"/>
          <w14:textFill>
            <w14:solidFill>
              <w14:schemeClr w14:val="tx1"/>
            </w14:solidFill>
          </w14:textFill>
        </w:rPr>
        <w:t>排放满足</w:t>
      </w:r>
      <w:r>
        <w:rPr>
          <w:rFonts w:hint="default" w:ascii="Times New Roman" w:hAnsi="Times New Roman" w:eastAsia="宋体" w:cs="Times New Roman"/>
          <w:b w:val="0"/>
          <w:bCs/>
          <w:color w:val="000000" w:themeColor="text1"/>
          <w:sz w:val="24"/>
          <w:lang w:val="en-US" w:eastAsia="zh-CN"/>
          <w14:textFill>
            <w14:solidFill>
              <w14:schemeClr w14:val="tx1"/>
            </w14:solidFill>
          </w14:textFill>
        </w:rPr>
        <w:t>《电镀污染物排放标准》（GB 21900-2008）表5中新建企业大气污染物排放浓度限值</w:t>
      </w:r>
      <w:r>
        <w:rPr>
          <w:rFonts w:hint="default" w:ascii="Times New Roman" w:hAnsi="Times New Roman" w:cs="Times New Roman"/>
          <w:b w:val="0"/>
          <w:bCs/>
          <w:color w:val="000000" w:themeColor="text1"/>
          <w:sz w:val="24"/>
          <w:lang w:val="en-US" w:eastAsia="zh-CN"/>
          <w14:textFill>
            <w14:solidFill>
              <w14:schemeClr w14:val="tx1"/>
            </w14:solidFill>
          </w14:textFill>
        </w:rPr>
        <w:t>、氨排放满足</w:t>
      </w:r>
      <w:r>
        <w:rPr>
          <w:rFonts w:hint="default" w:ascii="Times New Roman" w:hAnsi="Times New Roman" w:eastAsia="宋体" w:cs="Times New Roman"/>
          <w:b w:val="0"/>
          <w:bCs/>
          <w:color w:val="000000" w:themeColor="text1"/>
          <w:sz w:val="24"/>
          <w14:textFill>
            <w14:solidFill>
              <w14:schemeClr w14:val="tx1"/>
            </w14:solidFill>
          </w14:textFill>
        </w:rPr>
        <w:t>《恶臭污染物排放标准》（GB14554-93）中表2恶臭污染物排放标准值</w:t>
      </w:r>
      <w:r>
        <w:rPr>
          <w:rFonts w:hint="default" w:ascii="Times New Roman" w:hAnsi="Times New Roman" w:cs="Times New Roman"/>
          <w:b w:val="0"/>
          <w:bCs/>
          <w:color w:val="000000" w:themeColor="text1"/>
          <w:sz w:val="24"/>
          <w:lang w:eastAsia="zh-CN"/>
          <w14:textFill>
            <w14:solidFill>
              <w14:schemeClr w14:val="tx1"/>
            </w14:solidFill>
          </w14:textFill>
        </w:rPr>
        <w:t>；</w:t>
      </w:r>
      <w:r>
        <w:rPr>
          <w:rFonts w:hint="default" w:ascii="Times New Roman" w:hAnsi="Times New Roman" w:cs="Times New Roman"/>
          <w:b w:val="0"/>
          <w:bCs/>
          <w:color w:val="auto"/>
          <w:sz w:val="24"/>
          <w:lang w:val="en-US" w:eastAsia="zh-CN"/>
        </w:rPr>
        <w:t>天然气燃烧废气排放筒（DA003）颗粒物、SO</w:t>
      </w:r>
      <w:r>
        <w:rPr>
          <w:rFonts w:hint="default" w:ascii="Times New Roman" w:hAnsi="Times New Roman" w:cs="Times New Roman"/>
          <w:b w:val="0"/>
          <w:bCs/>
          <w:color w:val="auto"/>
          <w:sz w:val="24"/>
          <w:vertAlign w:val="subscript"/>
          <w:lang w:val="en-US" w:eastAsia="zh-CN"/>
        </w:rPr>
        <w:t>2</w:t>
      </w:r>
      <w:r>
        <w:rPr>
          <w:rFonts w:hint="default" w:ascii="Times New Roman" w:hAnsi="Times New Roman" w:cs="Times New Roman"/>
          <w:b w:val="0"/>
          <w:bCs/>
          <w:color w:val="auto"/>
          <w:sz w:val="24"/>
          <w:lang w:val="en-US" w:eastAsia="zh-CN"/>
        </w:rPr>
        <w:t>、NO</w:t>
      </w:r>
      <w:r>
        <w:rPr>
          <w:rFonts w:hint="default" w:ascii="Times New Roman" w:hAnsi="Times New Roman" w:cs="Times New Roman"/>
          <w:b w:val="0"/>
          <w:bCs/>
          <w:color w:val="auto"/>
          <w:sz w:val="24"/>
          <w:vertAlign w:val="subscript"/>
          <w:lang w:val="en-US" w:eastAsia="zh-CN"/>
        </w:rPr>
        <w:t>X</w:t>
      </w:r>
      <w:r>
        <w:rPr>
          <w:rFonts w:hint="default" w:ascii="Times New Roman" w:hAnsi="Times New Roman" w:cs="Times New Roman"/>
          <w:b w:val="0"/>
          <w:bCs/>
          <w:color w:val="auto"/>
          <w:sz w:val="24"/>
          <w:lang w:val="en-US" w:eastAsia="zh-CN"/>
        </w:rPr>
        <w:t>排放满足</w:t>
      </w:r>
      <w:r>
        <w:rPr>
          <w:rFonts w:hint="default" w:ascii="Times New Roman" w:hAnsi="Times New Roman" w:eastAsia="宋体" w:cs="Times New Roman"/>
          <w:b w:val="0"/>
          <w:bCs/>
          <w:color w:val="000000" w:themeColor="text1"/>
          <w:sz w:val="24"/>
          <w14:textFill>
            <w14:solidFill>
              <w14:schemeClr w14:val="tx1"/>
            </w14:solidFill>
          </w14:textFill>
        </w:rPr>
        <w:t>《关于印发&lt;工业炉窑大气污染综合治理方案&gt;的通知》</w:t>
      </w:r>
      <w:r>
        <w:rPr>
          <w:rFonts w:hint="default" w:ascii="Times New Roman" w:hAnsi="Times New Roman" w:eastAsia="宋体" w:cs="Times New Roman"/>
          <w:b w:val="0"/>
          <w:bCs/>
          <w:color w:val="000000" w:themeColor="text1"/>
          <w:sz w:val="24"/>
          <w:lang w:eastAsia="zh-CN"/>
          <w14:textFill>
            <w14:solidFill>
              <w14:schemeClr w14:val="tx1"/>
            </w14:solidFill>
          </w14:textFill>
        </w:rPr>
        <w:t>（</w:t>
      </w:r>
      <w:r>
        <w:rPr>
          <w:rFonts w:hint="default" w:ascii="Times New Roman" w:hAnsi="Times New Roman" w:eastAsia="宋体" w:cs="Times New Roman"/>
          <w:b w:val="0"/>
          <w:bCs/>
          <w:color w:val="000000" w:themeColor="text1"/>
          <w:sz w:val="24"/>
          <w14:textFill>
            <w14:solidFill>
              <w14:schemeClr w14:val="tx1"/>
            </w14:solidFill>
          </w14:textFill>
        </w:rPr>
        <w:t>环大气</w:t>
      </w:r>
      <w:r>
        <w:rPr>
          <w:rFonts w:hint="default" w:ascii="Times New Roman" w:hAnsi="Times New Roman" w:eastAsia="宋体" w:cs="Times New Roman"/>
          <w:b w:val="0"/>
          <w:bCs/>
          <w:color w:val="000000" w:themeColor="text1"/>
          <w:sz w:val="24"/>
          <w:lang w:eastAsia="zh-CN"/>
          <w14:textFill>
            <w14:solidFill>
              <w14:schemeClr w14:val="tx1"/>
            </w14:solidFill>
          </w14:textFill>
        </w:rPr>
        <w:t>（</w:t>
      </w:r>
      <w:r>
        <w:rPr>
          <w:rFonts w:hint="default" w:ascii="Times New Roman" w:hAnsi="Times New Roman" w:eastAsia="宋体" w:cs="Times New Roman"/>
          <w:b w:val="0"/>
          <w:bCs/>
          <w:color w:val="000000" w:themeColor="text1"/>
          <w:sz w:val="24"/>
          <w14:textFill>
            <w14:solidFill>
              <w14:schemeClr w14:val="tx1"/>
            </w14:solidFill>
          </w14:textFill>
        </w:rPr>
        <w:t>2019</w:t>
      </w:r>
      <w:r>
        <w:rPr>
          <w:rFonts w:hint="default" w:ascii="Times New Roman" w:hAnsi="Times New Roman" w:eastAsia="宋体" w:cs="Times New Roman"/>
          <w:b w:val="0"/>
          <w:bCs/>
          <w:color w:val="000000" w:themeColor="text1"/>
          <w:sz w:val="24"/>
          <w:lang w:eastAsia="zh-CN"/>
          <w14:textFill>
            <w14:solidFill>
              <w14:schemeClr w14:val="tx1"/>
            </w14:solidFill>
          </w14:textFill>
        </w:rPr>
        <w:t>）</w:t>
      </w:r>
      <w:r>
        <w:rPr>
          <w:rFonts w:hint="default" w:ascii="Times New Roman" w:hAnsi="Times New Roman" w:eastAsia="宋体" w:cs="Times New Roman"/>
          <w:b w:val="0"/>
          <w:bCs/>
          <w:color w:val="000000" w:themeColor="text1"/>
          <w:sz w:val="24"/>
          <w14:textFill>
            <w14:solidFill>
              <w14:schemeClr w14:val="tx1"/>
            </w14:solidFill>
          </w14:textFill>
        </w:rPr>
        <w:t>56号</w:t>
      </w:r>
      <w:r>
        <w:rPr>
          <w:rFonts w:hint="default" w:ascii="Times New Roman" w:hAnsi="Times New Roman" w:eastAsia="宋体" w:cs="Times New Roman"/>
          <w:b w:val="0"/>
          <w:bCs/>
          <w:color w:val="000000" w:themeColor="text1"/>
          <w:sz w:val="24"/>
          <w:lang w:eastAsia="zh-CN"/>
          <w14:textFill>
            <w14:solidFill>
              <w14:schemeClr w14:val="tx1"/>
            </w14:solidFill>
          </w14:textFill>
        </w:rPr>
        <w:t>）</w:t>
      </w:r>
      <w:r>
        <w:rPr>
          <w:rFonts w:hint="default" w:ascii="Times New Roman" w:hAnsi="Times New Roman" w:eastAsia="宋体" w:cs="Times New Roman"/>
          <w:b w:val="0"/>
          <w:bCs/>
          <w:color w:val="000000" w:themeColor="text1"/>
          <w:sz w:val="24"/>
          <w14:textFill>
            <w14:solidFill>
              <w14:schemeClr w14:val="tx1"/>
            </w14:solidFill>
          </w14:textFill>
        </w:rPr>
        <w:t>中限值要求</w:t>
      </w:r>
      <w:r>
        <w:rPr>
          <w:rFonts w:hint="default" w:ascii="Times New Roman" w:hAnsi="Times New Roman" w:cs="Times New Roman"/>
          <w:b w:val="0"/>
          <w:bCs/>
          <w:color w:val="000000" w:themeColor="text1"/>
          <w:sz w:val="24"/>
          <w:lang w:eastAsia="zh-CN"/>
          <w14:textFill>
            <w14:solidFill>
              <w14:schemeClr w14:val="tx1"/>
            </w14:solidFill>
          </w14:textFill>
        </w:rPr>
        <w:t>。</w:t>
      </w:r>
    </w:p>
    <w:p>
      <w:pPr>
        <w:pStyle w:val="36"/>
        <w:keepNext w:val="0"/>
        <w:keepLines w:val="0"/>
        <w:pageBreakBefore w:val="0"/>
        <w:widowControl w:val="0"/>
        <w:kinsoku/>
        <w:wordWrap/>
        <w:overflowPunct/>
        <w:topLinePunct w:val="0"/>
        <w:autoSpaceDE w:val="0"/>
        <w:autoSpaceDN w:val="0"/>
        <w:bidi w:val="0"/>
        <w:adjustRightInd w:val="0"/>
        <w:snapToGrid/>
        <w:ind w:firstLine="482" w:firstLineChars="200"/>
        <w:jc w:val="both"/>
        <w:textAlignment w:val="auto"/>
        <w:rPr>
          <w:rFonts w:hint="default" w:ascii="Times New Roman" w:hAnsi="Times New Roman" w:eastAsia="宋体" w:cs="Times New Roman"/>
          <w:b/>
          <w:spacing w:val="0"/>
          <w:kern w:val="0"/>
          <w:sz w:val="24"/>
          <w:szCs w:val="22"/>
          <w:lang w:val="zh-CN" w:bidi="zh-CN"/>
        </w:rPr>
      </w:pPr>
      <w:r>
        <w:rPr>
          <w:rFonts w:hint="eastAsia" w:ascii="Times New Roman" w:hAnsi="Times New Roman" w:eastAsia="宋体" w:cs="Times New Roman"/>
          <w:b/>
          <w:spacing w:val="0"/>
          <w:kern w:val="0"/>
          <w:sz w:val="24"/>
          <w:szCs w:val="22"/>
          <w:lang w:val="zh-CN" w:bidi="zh-CN"/>
        </w:rPr>
        <w:t>（</w:t>
      </w:r>
      <w:r>
        <w:rPr>
          <w:rFonts w:hint="eastAsia" w:ascii="Times New Roman" w:hAnsi="Times New Roman" w:eastAsia="宋体" w:cs="Times New Roman"/>
          <w:b/>
          <w:spacing w:val="0"/>
          <w:kern w:val="0"/>
          <w:sz w:val="24"/>
          <w:szCs w:val="22"/>
          <w:lang w:val="en-US" w:bidi="zh-CN"/>
        </w:rPr>
        <w:t>2</w:t>
      </w:r>
      <w:r>
        <w:rPr>
          <w:rFonts w:hint="eastAsia" w:ascii="Times New Roman" w:hAnsi="Times New Roman" w:eastAsia="宋体" w:cs="Times New Roman"/>
          <w:b/>
          <w:spacing w:val="0"/>
          <w:kern w:val="0"/>
          <w:sz w:val="24"/>
          <w:szCs w:val="22"/>
          <w:lang w:val="zh-CN" w:bidi="zh-CN"/>
        </w:rPr>
        <w:t>）</w:t>
      </w:r>
      <w:r>
        <w:rPr>
          <w:rFonts w:hint="eastAsia" w:cs="Times New Roman"/>
          <w:b/>
          <w:spacing w:val="0"/>
          <w:kern w:val="0"/>
          <w:sz w:val="24"/>
          <w:szCs w:val="22"/>
          <w:lang w:val="zh-CN" w:bidi="zh-CN"/>
        </w:rPr>
        <w:t>无</w:t>
      </w:r>
      <w:r>
        <w:rPr>
          <w:rFonts w:hint="default" w:ascii="Times New Roman" w:hAnsi="Times New Roman" w:eastAsia="宋体" w:cs="Times New Roman"/>
          <w:b/>
          <w:spacing w:val="0"/>
          <w:kern w:val="0"/>
          <w:sz w:val="24"/>
          <w:szCs w:val="22"/>
          <w:lang w:val="zh-CN" w:bidi="zh-CN"/>
        </w:rPr>
        <w:t>组织废气</w:t>
      </w:r>
    </w:p>
    <w:p>
      <w:pPr>
        <w:pStyle w:val="116"/>
        <w:keepNext w:val="0"/>
        <w:keepLines w:val="0"/>
        <w:widowControl w:val="0"/>
        <w:shd w:val="clear" w:color="auto" w:fill="auto"/>
        <w:bidi w:val="0"/>
        <w:spacing w:before="0" w:after="0" w:line="240" w:lineRule="auto"/>
        <w:ind w:left="0" w:right="0" w:firstLine="0"/>
        <w:jc w:val="center"/>
        <w:rPr>
          <w:rFonts w:hint="eastAsia" w:ascii="Times New Roman" w:hAnsi="Times New Roman" w:eastAsia="宋体" w:cs="Times New Roman"/>
          <w:color w:val="auto"/>
          <w:sz w:val="24"/>
          <w:szCs w:val="24"/>
          <w:lang w:eastAsia="zh-CN"/>
        </w:rPr>
      </w:pPr>
      <w:r>
        <w:rPr>
          <w:rFonts w:hint="default" w:ascii="Times New Roman" w:hAnsi="Times New Roman" w:eastAsia="宋体" w:cs="Times New Roman"/>
          <w:b/>
          <w:color w:val="auto"/>
          <w:spacing w:val="-33"/>
          <w:kern w:val="0"/>
          <w:sz w:val="24"/>
          <w:szCs w:val="24"/>
          <w:lang w:val="zh-CN" w:bidi="zh-CN"/>
        </w:rPr>
        <w:t>表</w:t>
      </w:r>
      <w:r>
        <w:rPr>
          <w:rFonts w:hint="eastAsia" w:ascii="Times New Roman" w:hAnsi="Times New Roman" w:cs="Times New Roman"/>
          <w:b/>
          <w:color w:val="auto"/>
          <w:spacing w:val="-33"/>
          <w:kern w:val="0"/>
          <w:sz w:val="24"/>
          <w:szCs w:val="24"/>
          <w:lang w:val="en-US" w:bidi="zh-CN"/>
        </w:rPr>
        <w:t>9</w:t>
      </w:r>
      <w:r>
        <w:rPr>
          <w:rFonts w:hint="default" w:ascii="Times New Roman" w:hAnsi="Times New Roman" w:eastAsia="宋体" w:cs="Times New Roman"/>
          <w:b/>
          <w:color w:val="auto"/>
          <w:kern w:val="0"/>
          <w:sz w:val="24"/>
          <w:szCs w:val="24"/>
          <w:lang w:val="en-US" w:bidi="zh-CN"/>
        </w:rPr>
        <w:t>.</w:t>
      </w:r>
      <w:r>
        <w:rPr>
          <w:rFonts w:hint="default" w:ascii="Times New Roman" w:hAnsi="Times New Roman" w:cs="Times New Roman"/>
          <w:b/>
          <w:color w:val="auto"/>
          <w:kern w:val="0"/>
          <w:sz w:val="24"/>
          <w:szCs w:val="24"/>
          <w:lang w:val="en-US" w:bidi="zh-CN"/>
        </w:rPr>
        <w:t>3</w:t>
      </w:r>
      <w:r>
        <w:rPr>
          <w:rFonts w:hint="eastAsia" w:ascii="Times New Roman" w:hAnsi="Times New Roman" w:cs="Times New Roman"/>
          <w:b/>
          <w:color w:val="auto"/>
          <w:kern w:val="0"/>
          <w:sz w:val="24"/>
          <w:szCs w:val="24"/>
          <w:lang w:val="en-US" w:bidi="zh-CN"/>
        </w:rPr>
        <w:t>-1</w:t>
      </w:r>
      <w:r>
        <w:rPr>
          <w:rFonts w:hint="default" w:ascii="Times New Roman" w:hAnsi="Times New Roman" w:eastAsia="宋体" w:cs="Times New Roman"/>
          <w:b/>
          <w:color w:val="auto"/>
          <w:spacing w:val="-1"/>
          <w:kern w:val="0"/>
          <w:sz w:val="24"/>
          <w:szCs w:val="24"/>
          <w:lang w:val="zh-CN" w:bidi="zh-CN"/>
        </w:rPr>
        <w:t xml:space="preserve"> </w:t>
      </w:r>
      <w:r>
        <w:rPr>
          <w:rFonts w:hint="eastAsia" w:ascii="Times New Roman" w:hAnsi="Times New Roman" w:cs="Times New Roman"/>
          <w:b/>
          <w:bCs/>
          <w:color w:val="auto"/>
          <w:spacing w:val="0"/>
          <w:w w:val="100"/>
          <w:position w:val="0"/>
          <w:sz w:val="24"/>
          <w:szCs w:val="24"/>
          <w:lang w:eastAsia="zh-CN"/>
        </w:rPr>
        <w:t>无</w:t>
      </w:r>
      <w:r>
        <w:rPr>
          <w:rFonts w:hint="default" w:ascii="Times New Roman" w:hAnsi="Times New Roman" w:cs="Times New Roman"/>
          <w:b/>
          <w:bCs/>
          <w:color w:val="auto"/>
          <w:spacing w:val="0"/>
          <w:w w:val="100"/>
          <w:position w:val="0"/>
          <w:sz w:val="24"/>
          <w:szCs w:val="24"/>
        </w:rPr>
        <w:t>组织废气</w:t>
      </w:r>
      <w:r>
        <w:rPr>
          <w:rFonts w:hint="eastAsia" w:ascii="Times New Roman" w:hAnsi="Times New Roman" w:cs="Times New Roman"/>
          <w:b/>
          <w:bCs/>
          <w:color w:val="auto"/>
          <w:spacing w:val="0"/>
          <w:w w:val="100"/>
          <w:position w:val="0"/>
          <w:sz w:val="24"/>
          <w:szCs w:val="24"/>
          <w:lang w:eastAsia="zh-CN"/>
        </w:rPr>
        <w:t>监测</w:t>
      </w:r>
      <w:r>
        <w:rPr>
          <w:rFonts w:hint="default" w:ascii="Times New Roman" w:hAnsi="Times New Roman" w:cs="Times New Roman"/>
          <w:b/>
          <w:bCs/>
          <w:color w:val="auto"/>
          <w:spacing w:val="0"/>
          <w:w w:val="100"/>
          <w:position w:val="0"/>
          <w:sz w:val="24"/>
          <w:szCs w:val="24"/>
        </w:rPr>
        <w:t>结果</w:t>
      </w:r>
      <w:r>
        <w:rPr>
          <w:rFonts w:hint="eastAsia" w:ascii="Times New Roman" w:hAnsi="Times New Roman" w:cs="Times New Roman"/>
          <w:b/>
          <w:bCs/>
          <w:color w:val="auto"/>
          <w:spacing w:val="0"/>
          <w:w w:val="100"/>
          <w:position w:val="0"/>
          <w:sz w:val="24"/>
          <w:szCs w:val="24"/>
          <w:lang w:eastAsia="zh-CN"/>
        </w:rPr>
        <w:t>统计表</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4"/>
        <w:gridCol w:w="1348"/>
        <w:gridCol w:w="1613"/>
        <w:gridCol w:w="313"/>
        <w:gridCol w:w="1048"/>
        <w:gridCol w:w="891"/>
        <w:gridCol w:w="529"/>
        <w:gridCol w:w="1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采样日期</w:t>
            </w:r>
          </w:p>
        </w:tc>
        <w:tc>
          <w:tcPr>
            <w:tcW w:w="1450"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000000"/>
                <w:kern w:val="2"/>
                <w:sz w:val="21"/>
                <w:szCs w:val="21"/>
                <w:lang w:val="en-US" w:eastAsia="zh-CN"/>
              </w:rPr>
              <w:t>2023.7.20</w:t>
            </w:r>
          </w:p>
        </w:tc>
        <w:tc>
          <w:tcPr>
            <w:tcW w:w="1933"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天气</w:t>
            </w:r>
          </w:p>
        </w:tc>
        <w:tc>
          <w:tcPr>
            <w:tcW w:w="1652"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阴</w:t>
            </w:r>
          </w:p>
        </w:tc>
        <w:tc>
          <w:tcPr>
            <w:tcW w:w="1651"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气压(KPa)</w:t>
            </w:r>
          </w:p>
        </w:tc>
        <w:tc>
          <w:tcPr>
            <w:tcW w:w="1653"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99.8-99.9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气温(℃)</w:t>
            </w:r>
          </w:p>
        </w:tc>
        <w:tc>
          <w:tcPr>
            <w:tcW w:w="1450"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30.9-31.2</w:t>
            </w:r>
          </w:p>
        </w:tc>
        <w:tc>
          <w:tcPr>
            <w:tcW w:w="1933"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风向</w:t>
            </w:r>
          </w:p>
        </w:tc>
        <w:tc>
          <w:tcPr>
            <w:tcW w:w="1652"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东北</w:t>
            </w:r>
          </w:p>
        </w:tc>
        <w:tc>
          <w:tcPr>
            <w:tcW w:w="1651"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风速(m/s)</w:t>
            </w:r>
          </w:p>
        </w:tc>
        <w:tc>
          <w:tcPr>
            <w:tcW w:w="1653"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restar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检测点位</w:t>
            </w:r>
          </w:p>
        </w:tc>
        <w:tc>
          <w:tcPr>
            <w:tcW w:w="1450" w:type="dxa"/>
            <w:vMerge w:val="restar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检测频次</w:t>
            </w:r>
          </w:p>
        </w:tc>
        <w:tc>
          <w:tcPr>
            <w:tcW w:w="6889" w:type="dxa"/>
            <w:gridSpan w:val="6"/>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451" w:type="dxa"/>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1450" w:type="dxa"/>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总悬浮颗粒物(μg/m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氯化氢(mg/m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氨(mg/m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451" w:type="dxa"/>
            <w:vMerge w:val="restar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上风向○G1</w:t>
            </w:r>
          </w:p>
        </w:tc>
        <w:tc>
          <w:tcPr>
            <w:tcW w:w="1450"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第一次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175</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第二次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165</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第三次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180</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restar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下风向○G2</w:t>
            </w: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第一次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235</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第二次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250</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第三次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247</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restart"/>
            <w:vAlign w:val="center"/>
          </w:tcPr>
          <w:p>
            <w:pPr>
              <w:ind w:left="0" w:leftChars="0" w:right="0" w:rightChars="0"/>
              <w:jc w:val="center"/>
              <w:rPr>
                <w:rFonts w:hint="default" w:ascii="Times New Roman" w:hAnsi="Times New Roman" w:eastAsia="宋体" w:cs="Times New Roman"/>
                <w:lang w:val="en-US" w:eastAsia="zh-CN"/>
              </w:rPr>
            </w:pPr>
            <w:r>
              <w:rPr>
                <w:rFonts w:hint="default" w:ascii="Times New Roman" w:hAnsi="Times New Roman" w:eastAsia="宋体" w:cs="Times New Roman"/>
                <w:color w:val="auto"/>
                <w:kern w:val="2"/>
                <w:sz w:val="21"/>
                <w:szCs w:val="21"/>
                <w:lang w:val="en-US" w:eastAsia="zh-CN" w:bidi="ar-SA"/>
              </w:rPr>
              <w:t>下风向○G3</w:t>
            </w: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第一次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253</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0.261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第二次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238</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第三次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252</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restar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下风向○G4</w:t>
            </w: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第一次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258</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第二次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245</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第三次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280</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0.267</w:t>
            </w:r>
          </w:p>
        </w:tc>
      </w:tr>
    </w:tbl>
    <w:p>
      <w:pPr>
        <w:pStyle w:val="116"/>
        <w:keepNext w:val="0"/>
        <w:keepLines w:val="0"/>
        <w:widowControl w:val="0"/>
        <w:shd w:val="clear" w:color="auto" w:fill="auto"/>
        <w:bidi w:val="0"/>
        <w:spacing w:before="0" w:after="0" w:line="240" w:lineRule="auto"/>
        <w:ind w:left="0" w:right="0" w:firstLine="0"/>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b/>
          <w:bCs/>
          <w:color w:val="auto"/>
          <w:spacing w:val="0"/>
          <w:w w:val="100"/>
          <w:position w:val="0"/>
          <w:sz w:val="24"/>
          <w:szCs w:val="24"/>
          <w:lang w:val="en-US" w:eastAsia="zh-CN"/>
        </w:rPr>
        <w:t xml:space="preserve">表9.3-2 </w:t>
      </w:r>
      <w:r>
        <w:rPr>
          <w:rFonts w:hint="eastAsia" w:ascii="Times New Roman" w:hAnsi="Times New Roman" w:cs="Times New Roman"/>
          <w:b/>
          <w:bCs/>
          <w:color w:val="auto"/>
          <w:spacing w:val="0"/>
          <w:w w:val="100"/>
          <w:position w:val="0"/>
          <w:sz w:val="24"/>
          <w:szCs w:val="24"/>
          <w:lang w:eastAsia="zh-CN"/>
        </w:rPr>
        <w:t>无</w:t>
      </w:r>
      <w:r>
        <w:rPr>
          <w:rFonts w:hint="default" w:ascii="Times New Roman" w:hAnsi="Times New Roman" w:cs="Times New Roman"/>
          <w:b/>
          <w:bCs/>
          <w:color w:val="auto"/>
          <w:spacing w:val="0"/>
          <w:w w:val="100"/>
          <w:position w:val="0"/>
          <w:sz w:val="24"/>
          <w:szCs w:val="24"/>
        </w:rPr>
        <w:t>组织废气</w:t>
      </w:r>
      <w:r>
        <w:rPr>
          <w:rFonts w:hint="eastAsia" w:ascii="Times New Roman" w:hAnsi="Times New Roman" w:cs="Times New Roman"/>
          <w:b/>
          <w:bCs/>
          <w:color w:val="auto"/>
          <w:spacing w:val="0"/>
          <w:w w:val="100"/>
          <w:position w:val="0"/>
          <w:sz w:val="24"/>
          <w:szCs w:val="24"/>
          <w:lang w:eastAsia="zh-CN"/>
        </w:rPr>
        <w:t>监测</w:t>
      </w:r>
      <w:r>
        <w:rPr>
          <w:rFonts w:hint="default" w:ascii="Times New Roman" w:hAnsi="Times New Roman" w:cs="Times New Roman"/>
          <w:b/>
          <w:bCs/>
          <w:color w:val="auto"/>
          <w:spacing w:val="0"/>
          <w:w w:val="100"/>
          <w:position w:val="0"/>
          <w:sz w:val="24"/>
          <w:szCs w:val="24"/>
        </w:rPr>
        <w:t>结果</w:t>
      </w:r>
      <w:r>
        <w:rPr>
          <w:rFonts w:hint="eastAsia" w:ascii="Times New Roman" w:hAnsi="Times New Roman" w:cs="Times New Roman"/>
          <w:b/>
          <w:bCs/>
          <w:color w:val="auto"/>
          <w:spacing w:val="0"/>
          <w:w w:val="100"/>
          <w:position w:val="0"/>
          <w:sz w:val="24"/>
          <w:szCs w:val="24"/>
          <w:lang w:eastAsia="zh-CN"/>
        </w:rPr>
        <w:t>统计表</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4"/>
        <w:gridCol w:w="1348"/>
        <w:gridCol w:w="1613"/>
        <w:gridCol w:w="313"/>
        <w:gridCol w:w="1048"/>
        <w:gridCol w:w="891"/>
        <w:gridCol w:w="529"/>
        <w:gridCol w:w="1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采样日期</w:t>
            </w:r>
          </w:p>
        </w:tc>
        <w:tc>
          <w:tcPr>
            <w:tcW w:w="1450"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000000"/>
                <w:kern w:val="2"/>
                <w:sz w:val="21"/>
                <w:szCs w:val="21"/>
                <w:lang w:val="en-US" w:eastAsia="zh-CN"/>
              </w:rPr>
              <w:t>2023.7.21</w:t>
            </w:r>
          </w:p>
        </w:tc>
        <w:tc>
          <w:tcPr>
            <w:tcW w:w="1933"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天气</w:t>
            </w:r>
          </w:p>
        </w:tc>
        <w:tc>
          <w:tcPr>
            <w:tcW w:w="1652"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阴</w:t>
            </w:r>
          </w:p>
        </w:tc>
        <w:tc>
          <w:tcPr>
            <w:tcW w:w="1651"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气压(KPa)</w:t>
            </w:r>
          </w:p>
        </w:tc>
        <w:tc>
          <w:tcPr>
            <w:tcW w:w="1653"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99.7-99.8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气温(℃)</w:t>
            </w:r>
          </w:p>
        </w:tc>
        <w:tc>
          <w:tcPr>
            <w:tcW w:w="1450"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27.6-28.1</w:t>
            </w:r>
          </w:p>
        </w:tc>
        <w:tc>
          <w:tcPr>
            <w:tcW w:w="1933"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风向</w:t>
            </w:r>
          </w:p>
        </w:tc>
        <w:tc>
          <w:tcPr>
            <w:tcW w:w="1652"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东北</w:t>
            </w:r>
          </w:p>
        </w:tc>
        <w:tc>
          <w:tcPr>
            <w:tcW w:w="1651"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风速(m/s)</w:t>
            </w:r>
          </w:p>
        </w:tc>
        <w:tc>
          <w:tcPr>
            <w:tcW w:w="1653"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restar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检测点位</w:t>
            </w:r>
          </w:p>
        </w:tc>
        <w:tc>
          <w:tcPr>
            <w:tcW w:w="1450" w:type="dxa"/>
            <w:vMerge w:val="restar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检测频次</w:t>
            </w:r>
          </w:p>
        </w:tc>
        <w:tc>
          <w:tcPr>
            <w:tcW w:w="6889" w:type="dxa"/>
            <w:gridSpan w:val="6"/>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451" w:type="dxa"/>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1450" w:type="dxa"/>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总悬浮颗粒物(μg/m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氯化氢(mg/m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氨(mg/m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restar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上风向○G1</w:t>
            </w:r>
          </w:p>
        </w:tc>
        <w:tc>
          <w:tcPr>
            <w:tcW w:w="1450"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第一次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135</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第二次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145</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0.146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第三次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183</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restar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下风向○G2</w:t>
            </w: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第一次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243</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第二次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262</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0.283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第三次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238</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restart"/>
            <w:vAlign w:val="center"/>
          </w:tcPr>
          <w:p>
            <w:pPr>
              <w:ind w:left="0" w:leftChars="0" w:right="0" w:rightChars="0"/>
              <w:jc w:val="center"/>
              <w:rPr>
                <w:rFonts w:hint="default" w:ascii="Times New Roman" w:hAnsi="Times New Roman" w:eastAsia="宋体" w:cs="Times New Roman"/>
                <w:lang w:val="en-US" w:eastAsia="zh-CN"/>
              </w:rPr>
            </w:pPr>
            <w:r>
              <w:rPr>
                <w:rFonts w:hint="default" w:ascii="Times New Roman" w:hAnsi="Times New Roman" w:eastAsia="宋体" w:cs="Times New Roman"/>
                <w:color w:val="auto"/>
                <w:kern w:val="2"/>
                <w:sz w:val="21"/>
                <w:szCs w:val="21"/>
                <w:lang w:val="en-US" w:eastAsia="zh-CN" w:bidi="ar-SA"/>
              </w:rPr>
              <w:t>下风向○G3</w:t>
            </w: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第一次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278</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第二次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272</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第三次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252</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0.245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restart"/>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下风向○G4</w:t>
            </w: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第一次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267</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continue"/>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第二次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282</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vMerge w:val="continue"/>
            <w:vAlign w:val="center"/>
          </w:tcPr>
          <w:p>
            <w:pPr>
              <w:jc w:val="center"/>
              <w:rPr>
                <w:rFonts w:hint="default" w:ascii="Times New Roman" w:hAnsi="Times New Roman" w:eastAsia="宋体" w:cs="Times New Roman"/>
                <w:color w:val="auto"/>
                <w:kern w:val="2"/>
                <w:sz w:val="21"/>
                <w:szCs w:val="21"/>
                <w:lang w:val="en-US" w:eastAsia="zh-CN" w:bidi="ar-SA"/>
              </w:rPr>
            </w:pPr>
          </w:p>
        </w:tc>
        <w:tc>
          <w:tcPr>
            <w:tcW w:w="1450" w:type="dxa"/>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第三次</w:t>
            </w:r>
          </w:p>
        </w:tc>
        <w:tc>
          <w:tcPr>
            <w:tcW w:w="2296"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250</w:t>
            </w:r>
          </w:p>
        </w:tc>
        <w:tc>
          <w:tcPr>
            <w:tcW w:w="2296" w:type="dxa"/>
            <w:gridSpan w:val="2"/>
            <w:vAlign w:val="center"/>
          </w:tcPr>
          <w:p>
            <w:pPr>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ND</w:t>
            </w:r>
          </w:p>
        </w:tc>
        <w:tc>
          <w:tcPr>
            <w:tcW w:w="2297" w:type="dxa"/>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0.271</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b w:val="0"/>
          <w:bCs/>
          <w:color w:val="auto"/>
          <w:kern w:val="2"/>
          <w:sz w:val="24"/>
          <w:szCs w:val="24"/>
          <w:highlight w:val="none"/>
          <w:vertAlign w:val="baseline"/>
          <w:lang w:val="en-US" w:eastAsia="zh-CN" w:bidi="ar-SA"/>
        </w:rPr>
      </w:pPr>
      <w:r>
        <w:rPr>
          <w:rFonts w:hint="eastAsia"/>
          <w:b w:val="0"/>
          <w:bCs w:val="0"/>
          <w:color w:val="auto"/>
          <w:sz w:val="24"/>
          <w:szCs w:val="24"/>
          <w:lang w:val="en-US" w:eastAsia="zh-CN"/>
        </w:rPr>
        <w:t>验收监测期间，厂界颗粒物无组织最大排放浓度为</w:t>
      </w:r>
      <w:r>
        <w:rPr>
          <w:rFonts w:hint="eastAsia" w:cs="Times New Roman"/>
          <w:b w:val="0"/>
          <w:bCs/>
          <w:color w:val="auto"/>
          <w:sz w:val="24"/>
          <w:szCs w:val="24"/>
          <w:highlight w:val="none"/>
          <w:lang w:val="en-US" w:eastAsia="zh-CN"/>
        </w:rPr>
        <w:t>0.282</w:t>
      </w:r>
      <w:r>
        <w:rPr>
          <w:rFonts w:hint="default" w:ascii="Times New Roman" w:hAnsi="Times New Roman" w:eastAsia="宋体" w:cs="Times New Roman"/>
          <w:b w:val="0"/>
          <w:bCs/>
          <w:color w:val="auto"/>
          <w:kern w:val="2"/>
          <w:sz w:val="24"/>
          <w:szCs w:val="24"/>
          <w:highlight w:val="none"/>
          <w:lang w:val="en-US" w:eastAsia="zh-CN" w:bidi="ar-SA"/>
        </w:rPr>
        <w:t>mg/m</w:t>
      </w:r>
      <w:r>
        <w:rPr>
          <w:rFonts w:hint="default" w:ascii="Times New Roman" w:hAnsi="Times New Roman" w:eastAsia="宋体" w:cs="Times New Roman"/>
          <w:b w:val="0"/>
          <w:bCs/>
          <w:color w:val="auto"/>
          <w:kern w:val="2"/>
          <w:sz w:val="24"/>
          <w:szCs w:val="24"/>
          <w:highlight w:val="none"/>
          <w:vertAlign w:val="superscript"/>
          <w:lang w:val="en-US" w:eastAsia="zh-CN" w:bidi="ar-SA"/>
        </w:rPr>
        <w:t>3</w:t>
      </w:r>
      <w:r>
        <w:rPr>
          <w:rFonts w:hint="eastAsia" w:cs="Times New Roman"/>
          <w:b w:val="0"/>
          <w:bCs/>
          <w:color w:val="auto"/>
          <w:sz w:val="24"/>
          <w:szCs w:val="24"/>
          <w:highlight w:val="none"/>
          <w:lang w:val="en-US" w:eastAsia="zh-CN"/>
        </w:rPr>
        <w:t>、氯化氢厂界无组织排放未检出</w:t>
      </w:r>
      <w:r>
        <w:rPr>
          <w:rFonts w:hint="eastAsia" w:cs="Times New Roman"/>
          <w:b w:val="0"/>
          <w:bCs/>
          <w:color w:val="auto"/>
          <w:kern w:val="2"/>
          <w:sz w:val="24"/>
          <w:szCs w:val="24"/>
          <w:highlight w:val="none"/>
          <w:vertAlign w:val="baseline"/>
          <w:lang w:val="en-US" w:eastAsia="zh-CN" w:bidi="ar-SA"/>
        </w:rPr>
        <w:t>、氨厂界无组织最大排放浓度0.321</w:t>
      </w:r>
      <w:r>
        <w:rPr>
          <w:rFonts w:hint="default" w:ascii="Times New Roman" w:hAnsi="Times New Roman" w:eastAsia="宋体" w:cs="Times New Roman"/>
          <w:b w:val="0"/>
          <w:bCs/>
          <w:color w:val="auto"/>
          <w:kern w:val="2"/>
          <w:sz w:val="24"/>
          <w:szCs w:val="24"/>
          <w:highlight w:val="none"/>
          <w:lang w:val="en-US" w:eastAsia="zh-CN" w:bidi="ar-SA"/>
        </w:rPr>
        <w:t>mg/m</w:t>
      </w:r>
      <w:r>
        <w:rPr>
          <w:rFonts w:hint="default" w:ascii="Times New Roman" w:hAnsi="Times New Roman" w:eastAsia="宋体" w:cs="Times New Roman"/>
          <w:b w:val="0"/>
          <w:bCs/>
          <w:color w:val="auto"/>
          <w:kern w:val="2"/>
          <w:sz w:val="24"/>
          <w:szCs w:val="24"/>
          <w:highlight w:val="none"/>
          <w:vertAlign w:val="superscript"/>
          <w:lang w:val="en-US" w:eastAsia="zh-CN" w:bidi="ar-SA"/>
        </w:rPr>
        <w:t>3</w:t>
      </w:r>
      <w:r>
        <w:rPr>
          <w:rFonts w:hint="eastAsia" w:cs="Times New Roman"/>
          <w:b w:val="0"/>
          <w:bCs/>
          <w:color w:val="auto"/>
          <w:kern w:val="2"/>
          <w:sz w:val="24"/>
          <w:szCs w:val="24"/>
          <w:highlight w:val="none"/>
          <w:vertAlign w:val="baseline"/>
          <w:lang w:val="en-US" w:eastAsia="zh-CN" w:bidi="ar-SA"/>
        </w:rPr>
        <w:t>。</w:t>
      </w:r>
    </w:p>
    <w:p>
      <w:pPr>
        <w:spacing w:after="0" w:line="360" w:lineRule="auto"/>
        <w:ind w:firstLine="480" w:firstLineChars="200"/>
        <w:jc w:val="both"/>
        <w:rPr>
          <w:rFonts w:hint="eastAsia" w:cs="Times New Roman"/>
          <w:color w:val="000000" w:themeColor="text1"/>
          <w:sz w:val="24"/>
          <w:lang w:eastAsia="zh-CN"/>
          <w14:textFill>
            <w14:solidFill>
              <w14:schemeClr w14:val="tx1"/>
            </w14:solidFill>
          </w14:textFill>
        </w:rPr>
      </w:pPr>
      <w:r>
        <w:rPr>
          <w:rFonts w:hint="default" w:ascii="Times New Roman" w:hAnsi="Times New Roman" w:eastAsia="宋体" w:cs="Times New Roman"/>
          <w:color w:val="auto"/>
          <w:sz w:val="24"/>
          <w:lang w:val="en-US" w:eastAsia="zh-CN"/>
        </w:rPr>
        <w:t>颗粒物</w:t>
      </w:r>
      <w:r>
        <w:rPr>
          <w:rFonts w:hint="eastAsia" w:cs="Times New Roman"/>
          <w:color w:val="auto"/>
          <w:sz w:val="24"/>
          <w:lang w:val="en-US" w:eastAsia="zh-CN"/>
        </w:rPr>
        <w:t>满足</w:t>
      </w:r>
      <w:r>
        <w:rPr>
          <w:rFonts w:hint="default" w:ascii="Times New Roman" w:hAnsi="Times New Roman" w:eastAsia="宋体" w:cs="Times New Roman"/>
          <w:color w:val="auto"/>
          <w:sz w:val="24"/>
        </w:rPr>
        <w:t>《大气污染物综合排放标准》（GB16297-1996）表2中无组织排放监控浓度限值</w:t>
      </w:r>
      <w:r>
        <w:rPr>
          <w:rFonts w:hint="eastAsia" w:cs="Times New Roman"/>
          <w:color w:val="auto"/>
          <w:sz w:val="24"/>
          <w:lang w:eastAsia="zh-CN"/>
        </w:rPr>
        <w:t>；氯化氢满足</w:t>
      </w:r>
      <w:r>
        <w:rPr>
          <w:rFonts w:hint="default" w:ascii="Times New Roman" w:hAnsi="Times New Roman" w:eastAsia="宋体" w:cs="Times New Roman"/>
          <w:color w:val="auto"/>
          <w:sz w:val="24"/>
          <w:lang w:val="en-US" w:eastAsia="zh-CN"/>
        </w:rPr>
        <w:t>《电镀</w:t>
      </w:r>
      <w:r>
        <w:rPr>
          <w:rFonts w:hint="default" w:ascii="Times New Roman" w:hAnsi="Times New Roman" w:eastAsia="宋体" w:cs="Times New Roman"/>
          <w:color w:val="000000" w:themeColor="text1"/>
          <w:sz w:val="24"/>
          <w:lang w:val="en-US" w:eastAsia="zh-CN"/>
          <w14:textFill>
            <w14:solidFill>
              <w14:schemeClr w14:val="tx1"/>
            </w14:solidFill>
          </w14:textFill>
        </w:rPr>
        <w:t>污染物排放标准》（GB 21900-2008）表5中新建企业大气污染物排放浓度限值</w:t>
      </w:r>
      <w:r>
        <w:rPr>
          <w:rFonts w:hint="eastAsia" w:cs="Times New Roman"/>
          <w:color w:val="000000" w:themeColor="text1"/>
          <w:sz w:val="24"/>
          <w:lang w:val="en-US" w:eastAsia="zh-CN"/>
          <w14:textFill>
            <w14:solidFill>
              <w14:schemeClr w14:val="tx1"/>
            </w14:solidFill>
          </w14:textFill>
        </w:rPr>
        <w:t>；氨满足</w:t>
      </w:r>
      <w:r>
        <w:rPr>
          <w:rFonts w:hint="default" w:ascii="Times New Roman" w:hAnsi="Times New Roman" w:eastAsia="宋体" w:cs="Times New Roman"/>
          <w:color w:val="000000" w:themeColor="text1"/>
          <w:sz w:val="24"/>
          <w14:textFill>
            <w14:solidFill>
              <w14:schemeClr w14:val="tx1"/>
            </w14:solidFill>
          </w14:textFill>
        </w:rPr>
        <w:t>《恶臭污染物排放标准》（GB14554-93）中表2恶臭污染物排放标准值</w:t>
      </w:r>
      <w:r>
        <w:rPr>
          <w:rFonts w:hint="eastAsia" w:cs="Times New Roman"/>
          <w:color w:val="000000" w:themeColor="text1"/>
          <w:sz w:val="24"/>
          <w:lang w:eastAsia="zh-CN"/>
          <w14:textFill>
            <w14:solidFill>
              <w14:schemeClr w14:val="tx1"/>
            </w14:solidFill>
          </w14:textFill>
        </w:rPr>
        <w:t>。</w:t>
      </w:r>
    </w:p>
    <w:p>
      <w:pPr>
        <w:spacing w:after="0" w:line="360" w:lineRule="auto"/>
        <w:ind w:firstLine="482" w:firstLineChars="200"/>
        <w:jc w:val="both"/>
        <w:rPr>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2、</w:t>
      </w:r>
      <w:r>
        <w:rPr>
          <w:rFonts w:hint="eastAsia"/>
          <w:b/>
          <w:bCs/>
          <w:color w:val="000000" w:themeColor="text1"/>
          <w:sz w:val="24"/>
          <w14:textFill>
            <w14:solidFill>
              <w14:schemeClr w14:val="tx1"/>
            </w14:solidFill>
          </w14:textFill>
        </w:rPr>
        <w:t>噪声监测结果与分析</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b/>
          <w:bCs/>
          <w:color w:val="000000" w:themeColor="text1"/>
          <w:sz w:val="24"/>
          <w14:textFill>
            <w14:solidFill>
              <w14:schemeClr w14:val="tx1"/>
            </w14:solidFill>
          </w14:textFill>
        </w:rPr>
      </w:pPr>
      <w:r>
        <w:rPr>
          <w:rFonts w:hAnsi="宋体"/>
          <w:b/>
          <w:bCs/>
          <w:color w:val="000000" w:themeColor="text1"/>
          <w:sz w:val="24"/>
          <w14:textFill>
            <w14:solidFill>
              <w14:schemeClr w14:val="tx1"/>
            </w14:solidFill>
          </w14:textFill>
        </w:rPr>
        <w:t>表</w:t>
      </w:r>
      <w:r>
        <w:rPr>
          <w:rFonts w:hint="eastAsia"/>
          <w:b/>
          <w:bCs/>
          <w:color w:val="000000" w:themeColor="text1"/>
          <w:sz w:val="24"/>
          <w:lang w:val="en-US" w:eastAsia="zh-CN"/>
          <w14:textFill>
            <w14:solidFill>
              <w14:schemeClr w14:val="tx1"/>
            </w14:solidFill>
          </w14:textFill>
        </w:rPr>
        <w:t>9</w:t>
      </w:r>
      <w:r>
        <w:rPr>
          <w:rFonts w:hint="eastAsia"/>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4</w:t>
      </w:r>
      <w:r>
        <w:rPr>
          <w:rFonts w:hint="eastAsia"/>
          <w:b/>
          <w:bCs/>
          <w:color w:val="000000" w:themeColor="text1"/>
          <w:sz w:val="24"/>
          <w14:textFill>
            <w14:solidFill>
              <w14:schemeClr w14:val="tx1"/>
            </w14:solidFill>
          </w14:textFill>
        </w:rPr>
        <w:t xml:space="preserve">  </w:t>
      </w:r>
      <w:r>
        <w:rPr>
          <w:rFonts w:hAnsi="宋体"/>
          <w:b/>
          <w:bCs/>
          <w:color w:val="000000" w:themeColor="text1"/>
          <w:sz w:val="24"/>
          <w14:textFill>
            <w14:solidFill>
              <w14:schemeClr w14:val="tx1"/>
            </w14:solidFill>
          </w14:textFill>
        </w:rPr>
        <w:t>噪声监测结果统计表</w:t>
      </w:r>
    </w:p>
    <w:tbl>
      <w:tblPr>
        <w:tblStyle w:val="32"/>
        <w:tblW w:w="506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6"/>
        <w:gridCol w:w="1704"/>
        <w:gridCol w:w="1704"/>
        <w:gridCol w:w="1704"/>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7" w:type="pct"/>
            <w:tcBorders>
              <w:right w:val="single" w:color="000000" w:sz="4" w:space="0"/>
            </w:tcBorders>
            <w:vAlign w:val="center"/>
          </w:tcPr>
          <w:p>
            <w:pPr>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rPr>
              <w:t>检测项目</w:t>
            </w:r>
          </w:p>
        </w:tc>
        <w:tc>
          <w:tcPr>
            <w:tcW w:w="3952" w:type="pct"/>
            <w:gridSpan w:val="4"/>
            <w:tcBorders>
              <w:left w:val="single" w:color="000000" w:sz="4" w:space="0"/>
            </w:tcBorders>
            <w:vAlign w:val="center"/>
          </w:tcPr>
          <w:p>
            <w:pPr>
              <w:ind w:left="0" w:leftChars="0" w:right="0" w:right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工业企业厂界环境噪声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7" w:type="pct"/>
            <w:tcBorders>
              <w:right w:val="single" w:color="000000" w:sz="4" w:space="0"/>
            </w:tcBorders>
            <w:vAlign w:val="center"/>
          </w:tcPr>
          <w:p>
            <w:pPr>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主要声源</w:t>
            </w:r>
          </w:p>
        </w:tc>
        <w:tc>
          <w:tcPr>
            <w:tcW w:w="3952" w:type="pct"/>
            <w:gridSpan w:val="4"/>
            <w:tcBorders>
              <w:left w:val="single" w:color="000000" w:sz="4" w:space="0"/>
            </w:tcBorders>
            <w:vAlign w:val="center"/>
          </w:tcPr>
          <w:p>
            <w:pPr>
              <w:ind w:left="0" w:leftChars="0" w:right="0" w:right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生产噪声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7" w:type="pct"/>
            <w:tcBorders>
              <w:right w:val="single" w:color="000000" w:sz="4" w:space="0"/>
            </w:tcBorders>
            <w:vAlign w:val="center"/>
          </w:tcPr>
          <w:p>
            <w:pPr>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检测日期</w:t>
            </w:r>
          </w:p>
        </w:tc>
        <w:tc>
          <w:tcPr>
            <w:tcW w:w="1975" w:type="pct"/>
            <w:gridSpan w:val="2"/>
            <w:tcBorders>
              <w:left w:val="single" w:color="000000" w:sz="4" w:space="0"/>
            </w:tcBorders>
            <w:vAlign w:val="center"/>
          </w:tcPr>
          <w:p>
            <w:pPr>
              <w:ind w:left="0" w:leftChars="0" w:right="0" w:right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color w:val="000000"/>
                <w:kern w:val="2"/>
                <w:sz w:val="21"/>
                <w:szCs w:val="21"/>
                <w:lang w:val="en-US" w:eastAsia="zh-CN"/>
              </w:rPr>
              <w:t>2023.7.20</w:t>
            </w:r>
          </w:p>
        </w:tc>
        <w:tc>
          <w:tcPr>
            <w:tcW w:w="1977" w:type="pct"/>
            <w:gridSpan w:val="2"/>
            <w:tcBorders>
              <w:left w:val="single" w:color="000000" w:sz="4" w:space="0"/>
            </w:tcBorders>
            <w:vAlign w:val="center"/>
          </w:tcPr>
          <w:p>
            <w:pPr>
              <w:ind w:left="0" w:leftChars="0" w:right="0" w:rightChars="0"/>
              <w:jc w:val="center"/>
              <w:rPr>
                <w:rFonts w:hint="default" w:ascii="Times New Roman" w:hAnsi="Times New Roman" w:eastAsia="宋体" w:cs="Times New Roman"/>
                <w:b/>
                <w:bCs/>
                <w:color w:val="auto"/>
                <w:sz w:val="21"/>
                <w:szCs w:val="21"/>
                <w:lang w:val="en-US" w:eastAsia="zh-CN" w:bidi="zh-CN"/>
              </w:rPr>
            </w:pPr>
            <w:r>
              <w:rPr>
                <w:rFonts w:hint="default" w:ascii="Times New Roman" w:hAnsi="Times New Roman" w:eastAsia="宋体" w:cs="Times New Roman"/>
                <w:color w:val="000000"/>
                <w:kern w:val="2"/>
                <w:sz w:val="21"/>
                <w:szCs w:val="21"/>
                <w:lang w:val="en-US" w:eastAsia="zh-CN"/>
              </w:rPr>
              <w:t>2023.7.21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7" w:type="pct"/>
            <w:tcBorders>
              <w:right w:val="single" w:color="000000" w:sz="4" w:space="0"/>
            </w:tcBorders>
            <w:vAlign w:val="center"/>
          </w:tcPr>
          <w:p>
            <w:pPr>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天气参数</w:t>
            </w:r>
          </w:p>
        </w:tc>
        <w:tc>
          <w:tcPr>
            <w:tcW w:w="1975" w:type="pct"/>
            <w:gridSpan w:val="2"/>
            <w:tcBorders>
              <w:left w:val="single" w:color="000000" w:sz="4" w:space="0"/>
            </w:tcBorders>
            <w:vAlign w:val="center"/>
          </w:tcPr>
          <w:p>
            <w:pPr>
              <w:ind w:left="0" w:leftChars="0" w:right="0" w:rightChars="0"/>
              <w:jc w:val="center"/>
              <w:rPr>
                <w:rFonts w:hint="default" w:ascii="Times New Roman" w:hAnsi="Times New Roman" w:eastAsia="宋体" w:cs="Times New Roman"/>
                <w:color w:val="auto"/>
                <w:sz w:val="21"/>
                <w:szCs w:val="21"/>
                <w:lang w:val="en-US" w:eastAsia="zh-CN" w:bidi="zh-CN"/>
              </w:rPr>
            </w:pPr>
            <w:r>
              <w:rPr>
                <w:rFonts w:hint="default" w:ascii="Times New Roman" w:hAnsi="Times New Roman" w:eastAsia="宋体" w:cs="Times New Roman"/>
                <w:b w:val="0"/>
                <w:bCs w:val="0"/>
                <w:color w:val="auto"/>
                <w:sz w:val="21"/>
                <w:szCs w:val="21"/>
                <w:lang w:val="en-US" w:eastAsia="zh-CN"/>
              </w:rPr>
              <w:t>风速1.8m/s</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 w:val="0"/>
                <w:bCs w:val="0"/>
                <w:color w:val="auto"/>
                <w:sz w:val="21"/>
                <w:szCs w:val="21"/>
                <w:lang w:val="en-US" w:eastAsia="zh-CN"/>
              </w:rPr>
              <w:t>天气阴</w:t>
            </w:r>
          </w:p>
        </w:tc>
        <w:tc>
          <w:tcPr>
            <w:tcW w:w="1977" w:type="pct"/>
            <w:gridSpan w:val="2"/>
            <w:tcBorders>
              <w:left w:val="single" w:color="000000" w:sz="4" w:space="0"/>
            </w:tcBorders>
            <w:vAlign w:val="center"/>
          </w:tcPr>
          <w:p>
            <w:pPr>
              <w:ind w:left="0" w:leftChars="0" w:right="0" w:right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风速1.7m/s</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 w:val="0"/>
                <w:bCs w:val="0"/>
                <w:color w:val="auto"/>
                <w:sz w:val="21"/>
                <w:szCs w:val="21"/>
                <w:lang w:val="en-US" w:eastAsia="zh-CN"/>
              </w:rPr>
              <w:t>天气阴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7" w:type="pct"/>
            <w:vMerge w:val="restart"/>
            <w:tcBorders>
              <w:right w:val="single" w:color="000000" w:sz="4" w:space="0"/>
            </w:tcBorders>
            <w:vAlign w:val="center"/>
          </w:tcPr>
          <w:p>
            <w:pPr>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rPr>
              <w:t>检测点位</w:t>
            </w:r>
          </w:p>
        </w:tc>
        <w:tc>
          <w:tcPr>
            <w:tcW w:w="3952" w:type="pct"/>
            <w:gridSpan w:val="4"/>
            <w:vAlign w:val="center"/>
          </w:tcPr>
          <w:p>
            <w:pPr>
              <w:ind w:left="0" w:leftChars="0" w:right="0" w:right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rPr>
              <w:t>检测结果Leq〔dB(A)〕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7" w:type="pct"/>
            <w:vMerge w:val="continue"/>
            <w:tcBorders>
              <w:right w:val="single" w:color="000000" w:sz="4" w:space="0"/>
            </w:tcBorders>
            <w:vAlign w:val="center"/>
          </w:tcPr>
          <w:p>
            <w:pPr>
              <w:jc w:val="center"/>
              <w:rPr>
                <w:rFonts w:hint="default" w:ascii="Times New Roman" w:hAnsi="Times New Roman" w:eastAsia="宋体" w:cs="Times New Roman"/>
                <w:color w:val="auto"/>
                <w:sz w:val="21"/>
                <w:szCs w:val="21"/>
                <w:lang w:val="en-US" w:eastAsia="zh-CN" w:bidi="ar-SA"/>
              </w:rPr>
            </w:pPr>
          </w:p>
        </w:tc>
        <w:tc>
          <w:tcPr>
            <w:tcW w:w="987" w:type="pct"/>
            <w:vAlign w:val="center"/>
          </w:tcPr>
          <w:p>
            <w:pPr>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昼间</w:t>
            </w:r>
          </w:p>
        </w:tc>
        <w:tc>
          <w:tcPr>
            <w:tcW w:w="987" w:type="pct"/>
            <w:vAlign w:val="center"/>
          </w:tcPr>
          <w:p>
            <w:pPr>
              <w:ind w:left="0" w:leftChars="0" w:right="0" w:right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夜间</w:t>
            </w:r>
          </w:p>
        </w:tc>
        <w:tc>
          <w:tcPr>
            <w:tcW w:w="987" w:type="pct"/>
            <w:vAlign w:val="center"/>
          </w:tcPr>
          <w:p>
            <w:pPr>
              <w:ind w:left="0" w:leftChars="0" w:right="0" w:rightChars="0"/>
              <w:jc w:val="center"/>
              <w:rPr>
                <w:rFonts w:hint="default" w:ascii="Times New Roman" w:hAnsi="Times New Roman" w:eastAsia="宋体" w:cs="Times New Roman"/>
                <w:color w:val="auto"/>
                <w:sz w:val="21"/>
                <w:szCs w:val="21"/>
                <w:lang w:val="en-US" w:eastAsia="zh-CN" w:bidi="zh-CN"/>
              </w:rPr>
            </w:pPr>
            <w:r>
              <w:rPr>
                <w:rFonts w:hint="default" w:ascii="Times New Roman" w:hAnsi="Times New Roman" w:eastAsia="宋体" w:cs="Times New Roman"/>
                <w:color w:val="auto"/>
                <w:sz w:val="21"/>
                <w:szCs w:val="21"/>
                <w:lang w:eastAsia="zh-CN"/>
              </w:rPr>
              <w:t>昼间</w:t>
            </w:r>
          </w:p>
        </w:tc>
        <w:tc>
          <w:tcPr>
            <w:tcW w:w="989" w:type="pct"/>
            <w:vAlign w:val="center"/>
          </w:tcPr>
          <w:p>
            <w:pPr>
              <w:ind w:left="0" w:leftChars="0" w:right="0" w:right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7" w:type="pct"/>
            <w:vAlign w:val="center"/>
          </w:tcPr>
          <w:p>
            <w:pPr>
              <w:pStyle w:val="30"/>
              <w:keepNext w:val="0"/>
              <w:keepLines w:val="0"/>
              <w:pageBreakBefore w:val="0"/>
              <w:widowControl w:val="0"/>
              <w:numPr>
                <w:ilvl w:val="0"/>
                <w:numId w:val="0"/>
              </w:numPr>
              <w:kinsoku/>
              <w:wordWrap/>
              <w:overflowPunct/>
              <w:topLinePunct w:val="0"/>
              <w:bidi w:val="0"/>
              <w:snapToGrid/>
              <w:spacing w:after="0"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sz w:val="21"/>
                <w:szCs w:val="21"/>
                <w:vertAlign w:val="baseline"/>
                <w:lang w:val="en-US" w:eastAsia="zh-CN"/>
              </w:rPr>
              <w:t>Z1厂界东</w:t>
            </w:r>
          </w:p>
        </w:tc>
        <w:tc>
          <w:tcPr>
            <w:tcW w:w="987" w:type="pct"/>
            <w:vAlign w:val="center"/>
          </w:tcPr>
          <w:p>
            <w:pPr>
              <w:pStyle w:val="3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54</w:t>
            </w:r>
          </w:p>
        </w:tc>
        <w:tc>
          <w:tcPr>
            <w:tcW w:w="987" w:type="pct"/>
            <w:vAlign w:val="center"/>
          </w:tcPr>
          <w:p>
            <w:pPr>
              <w:pStyle w:val="3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44</w:t>
            </w:r>
          </w:p>
        </w:tc>
        <w:tc>
          <w:tcPr>
            <w:tcW w:w="987" w:type="pct"/>
            <w:vAlign w:val="center"/>
          </w:tcPr>
          <w:p>
            <w:pPr>
              <w:pStyle w:val="3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57</w:t>
            </w:r>
          </w:p>
        </w:tc>
        <w:tc>
          <w:tcPr>
            <w:tcW w:w="989" w:type="pct"/>
            <w:vAlign w:val="center"/>
          </w:tcPr>
          <w:p>
            <w:pPr>
              <w:pStyle w:val="3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7" w:type="pct"/>
            <w:vAlign w:val="center"/>
          </w:tcPr>
          <w:p>
            <w:pPr>
              <w:pStyle w:val="30"/>
              <w:keepNext w:val="0"/>
              <w:keepLines w:val="0"/>
              <w:pageBreakBefore w:val="0"/>
              <w:widowControl w:val="0"/>
              <w:numPr>
                <w:ilvl w:val="0"/>
                <w:numId w:val="0"/>
              </w:numPr>
              <w:kinsoku/>
              <w:wordWrap/>
              <w:overflowPunct/>
              <w:topLinePunct w:val="0"/>
              <w:bidi w:val="0"/>
              <w:snapToGrid/>
              <w:spacing w:after="0"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sz w:val="21"/>
                <w:szCs w:val="21"/>
                <w:vertAlign w:val="baseline"/>
                <w:lang w:val="en-US" w:eastAsia="zh-CN"/>
              </w:rPr>
              <w:t>Z2厂界南</w:t>
            </w:r>
          </w:p>
        </w:tc>
        <w:tc>
          <w:tcPr>
            <w:tcW w:w="987" w:type="pct"/>
            <w:vAlign w:val="center"/>
          </w:tcPr>
          <w:p>
            <w:pPr>
              <w:pStyle w:val="3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57</w:t>
            </w:r>
          </w:p>
        </w:tc>
        <w:tc>
          <w:tcPr>
            <w:tcW w:w="987" w:type="pct"/>
            <w:vAlign w:val="center"/>
          </w:tcPr>
          <w:p>
            <w:pPr>
              <w:pStyle w:val="3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42</w:t>
            </w:r>
          </w:p>
        </w:tc>
        <w:tc>
          <w:tcPr>
            <w:tcW w:w="987" w:type="pct"/>
            <w:vAlign w:val="center"/>
          </w:tcPr>
          <w:p>
            <w:pPr>
              <w:pStyle w:val="3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54</w:t>
            </w:r>
          </w:p>
        </w:tc>
        <w:tc>
          <w:tcPr>
            <w:tcW w:w="989" w:type="pct"/>
            <w:vAlign w:val="center"/>
          </w:tcPr>
          <w:p>
            <w:pPr>
              <w:pStyle w:val="3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7" w:type="pct"/>
            <w:vAlign w:val="center"/>
          </w:tcPr>
          <w:p>
            <w:pPr>
              <w:pStyle w:val="30"/>
              <w:keepNext w:val="0"/>
              <w:keepLines w:val="0"/>
              <w:pageBreakBefore w:val="0"/>
              <w:widowControl w:val="0"/>
              <w:numPr>
                <w:ilvl w:val="0"/>
                <w:numId w:val="0"/>
              </w:numPr>
              <w:kinsoku/>
              <w:wordWrap/>
              <w:overflowPunct/>
              <w:topLinePunct w:val="0"/>
              <w:bidi w:val="0"/>
              <w:snapToGrid/>
              <w:spacing w:after="0"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sz w:val="21"/>
                <w:szCs w:val="21"/>
                <w:vertAlign w:val="baseline"/>
                <w:lang w:val="en-US" w:eastAsia="zh-CN"/>
              </w:rPr>
              <w:t>Z3厂界西</w:t>
            </w:r>
          </w:p>
        </w:tc>
        <w:tc>
          <w:tcPr>
            <w:tcW w:w="987" w:type="pct"/>
            <w:vAlign w:val="center"/>
          </w:tcPr>
          <w:p>
            <w:pPr>
              <w:pStyle w:val="3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57</w:t>
            </w:r>
          </w:p>
        </w:tc>
        <w:tc>
          <w:tcPr>
            <w:tcW w:w="987" w:type="pct"/>
            <w:vAlign w:val="center"/>
          </w:tcPr>
          <w:p>
            <w:pPr>
              <w:pStyle w:val="3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41</w:t>
            </w:r>
          </w:p>
        </w:tc>
        <w:tc>
          <w:tcPr>
            <w:tcW w:w="987" w:type="pct"/>
            <w:vAlign w:val="center"/>
          </w:tcPr>
          <w:p>
            <w:pPr>
              <w:pStyle w:val="3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57</w:t>
            </w:r>
          </w:p>
        </w:tc>
        <w:tc>
          <w:tcPr>
            <w:tcW w:w="989" w:type="pct"/>
            <w:vAlign w:val="center"/>
          </w:tcPr>
          <w:p>
            <w:pPr>
              <w:pStyle w:val="3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7" w:type="pct"/>
            <w:vAlign w:val="center"/>
          </w:tcPr>
          <w:p>
            <w:pPr>
              <w:pStyle w:val="30"/>
              <w:keepNext w:val="0"/>
              <w:keepLines w:val="0"/>
              <w:pageBreakBefore w:val="0"/>
              <w:widowControl w:val="0"/>
              <w:numPr>
                <w:ilvl w:val="0"/>
                <w:numId w:val="0"/>
              </w:numPr>
              <w:kinsoku/>
              <w:wordWrap/>
              <w:overflowPunct/>
              <w:topLinePunct w:val="0"/>
              <w:bidi w:val="0"/>
              <w:snapToGrid/>
              <w:spacing w:after="0"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sz w:val="21"/>
                <w:szCs w:val="21"/>
                <w:vertAlign w:val="baseline"/>
                <w:lang w:val="en-US" w:eastAsia="zh-CN"/>
              </w:rPr>
              <w:t>Z4厂界北</w:t>
            </w:r>
          </w:p>
        </w:tc>
        <w:tc>
          <w:tcPr>
            <w:tcW w:w="987" w:type="pct"/>
            <w:vAlign w:val="center"/>
          </w:tcPr>
          <w:p>
            <w:pPr>
              <w:pStyle w:val="3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57</w:t>
            </w:r>
          </w:p>
        </w:tc>
        <w:tc>
          <w:tcPr>
            <w:tcW w:w="987" w:type="pct"/>
            <w:vAlign w:val="center"/>
          </w:tcPr>
          <w:p>
            <w:pPr>
              <w:pStyle w:val="3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42</w:t>
            </w:r>
          </w:p>
        </w:tc>
        <w:tc>
          <w:tcPr>
            <w:tcW w:w="987" w:type="pct"/>
            <w:vAlign w:val="center"/>
          </w:tcPr>
          <w:p>
            <w:pPr>
              <w:pStyle w:val="3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56</w:t>
            </w:r>
          </w:p>
        </w:tc>
        <w:tc>
          <w:tcPr>
            <w:tcW w:w="989" w:type="pct"/>
            <w:vAlign w:val="center"/>
          </w:tcPr>
          <w:p>
            <w:pPr>
              <w:pStyle w:val="3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41</w:t>
            </w:r>
          </w:p>
        </w:tc>
      </w:tr>
    </w:tbl>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在验收监测期间，</w:t>
      </w:r>
      <w:r>
        <w:rPr>
          <w:rFonts w:hint="eastAsia"/>
          <w:color w:val="000000" w:themeColor="text1"/>
          <w:sz w:val="24"/>
          <w:lang w:eastAsia="zh-CN"/>
          <w14:textFill>
            <w14:solidFill>
              <w14:schemeClr w14:val="tx1"/>
            </w14:solidFill>
          </w14:textFill>
        </w:rPr>
        <w:t>昼间、夜间生产</w:t>
      </w:r>
      <w:r>
        <w:rPr>
          <w:color w:val="000000" w:themeColor="text1"/>
          <w:sz w:val="24"/>
          <w14:textFill>
            <w14:solidFill>
              <w14:schemeClr w14:val="tx1"/>
            </w14:solidFill>
          </w14:textFill>
        </w:rPr>
        <w:t>噪声排放</w:t>
      </w:r>
      <w:r>
        <w:rPr>
          <w:rFonts w:hint="eastAsia"/>
          <w:color w:val="000000" w:themeColor="text1"/>
          <w:sz w:val="24"/>
          <w:lang w:eastAsia="zh-CN"/>
          <w14:textFill>
            <w14:solidFill>
              <w14:schemeClr w14:val="tx1"/>
            </w14:solidFill>
          </w14:textFill>
        </w:rPr>
        <w:t>均</w:t>
      </w:r>
      <w:r>
        <w:rPr>
          <w:color w:val="000000" w:themeColor="text1"/>
          <w:sz w:val="24"/>
          <w14:textFill>
            <w14:solidFill>
              <w14:schemeClr w14:val="tx1"/>
            </w14:solidFill>
          </w14:textFill>
        </w:rPr>
        <w:t>能满足《工业企业厂环境噪声排放标准》（GB12348-2008）中的</w:t>
      </w:r>
      <w:r>
        <w:rPr>
          <w:rFonts w:hint="eastAsia"/>
          <w:color w:val="000000" w:themeColor="text1"/>
          <w:sz w:val="24"/>
          <w:lang w:val="en-US" w:eastAsia="zh-CN"/>
          <w14:textFill>
            <w14:solidFill>
              <w14:schemeClr w14:val="tx1"/>
            </w14:solidFill>
          </w14:textFill>
        </w:rPr>
        <w:t>3</w:t>
      </w:r>
      <w:r>
        <w:rPr>
          <w:color w:val="000000" w:themeColor="text1"/>
          <w:sz w:val="24"/>
          <w14:textFill>
            <w14:solidFill>
              <w14:schemeClr w14:val="tx1"/>
            </w14:solidFill>
          </w14:textFill>
        </w:rPr>
        <w:t>类</w:t>
      </w:r>
      <w:r>
        <w:rPr>
          <w:rFonts w:hint="eastAsia"/>
          <w:color w:val="000000" w:themeColor="text1"/>
          <w:sz w:val="24"/>
          <w14:textFill>
            <w14:solidFill>
              <w14:schemeClr w14:val="tx1"/>
            </w14:solidFill>
          </w14:textFill>
        </w:rPr>
        <w:t>区</w:t>
      </w:r>
      <w:r>
        <w:rPr>
          <w:color w:val="000000" w:themeColor="text1"/>
          <w:sz w:val="24"/>
          <w14:textFill>
            <w14:solidFill>
              <w14:schemeClr w14:val="tx1"/>
            </w14:solidFill>
          </w14:textFill>
        </w:rPr>
        <w:t>标准限值。</w:t>
      </w:r>
    </w:p>
    <w:p>
      <w:pPr>
        <w:spacing w:line="360" w:lineRule="auto"/>
        <w:rPr>
          <w:rFonts w:hint="default" w:ascii="Times New Roman" w:hAnsi="Times New Roman" w:eastAsia="宋体" w:cs="Times New Roman"/>
          <w:color w:val="0000FF"/>
          <w:sz w:val="24"/>
          <w:lang w:val="en-US" w:eastAsia="zh-CN"/>
        </w:rPr>
      </w:pPr>
      <w:r>
        <w:rPr>
          <w:rFonts w:hint="eastAsia" w:ascii="Times New Roman" w:hAnsi="Times New Roman" w:eastAsia="宋体" w:cs="Times New Roman"/>
          <w:b/>
          <w:bCs/>
          <w:kern w:val="0"/>
          <w:sz w:val="28"/>
          <w:szCs w:val="28"/>
          <w:lang w:val="en-US" w:eastAsia="zh-CN" w:bidi="ar-SA"/>
        </w:rPr>
        <w:t>9.3总量控制指标</w:t>
      </w:r>
    </w:p>
    <w:p>
      <w:pPr>
        <w:spacing w:line="360" w:lineRule="auto"/>
        <w:jc w:val="center"/>
        <w:rPr>
          <w:rFonts w:hint="default" w:eastAsiaTheme="minorEastAsia"/>
          <w:b/>
          <w:bCs/>
          <w:color w:val="000000" w:themeColor="text1"/>
          <w:sz w:val="24"/>
          <w:vertAlign w:val="baseline"/>
          <w:lang w:val="en-US" w:eastAsia="zh-CN"/>
          <w14:textFill>
            <w14:solidFill>
              <w14:schemeClr w14:val="tx1"/>
            </w14:solidFill>
          </w14:textFill>
        </w:rPr>
      </w:pPr>
      <w:r>
        <w:rPr>
          <w:rFonts w:hint="eastAsia"/>
          <w:b/>
          <w:bCs/>
          <w:color w:val="000000" w:themeColor="text1"/>
          <w:sz w:val="24"/>
          <w:lang w:eastAsia="zh-CN"/>
          <w14:textFill>
            <w14:solidFill>
              <w14:schemeClr w14:val="tx1"/>
            </w14:solidFill>
          </w14:textFill>
        </w:rPr>
        <w:t>表</w:t>
      </w:r>
      <w:r>
        <w:rPr>
          <w:rFonts w:hint="eastAsia"/>
          <w:b/>
          <w:bCs/>
          <w:color w:val="000000" w:themeColor="text1"/>
          <w:sz w:val="24"/>
          <w:lang w:val="en-US" w:eastAsia="zh-CN"/>
          <w14:textFill>
            <w14:solidFill>
              <w14:schemeClr w14:val="tx1"/>
            </w14:solidFill>
          </w14:textFill>
        </w:rPr>
        <w:t>9.6废水污染物总量对比一览表</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4"/>
        <w:gridCol w:w="2127"/>
        <w:gridCol w:w="2130"/>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7"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污染物</w:t>
            </w:r>
          </w:p>
        </w:tc>
        <w:tc>
          <w:tcPr>
            <w:tcW w:w="1249"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烟（粉）尘</w:t>
            </w:r>
          </w:p>
        </w:tc>
        <w:tc>
          <w:tcPr>
            <w:tcW w:w="1251"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SO</w:t>
            </w:r>
            <w:r>
              <w:rPr>
                <w:rFonts w:hint="eastAsia" w:ascii="Times New Roman" w:hAnsi="Times New Roman" w:eastAsia="宋体" w:cs="Times New Roman"/>
                <w:i w:val="0"/>
                <w:iCs w:val="0"/>
                <w:color w:val="000000"/>
                <w:kern w:val="0"/>
                <w:sz w:val="21"/>
                <w:szCs w:val="21"/>
                <w:u w:val="none"/>
                <w:vertAlign w:val="subscript"/>
                <w:lang w:val="en-US" w:eastAsia="zh-CN" w:bidi="ar"/>
              </w:rPr>
              <w:t>2</w:t>
            </w:r>
          </w:p>
        </w:tc>
        <w:tc>
          <w:tcPr>
            <w:tcW w:w="1251"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NO</w:t>
            </w:r>
            <w:r>
              <w:rPr>
                <w:rFonts w:hint="eastAsia" w:ascii="Times New Roman" w:hAnsi="Times New Roman" w:eastAsia="宋体" w:cs="Times New Roman"/>
                <w:i w:val="0"/>
                <w:iCs w:val="0"/>
                <w:color w:val="000000"/>
                <w:kern w:val="0"/>
                <w:sz w:val="21"/>
                <w:szCs w:val="21"/>
                <w:u w:val="none"/>
                <w:vertAlign w:val="subscript"/>
                <w:lang w:val="en-US" w:eastAsia="zh-CN" w:bidi="ar"/>
              </w:rPr>
              <w: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环评申报量（t/a）</w:t>
            </w:r>
          </w:p>
        </w:tc>
        <w:tc>
          <w:tcPr>
            <w:tcW w:w="1249"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0.749</w:t>
            </w:r>
          </w:p>
        </w:tc>
        <w:tc>
          <w:tcPr>
            <w:tcW w:w="1251"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0.3</w:t>
            </w:r>
          </w:p>
        </w:tc>
        <w:tc>
          <w:tcPr>
            <w:tcW w:w="1251" w:type="pct"/>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pct"/>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年平均排放时间</w:t>
            </w:r>
          </w:p>
        </w:tc>
        <w:tc>
          <w:tcPr>
            <w:tcW w:w="3752" w:type="pct"/>
            <w:gridSpan w:val="3"/>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实际排放量（t/a）</w:t>
            </w:r>
          </w:p>
        </w:tc>
        <w:tc>
          <w:tcPr>
            <w:tcW w:w="1249"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0.169</w:t>
            </w:r>
          </w:p>
        </w:tc>
        <w:tc>
          <w:tcPr>
            <w:tcW w:w="1251"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0.072</w:t>
            </w:r>
          </w:p>
        </w:tc>
        <w:tc>
          <w:tcPr>
            <w:tcW w:w="1251"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1.282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pct"/>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监测时段生产</w:t>
            </w:r>
          </w:p>
          <w:p>
            <w:pPr>
              <w:keepNext w:val="0"/>
              <w:keepLines w:val="0"/>
              <w:widowControl/>
              <w:suppressLineNumbers w:val="0"/>
              <w:ind w:left="0" w:leftChars="0" w:right="0" w:rightChars="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负荷</w:t>
            </w:r>
          </w:p>
        </w:tc>
        <w:tc>
          <w:tcPr>
            <w:tcW w:w="3752" w:type="pct"/>
            <w:gridSpan w:val="3"/>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92.25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pct"/>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折算满负荷总量</w:t>
            </w:r>
          </w:p>
        </w:tc>
        <w:tc>
          <w:tcPr>
            <w:tcW w:w="1249"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0.183</w:t>
            </w:r>
          </w:p>
        </w:tc>
        <w:tc>
          <w:tcPr>
            <w:tcW w:w="1251"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0.078</w:t>
            </w:r>
          </w:p>
        </w:tc>
        <w:tc>
          <w:tcPr>
            <w:tcW w:w="1251" w:type="pct"/>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1.389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7" w:type="pct"/>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达标性</w:t>
            </w:r>
          </w:p>
        </w:tc>
        <w:tc>
          <w:tcPr>
            <w:tcW w:w="1249" w:type="pct"/>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达标</w:t>
            </w:r>
          </w:p>
        </w:tc>
        <w:tc>
          <w:tcPr>
            <w:tcW w:w="1251" w:type="pct"/>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达标</w:t>
            </w:r>
          </w:p>
        </w:tc>
        <w:tc>
          <w:tcPr>
            <w:tcW w:w="1251" w:type="pct"/>
            <w:vAlign w:val="center"/>
          </w:tcPr>
          <w:p>
            <w:pPr>
              <w:keepNext w:val="0"/>
              <w:keepLines w:val="0"/>
              <w:widowControl/>
              <w:suppressLineNumbers w:val="0"/>
              <w:ind w:left="0" w:leftChars="0" w:right="0" w:rightChars="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达标</w:t>
            </w:r>
          </w:p>
        </w:tc>
      </w:tr>
    </w:tbl>
    <w:p>
      <w:pPr>
        <w:pStyle w:val="40"/>
        <w:rPr>
          <w:rFonts w:hint="default" w:eastAsia="宋体"/>
          <w:bCs/>
          <w:color w:val="000000"/>
          <w:lang w:val="en-US" w:eastAsia="zh-CN"/>
        </w:rPr>
      </w:pPr>
      <w:r>
        <w:rPr>
          <w:rFonts w:hint="eastAsia"/>
          <w:b w:val="0"/>
          <w:bCs w:val="0"/>
          <w:color w:val="000000" w:themeColor="text1"/>
          <w:sz w:val="24"/>
          <w:lang w:val="en-US" w:eastAsia="zh-CN"/>
          <w14:textFill>
            <w14:solidFill>
              <w14:schemeClr w14:val="tx1"/>
            </w14:solidFill>
          </w14:textFill>
        </w:rPr>
        <w:t>经核算，项目废气污染物总量满足排放要求。</w:t>
      </w:r>
    </w:p>
    <w:p>
      <w:pPr>
        <w:pStyle w:val="40"/>
        <w:ind w:left="0" w:leftChars="0" w:firstLine="0" w:firstLineChars="0"/>
        <w:jc w:val="both"/>
        <w:outlineLvl w:val="0"/>
        <w:rPr>
          <w:rFonts w:hint="eastAsia" w:ascii="Times New Roman" w:hAnsi="Times New Roman" w:eastAsia="宋体" w:cs="Times New Roman"/>
          <w:b/>
          <w:bCs/>
          <w:kern w:val="0"/>
          <w:sz w:val="28"/>
          <w:szCs w:val="28"/>
          <w:lang w:val="en-US" w:eastAsia="zh-CN" w:bidi="ar-SA"/>
        </w:rPr>
      </w:pPr>
      <w:bookmarkStart w:id="422" w:name="_Toc15008"/>
      <w:r>
        <w:rPr>
          <w:rFonts w:hint="eastAsia" w:ascii="Times New Roman" w:hAnsi="Times New Roman" w:eastAsia="宋体" w:cs="Times New Roman"/>
          <w:b/>
          <w:bCs/>
          <w:kern w:val="0"/>
          <w:sz w:val="28"/>
          <w:szCs w:val="28"/>
          <w:lang w:val="en-US" w:eastAsia="zh-CN" w:bidi="ar-SA"/>
        </w:rPr>
        <w:t>9.4工程建设对环境的影响</w:t>
      </w:r>
      <w:bookmarkEnd w:id="422"/>
    </w:p>
    <w:p>
      <w:pPr>
        <w:pStyle w:val="2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项目验收过程中已</w:t>
      </w:r>
      <w:r>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t>落实环评报告提出的各项污染防治措施，各项污染物均可以做到稳定达标排放，污水治理工程运营后，从区域水污染源集中收集和深度处理的角度，对区域水污染源削减及水环境质量改善起到重要的积极作用。</w:t>
      </w:r>
    </w:p>
    <w:p>
      <w:pPr>
        <w:pStyle w:val="40"/>
        <w:ind w:left="0" w:leftChars="0" w:firstLine="0" w:firstLineChars="0"/>
        <w:jc w:val="center"/>
        <w:outlineLvl w:val="0"/>
        <w:rPr>
          <w:b/>
          <w:bCs/>
          <w:sz w:val="28"/>
          <w:szCs w:val="28"/>
        </w:rPr>
      </w:pPr>
      <w:r>
        <w:rPr>
          <w:bCs/>
          <w:color w:val="000000"/>
        </w:rPr>
        <w:br w:type="page"/>
      </w:r>
      <w:bookmarkStart w:id="423" w:name="_Toc4951"/>
      <w:bookmarkStart w:id="424" w:name="_Toc20290"/>
      <w:bookmarkStart w:id="425" w:name="_Toc10697"/>
      <w:bookmarkStart w:id="426" w:name="_Toc515361458"/>
      <w:bookmarkStart w:id="427" w:name="_Toc509514320"/>
      <w:bookmarkStart w:id="428" w:name="_Toc9217"/>
      <w:bookmarkStart w:id="429" w:name="_Toc9680"/>
      <w:bookmarkStart w:id="430" w:name="_Toc4989"/>
      <w:bookmarkStart w:id="431" w:name="_Toc515360484"/>
      <w:r>
        <w:rPr>
          <w:rFonts w:hint="eastAsia"/>
          <w:b/>
          <w:bCs/>
          <w:sz w:val="28"/>
          <w:szCs w:val="28"/>
        </w:rPr>
        <w:t xml:space="preserve">第十章  </w:t>
      </w:r>
      <w:r>
        <w:rPr>
          <w:rFonts w:hint="eastAsia" w:hAnsi="宋体"/>
          <w:b/>
          <w:bCs/>
          <w:sz w:val="28"/>
          <w:szCs w:val="28"/>
        </w:rPr>
        <w:t>验收监测结论</w:t>
      </w:r>
      <w:bookmarkEnd w:id="423"/>
      <w:bookmarkEnd w:id="424"/>
      <w:bookmarkEnd w:id="425"/>
      <w:bookmarkEnd w:id="426"/>
      <w:bookmarkEnd w:id="427"/>
      <w:bookmarkEnd w:id="428"/>
      <w:bookmarkEnd w:id="429"/>
      <w:bookmarkEnd w:id="430"/>
      <w:bookmarkEnd w:id="431"/>
    </w:p>
    <w:p>
      <w:pPr>
        <w:pStyle w:val="40"/>
        <w:ind w:firstLine="0" w:firstLineChars="0"/>
        <w:outlineLvl w:val="1"/>
        <w:rPr>
          <w:b/>
          <w:bCs/>
          <w:sz w:val="28"/>
          <w:szCs w:val="28"/>
        </w:rPr>
      </w:pPr>
      <w:bookmarkStart w:id="432" w:name="_Toc515361459"/>
      <w:bookmarkStart w:id="433" w:name="_Toc509514321"/>
      <w:bookmarkStart w:id="434" w:name="_Toc1272"/>
      <w:bookmarkStart w:id="435" w:name="_Toc10727104"/>
      <w:bookmarkStart w:id="436" w:name="_Toc515360485"/>
      <w:bookmarkStart w:id="437" w:name="_Toc7927"/>
      <w:bookmarkStart w:id="438" w:name="_Toc28038"/>
      <w:bookmarkStart w:id="439" w:name="_Toc22394"/>
      <w:bookmarkStart w:id="440" w:name="_Toc8247"/>
      <w:bookmarkStart w:id="441" w:name="_Toc23071"/>
      <w:r>
        <w:rPr>
          <w:b/>
          <w:bCs/>
          <w:sz w:val="28"/>
          <w:szCs w:val="28"/>
        </w:rPr>
        <w:t>10.1环境保护设施调试结果</w:t>
      </w:r>
      <w:bookmarkEnd w:id="432"/>
      <w:bookmarkEnd w:id="433"/>
      <w:bookmarkEnd w:id="434"/>
      <w:bookmarkEnd w:id="435"/>
      <w:bookmarkEnd w:id="436"/>
      <w:bookmarkEnd w:id="437"/>
      <w:bookmarkEnd w:id="438"/>
      <w:bookmarkEnd w:id="439"/>
      <w:bookmarkEnd w:id="440"/>
      <w:bookmarkEnd w:id="441"/>
    </w:p>
    <w:p>
      <w:pPr>
        <w:pStyle w:val="40"/>
        <w:keepNext w:val="0"/>
        <w:keepLines w:val="0"/>
        <w:pageBreakBefore w:val="0"/>
        <w:widowControl/>
        <w:kinsoku/>
        <w:wordWrap/>
        <w:overflowPunct/>
        <w:topLinePunct w:val="0"/>
        <w:autoSpaceDE/>
        <w:autoSpaceDN/>
        <w:bidi w:val="0"/>
        <w:adjustRightInd/>
        <w:snapToGrid/>
        <w:ind w:left="0" w:leftChars="0" w:firstLine="480" w:firstLineChars="200"/>
        <w:textAlignment w:val="auto"/>
        <w:outlineLvl w:val="2"/>
        <w:rPr>
          <w:bCs/>
        </w:rPr>
      </w:pPr>
      <w:bookmarkStart w:id="442" w:name="_Toc509514322"/>
      <w:r>
        <w:rPr>
          <w:bCs/>
        </w:rPr>
        <w:t>（</w:t>
      </w:r>
      <w:r>
        <w:rPr>
          <w:rFonts w:hint="eastAsia"/>
          <w:bCs/>
        </w:rPr>
        <w:t>1</w:t>
      </w:r>
      <w:r>
        <w:rPr>
          <w:bCs/>
        </w:rPr>
        <w:t>）</w:t>
      </w:r>
      <w:r>
        <w:rPr>
          <w:rFonts w:hint="eastAsia"/>
          <w:bCs/>
        </w:rPr>
        <w:t>废水</w:t>
      </w:r>
    </w:p>
    <w:p>
      <w:pPr>
        <w:pStyle w:val="40"/>
        <w:keepNext w:val="0"/>
        <w:keepLines w:val="0"/>
        <w:pageBreakBefore w:val="0"/>
        <w:widowControl/>
        <w:kinsoku/>
        <w:wordWrap/>
        <w:overflowPunct/>
        <w:topLinePunct w:val="0"/>
        <w:autoSpaceDE/>
        <w:autoSpaceDN/>
        <w:bidi w:val="0"/>
        <w:adjustRightInd/>
        <w:snapToGrid/>
        <w:ind w:left="0" w:leftChars="0" w:firstLine="480" w:firstLineChars="200"/>
        <w:jc w:val="both"/>
        <w:textAlignment w:val="auto"/>
        <w:outlineLvl w:val="2"/>
        <w:rPr>
          <w:rFonts w:hint="eastAsia" w:eastAsia="宋体"/>
          <w:bCs/>
          <w:lang w:eastAsia="zh-CN"/>
        </w:rPr>
      </w:pPr>
      <w:r>
        <w:rPr>
          <w:rFonts w:hint="eastAsia"/>
          <w:bCs/>
          <w:lang w:eastAsia="zh-CN"/>
        </w:rPr>
        <w:t>厂区生产废水经自建污水处理站处理后回用于清洗工段，不外排；</w:t>
      </w:r>
      <w:r>
        <w:rPr>
          <w:rFonts w:hint="eastAsia"/>
          <w:bCs/>
        </w:rPr>
        <w:t>生活污水</w:t>
      </w:r>
      <w:r>
        <w:rPr>
          <w:rFonts w:hint="eastAsia"/>
          <w:bCs/>
          <w:lang w:eastAsia="zh-CN"/>
        </w:rPr>
        <w:t>经化粪池预处理后</w:t>
      </w:r>
      <w:r>
        <w:rPr>
          <w:rFonts w:hint="eastAsia"/>
          <w:bCs/>
        </w:rPr>
        <w:t>接管</w:t>
      </w:r>
      <w:r>
        <w:rPr>
          <w:rFonts w:hint="eastAsia"/>
          <w:bCs/>
          <w:lang w:eastAsia="zh-CN"/>
        </w:rPr>
        <w:t>至</w:t>
      </w:r>
      <w:r>
        <w:rPr>
          <w:rFonts w:hint="eastAsia"/>
          <w:bCs/>
        </w:rPr>
        <w:t>平桥污水处理厂处理</w:t>
      </w:r>
      <w:r>
        <w:rPr>
          <w:rFonts w:hint="eastAsia"/>
          <w:bCs/>
          <w:lang w:eastAsia="zh-CN"/>
        </w:rPr>
        <w:t>。</w:t>
      </w:r>
    </w:p>
    <w:p>
      <w:pPr>
        <w:pStyle w:val="40"/>
        <w:ind w:left="420" w:leftChars="200" w:firstLine="0" w:firstLineChars="0"/>
        <w:jc w:val="both"/>
        <w:outlineLvl w:val="2"/>
        <w:rPr>
          <w:bCs/>
        </w:rPr>
      </w:pPr>
      <w:r>
        <w:rPr>
          <w:rFonts w:hint="eastAsia"/>
          <w:bCs/>
        </w:rPr>
        <w:t>（2）废气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b w:val="0"/>
          <w:bCs/>
          <w:color w:val="auto"/>
          <w:kern w:val="2"/>
          <w:sz w:val="24"/>
          <w:szCs w:val="24"/>
          <w:highlight w:val="none"/>
          <w:vertAlign w:val="baseline"/>
          <w:lang w:val="en-US" w:eastAsia="zh-CN" w:bidi="ar-SA"/>
        </w:rPr>
      </w:pPr>
      <w:r>
        <w:rPr>
          <w:rFonts w:hint="default" w:ascii="Times New Roman" w:hAnsi="Times New Roman" w:cs="Times New Roman"/>
          <w:color w:val="auto"/>
          <w:sz w:val="24"/>
          <w:szCs w:val="24"/>
        </w:rPr>
        <w:t>在验收监测期间，</w:t>
      </w:r>
      <w:r>
        <w:rPr>
          <w:rFonts w:hint="eastAsia" w:cs="Times New Roman"/>
          <w:color w:val="auto"/>
          <w:sz w:val="24"/>
          <w:szCs w:val="24"/>
          <w:lang w:eastAsia="zh-CN"/>
        </w:rPr>
        <w:t>酸洗废气排气筒（</w:t>
      </w:r>
      <w:r>
        <w:rPr>
          <w:rFonts w:hint="eastAsia" w:cs="Times New Roman"/>
          <w:color w:val="auto"/>
          <w:sz w:val="24"/>
          <w:szCs w:val="24"/>
          <w:lang w:val="en-US" w:eastAsia="zh-CN"/>
        </w:rPr>
        <w:t>DA001</w:t>
      </w:r>
      <w:r>
        <w:rPr>
          <w:rFonts w:hint="eastAsia" w:cs="Times New Roman"/>
          <w:color w:val="auto"/>
          <w:sz w:val="24"/>
          <w:szCs w:val="24"/>
          <w:lang w:eastAsia="zh-CN"/>
        </w:rPr>
        <w:t>）氯化氢有组织平均排放浓度为</w:t>
      </w:r>
      <w:r>
        <w:rPr>
          <w:rFonts w:hint="eastAsia" w:cs="Times New Roman"/>
          <w:color w:val="auto"/>
          <w:sz w:val="24"/>
          <w:szCs w:val="24"/>
          <w:lang w:val="en-US" w:eastAsia="zh-CN"/>
        </w:rPr>
        <w:t>4.95mg/m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、平均排放速率为2.49</w:t>
      </w:r>
      <w:r>
        <w:rPr>
          <w:rFonts w:hint="default" w:cs="Times New Roman"/>
          <w:color w:val="auto"/>
          <w:sz w:val="24"/>
          <w:szCs w:val="24"/>
          <w:lang w:val="en-US" w:eastAsia="zh-CN"/>
        </w:rPr>
        <w:t>×10</w:t>
      </w:r>
      <w:r>
        <w:rPr>
          <w:rFonts w:hint="default" w:cs="Times New Roman"/>
          <w:color w:val="auto"/>
          <w:sz w:val="24"/>
          <w:szCs w:val="24"/>
          <w:vertAlign w:val="superscript"/>
          <w:lang w:val="en-US" w:eastAsia="zh-CN"/>
        </w:rPr>
        <w:t>-1</w:t>
      </w:r>
      <w:r>
        <w:rPr>
          <w:rFonts w:hint="default" w:cs="Times New Roman"/>
          <w:color w:val="auto"/>
          <w:sz w:val="24"/>
          <w:szCs w:val="24"/>
          <w:lang w:val="en-US" w:eastAsia="zh-CN"/>
        </w:rPr>
        <w:t>kg/h</w:t>
      </w:r>
      <w:r>
        <w:rPr>
          <w:rFonts w:hint="eastAsia" w:cs="Times New Roman"/>
          <w:color w:val="auto"/>
          <w:sz w:val="24"/>
          <w:szCs w:val="24"/>
          <w:lang w:val="en-US" w:eastAsia="zh-CN"/>
        </w:rPr>
        <w:t>。锌锅废气排气筒（DA002）颗粒物有组织平均排放浓度为</w:t>
      </w:r>
      <w:r>
        <w:rPr>
          <w:rFonts w:hint="eastAsia" w:cs="Times New Roman"/>
          <w:color w:val="auto"/>
          <w:kern w:val="2"/>
          <w:sz w:val="24"/>
          <w:szCs w:val="24"/>
          <w:lang w:val="en-US" w:eastAsia="zh-CN" w:bidi="ar-SA"/>
        </w:rPr>
        <w:t>31.33</w:t>
      </w:r>
      <w:r>
        <w:rPr>
          <w:rFonts w:hint="eastAsia" w:cs="Times New Roman"/>
          <w:color w:val="auto"/>
          <w:sz w:val="24"/>
          <w:szCs w:val="24"/>
          <w:lang w:val="en-US" w:eastAsia="zh-CN"/>
        </w:rPr>
        <w:t>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、平均排放速率为</w:t>
      </w:r>
      <w:r>
        <w:rPr>
          <w:rFonts w:hint="eastAsia" w:cs="Times New Roman"/>
          <w:i w:val="0"/>
          <w:iCs w:val="0"/>
          <w:color w:val="000000"/>
          <w:kern w:val="0"/>
          <w:sz w:val="24"/>
          <w:szCs w:val="24"/>
          <w:u w:val="none"/>
          <w:lang w:val="en-US" w:eastAsia="zh-CN" w:bidi="ar"/>
        </w:rPr>
        <w:t>2.14</w:t>
      </w:r>
      <w:r>
        <w:rPr>
          <w:rFonts w:hint="default" w:cs="Times New Roman"/>
          <w:color w:val="auto"/>
          <w:sz w:val="24"/>
          <w:szCs w:val="24"/>
          <w:lang w:val="en-US" w:eastAsia="zh-CN"/>
        </w:rPr>
        <w:t>kg/h</w:t>
      </w:r>
      <w:r>
        <w:rPr>
          <w:rFonts w:hint="eastAsia" w:cs="Times New Roman"/>
          <w:color w:val="auto"/>
          <w:sz w:val="24"/>
          <w:szCs w:val="24"/>
          <w:lang w:val="en-US" w:eastAsia="zh-CN"/>
        </w:rPr>
        <w:t>；氯化氢未检出；氨平均排放浓度为</w:t>
      </w:r>
      <w:r>
        <w:rPr>
          <w:rFonts w:hint="eastAsia" w:cs="Times New Roman"/>
          <w:color w:val="auto"/>
          <w:kern w:val="2"/>
          <w:sz w:val="24"/>
          <w:szCs w:val="24"/>
          <w:lang w:val="en-US" w:eastAsia="zh-CN" w:bidi="ar-SA"/>
        </w:rPr>
        <w:t>2.89</w:t>
      </w:r>
      <w:r>
        <w:rPr>
          <w:rFonts w:hint="eastAsia" w:cs="Times New Roman"/>
          <w:color w:val="auto"/>
          <w:sz w:val="24"/>
          <w:szCs w:val="24"/>
          <w:lang w:val="en-US" w:eastAsia="zh-CN"/>
        </w:rPr>
        <w:t>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、平均排放速率为</w:t>
      </w:r>
      <w:r>
        <w:rPr>
          <w:rFonts w:hint="eastAsia" w:cs="Times New Roman"/>
          <w:i w:val="0"/>
          <w:iCs w:val="0"/>
          <w:color w:val="000000"/>
          <w:kern w:val="0"/>
          <w:sz w:val="24"/>
          <w:szCs w:val="24"/>
          <w:u w:val="none"/>
          <w:lang w:val="en-US" w:eastAsia="zh-CN" w:bidi="ar"/>
        </w:rPr>
        <w:t>1.97×10</w:t>
      </w:r>
      <w:r>
        <w:rPr>
          <w:rFonts w:hint="eastAsia" w:cs="Times New Roman"/>
          <w:i w:val="0"/>
          <w:iCs w:val="0"/>
          <w:color w:val="000000"/>
          <w:kern w:val="0"/>
          <w:sz w:val="24"/>
          <w:szCs w:val="24"/>
          <w:u w:val="none"/>
          <w:vertAlign w:val="superscript"/>
          <w:lang w:val="en-US" w:eastAsia="zh-CN" w:bidi="ar"/>
        </w:rPr>
        <w:t>-1</w:t>
      </w:r>
      <w:r>
        <w:rPr>
          <w:rFonts w:hint="default" w:cs="Times New Roman"/>
          <w:color w:val="auto"/>
          <w:sz w:val="24"/>
          <w:szCs w:val="24"/>
          <w:lang w:val="en-US" w:eastAsia="zh-CN"/>
        </w:rPr>
        <w:t>kg/h</w:t>
      </w:r>
      <w:r>
        <w:rPr>
          <w:rFonts w:hint="eastAsia" w:cs="Times New Roman"/>
          <w:color w:val="auto"/>
          <w:sz w:val="24"/>
          <w:szCs w:val="24"/>
          <w:lang w:val="en-US" w:eastAsia="zh-CN"/>
        </w:rPr>
        <w:t>。天然气燃烧废气排放筒（DA003）颗粒物有组织平均排放浓度为5.02mg/m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、平均排放速率为2.35×10</w:t>
      </w:r>
      <w:r>
        <w:rPr>
          <w:rFonts w:hint="eastAsia" w:cs="Times New Roman"/>
          <w:color w:val="auto"/>
          <w:sz w:val="24"/>
          <w:szCs w:val="24"/>
          <w:vertAlign w:val="superscript"/>
          <w:lang w:val="en-US" w:eastAsia="zh-CN"/>
        </w:rPr>
        <w:t>-2</w:t>
      </w:r>
      <w:r>
        <w:rPr>
          <w:rFonts w:hint="eastAsia" w:cs="Times New Roman"/>
          <w:color w:val="auto"/>
          <w:sz w:val="24"/>
          <w:szCs w:val="24"/>
          <w:lang w:val="en-US" w:eastAsia="zh-CN"/>
        </w:rPr>
        <w:t>kg/h；SO</w:t>
      </w:r>
      <w:r>
        <w:rPr>
          <w:rFonts w:hint="eastAsia" w:cs="Times New Roman"/>
          <w:color w:val="auto"/>
          <w:sz w:val="24"/>
          <w:szCs w:val="24"/>
          <w:vertAlign w:val="subscript"/>
          <w:lang w:val="en-US" w:eastAsia="zh-CN"/>
        </w:rPr>
        <w:t>2</w:t>
      </w:r>
      <w:r>
        <w:rPr>
          <w:rFonts w:hint="eastAsia" w:cs="Times New Roman"/>
          <w:color w:val="auto"/>
          <w:sz w:val="24"/>
          <w:szCs w:val="24"/>
          <w:lang w:val="en-US" w:eastAsia="zh-CN"/>
        </w:rPr>
        <w:t>排放浓度为3.0mg/m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；NO</w:t>
      </w:r>
      <w:r>
        <w:rPr>
          <w:rFonts w:hint="eastAsia" w:cs="Times New Roman"/>
          <w:color w:val="auto"/>
          <w:sz w:val="24"/>
          <w:szCs w:val="24"/>
          <w:vertAlign w:val="subscript"/>
          <w:lang w:val="en-US" w:eastAsia="zh-CN"/>
        </w:rPr>
        <w:t>X</w:t>
      </w:r>
      <w:r>
        <w:rPr>
          <w:rFonts w:hint="eastAsia" w:cs="Times New Roman"/>
          <w:color w:val="auto"/>
          <w:sz w:val="24"/>
          <w:szCs w:val="24"/>
          <w:lang w:val="en-US" w:eastAsia="zh-CN"/>
        </w:rPr>
        <w:t>平均排放浓度为</w:t>
      </w:r>
      <w:r>
        <w:rPr>
          <w:rFonts w:hint="eastAsia" w:cs="Times New Roman"/>
          <w:color w:val="auto"/>
          <w:kern w:val="2"/>
          <w:sz w:val="24"/>
          <w:szCs w:val="24"/>
          <w:lang w:val="en-US" w:eastAsia="zh-CN" w:bidi="ar-SA"/>
        </w:rPr>
        <w:t>43</w:t>
      </w:r>
      <w:r>
        <w:rPr>
          <w:rFonts w:hint="eastAsia" w:cs="Times New Roman"/>
          <w:color w:val="auto"/>
          <w:sz w:val="24"/>
          <w:szCs w:val="24"/>
          <w:lang w:val="en-US" w:eastAsia="zh-CN"/>
        </w:rPr>
        <w:t>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、平均排放速率为2.02×10</w:t>
      </w:r>
      <w:r>
        <w:rPr>
          <w:rFonts w:hint="eastAsia" w:cs="Times New Roman"/>
          <w:color w:val="auto"/>
          <w:sz w:val="24"/>
          <w:szCs w:val="24"/>
          <w:vertAlign w:val="superscript"/>
          <w:lang w:val="en-US" w:eastAsia="zh-CN"/>
        </w:rPr>
        <w:t>-1</w:t>
      </w:r>
      <w:r>
        <w:rPr>
          <w:rFonts w:hint="eastAsia" w:cs="Times New Roman"/>
          <w:color w:val="auto"/>
          <w:sz w:val="24"/>
          <w:szCs w:val="24"/>
          <w:lang w:val="en-US" w:eastAsia="zh-CN"/>
        </w:rPr>
        <w:t>kg/h。</w:t>
      </w:r>
      <w:r>
        <w:rPr>
          <w:rFonts w:hint="eastAsia"/>
          <w:b w:val="0"/>
          <w:bCs w:val="0"/>
          <w:color w:val="auto"/>
          <w:sz w:val="24"/>
          <w:szCs w:val="24"/>
          <w:lang w:val="en-US" w:eastAsia="zh-CN"/>
        </w:rPr>
        <w:t>厂界颗粒物无组织最大排放浓度为</w:t>
      </w:r>
      <w:r>
        <w:rPr>
          <w:rFonts w:hint="eastAsia" w:cs="Times New Roman"/>
          <w:b w:val="0"/>
          <w:bCs/>
          <w:color w:val="auto"/>
          <w:sz w:val="24"/>
          <w:szCs w:val="24"/>
          <w:highlight w:val="none"/>
          <w:lang w:val="en-US" w:eastAsia="zh-CN"/>
        </w:rPr>
        <w:t>0.282</w:t>
      </w:r>
      <w:r>
        <w:rPr>
          <w:rFonts w:hint="default" w:ascii="Times New Roman" w:hAnsi="Times New Roman" w:eastAsia="宋体" w:cs="Times New Roman"/>
          <w:b w:val="0"/>
          <w:bCs/>
          <w:color w:val="auto"/>
          <w:kern w:val="2"/>
          <w:sz w:val="24"/>
          <w:szCs w:val="24"/>
          <w:highlight w:val="none"/>
          <w:lang w:val="en-US" w:eastAsia="zh-CN" w:bidi="ar-SA"/>
        </w:rPr>
        <w:t>mg/m</w:t>
      </w:r>
      <w:r>
        <w:rPr>
          <w:rFonts w:hint="default" w:ascii="Times New Roman" w:hAnsi="Times New Roman" w:eastAsia="宋体" w:cs="Times New Roman"/>
          <w:b w:val="0"/>
          <w:bCs/>
          <w:color w:val="auto"/>
          <w:kern w:val="2"/>
          <w:sz w:val="24"/>
          <w:szCs w:val="24"/>
          <w:highlight w:val="none"/>
          <w:vertAlign w:val="superscript"/>
          <w:lang w:val="en-US" w:eastAsia="zh-CN" w:bidi="ar-SA"/>
        </w:rPr>
        <w:t>3</w:t>
      </w:r>
      <w:r>
        <w:rPr>
          <w:rFonts w:hint="eastAsia" w:cs="Times New Roman"/>
          <w:b w:val="0"/>
          <w:bCs/>
          <w:color w:val="auto"/>
          <w:sz w:val="24"/>
          <w:szCs w:val="24"/>
          <w:highlight w:val="none"/>
          <w:lang w:val="en-US" w:eastAsia="zh-CN"/>
        </w:rPr>
        <w:t>、氯化氢厂界无组织排放未检出</w:t>
      </w:r>
      <w:r>
        <w:rPr>
          <w:rFonts w:hint="eastAsia" w:cs="Times New Roman"/>
          <w:b w:val="0"/>
          <w:bCs/>
          <w:color w:val="auto"/>
          <w:kern w:val="2"/>
          <w:sz w:val="24"/>
          <w:szCs w:val="24"/>
          <w:highlight w:val="none"/>
          <w:vertAlign w:val="baseline"/>
          <w:lang w:val="en-US" w:eastAsia="zh-CN" w:bidi="ar-SA"/>
        </w:rPr>
        <w:t>、氨厂界无组织最大排放浓度0.321</w:t>
      </w:r>
      <w:r>
        <w:rPr>
          <w:rFonts w:hint="default" w:ascii="Times New Roman" w:hAnsi="Times New Roman" w:eastAsia="宋体" w:cs="Times New Roman"/>
          <w:b w:val="0"/>
          <w:bCs/>
          <w:color w:val="auto"/>
          <w:kern w:val="2"/>
          <w:sz w:val="24"/>
          <w:szCs w:val="24"/>
          <w:highlight w:val="none"/>
          <w:lang w:val="en-US" w:eastAsia="zh-CN" w:bidi="ar-SA"/>
        </w:rPr>
        <w:t>mg/m</w:t>
      </w:r>
      <w:r>
        <w:rPr>
          <w:rFonts w:hint="default" w:ascii="Times New Roman" w:hAnsi="Times New Roman" w:eastAsia="宋体" w:cs="Times New Roman"/>
          <w:b w:val="0"/>
          <w:bCs/>
          <w:color w:val="auto"/>
          <w:kern w:val="2"/>
          <w:sz w:val="24"/>
          <w:szCs w:val="24"/>
          <w:highlight w:val="none"/>
          <w:vertAlign w:val="superscript"/>
          <w:lang w:val="en-US" w:eastAsia="zh-CN" w:bidi="ar-SA"/>
        </w:rPr>
        <w:t>3</w:t>
      </w:r>
      <w:r>
        <w:rPr>
          <w:rFonts w:hint="eastAsia" w:cs="Times New Roman"/>
          <w:b w:val="0"/>
          <w:bCs/>
          <w:color w:val="auto"/>
          <w:kern w:val="2"/>
          <w:sz w:val="24"/>
          <w:szCs w:val="24"/>
          <w:highlight w:val="none"/>
          <w:vertAlign w:val="baseline"/>
          <w:lang w:val="en-US" w:eastAsia="zh-CN" w:bidi="ar-SA"/>
        </w:rPr>
        <w:t>。</w:t>
      </w:r>
    </w:p>
    <w:p>
      <w:pPr>
        <w:pStyle w:val="40"/>
        <w:outlineLvl w:val="2"/>
        <w:rPr>
          <w:bCs/>
        </w:rPr>
      </w:pPr>
      <w:r>
        <w:rPr>
          <w:rFonts w:hint="eastAsia"/>
          <w:bCs/>
        </w:rPr>
        <w:t>（3）噪声</w:t>
      </w:r>
    </w:p>
    <w:bookmarkEnd w:id="442"/>
    <w:p>
      <w:pPr>
        <w:pStyle w:val="40"/>
        <w:jc w:val="both"/>
        <w:rPr>
          <w:rFonts w:eastAsia="宋体" w:cs="Times New Roman"/>
        </w:rPr>
      </w:pPr>
      <w:r>
        <w:rPr>
          <w:rFonts w:eastAsia="宋体" w:cs="Times New Roman"/>
        </w:rPr>
        <w:t>验收监测期间，项目四至厂界昼间噪声在</w:t>
      </w:r>
      <w:r>
        <w:rPr>
          <w:rFonts w:hint="eastAsia" w:eastAsia="宋体" w:cs="Times New Roman"/>
          <w:lang w:val="en-US" w:eastAsia="zh-CN"/>
        </w:rPr>
        <w:t>5</w:t>
      </w:r>
      <w:r>
        <w:rPr>
          <w:rFonts w:hint="eastAsia" w:cs="Times New Roman"/>
          <w:lang w:val="en-US" w:eastAsia="zh-CN"/>
        </w:rPr>
        <w:t>4</w:t>
      </w:r>
      <w:r>
        <w:rPr>
          <w:rFonts w:eastAsia="宋体" w:cs="Times New Roman"/>
        </w:rPr>
        <w:t>dB</w:t>
      </w:r>
      <w:r>
        <w:rPr>
          <w:rFonts w:hint="eastAsia" w:eastAsia="宋体" w:cs="Times New Roman"/>
        </w:rPr>
        <w:t>（</w:t>
      </w:r>
      <w:r>
        <w:rPr>
          <w:rFonts w:eastAsia="宋体" w:cs="Times New Roman"/>
        </w:rPr>
        <w:t>A</w:t>
      </w:r>
      <w:r>
        <w:rPr>
          <w:rFonts w:hint="eastAsia" w:eastAsia="宋体" w:cs="Times New Roman"/>
        </w:rPr>
        <w:t>）</w:t>
      </w:r>
      <w:r>
        <w:rPr>
          <w:rFonts w:hint="eastAsia" w:eastAsia="宋体" w:cs="Times New Roman"/>
          <w:lang w:val="en-US" w:eastAsia="zh-CN"/>
        </w:rPr>
        <w:t>- 5</w:t>
      </w:r>
      <w:r>
        <w:rPr>
          <w:rFonts w:hint="eastAsia" w:cs="Times New Roman"/>
          <w:lang w:val="en-US" w:eastAsia="zh-CN"/>
        </w:rPr>
        <w:t>7</w:t>
      </w:r>
      <w:r>
        <w:rPr>
          <w:rFonts w:eastAsia="宋体" w:cs="Times New Roman"/>
        </w:rPr>
        <w:t>dB</w:t>
      </w:r>
      <w:r>
        <w:rPr>
          <w:rFonts w:hint="eastAsia" w:eastAsia="宋体" w:cs="Times New Roman"/>
        </w:rPr>
        <w:t>（</w:t>
      </w:r>
      <w:r>
        <w:rPr>
          <w:rFonts w:eastAsia="宋体" w:cs="Times New Roman"/>
        </w:rPr>
        <w:t>A</w:t>
      </w:r>
      <w:r>
        <w:rPr>
          <w:rFonts w:hint="eastAsia" w:eastAsia="宋体" w:cs="Times New Roman"/>
        </w:rPr>
        <w:t>）</w:t>
      </w:r>
      <w:r>
        <w:rPr>
          <w:rFonts w:eastAsia="宋体" w:cs="Times New Roman"/>
        </w:rPr>
        <w:t>之间，</w:t>
      </w:r>
      <w:r>
        <w:rPr>
          <w:rFonts w:hint="eastAsia" w:cs="Times New Roman"/>
          <w:lang w:eastAsia="zh-CN"/>
        </w:rPr>
        <w:t>夜间</w:t>
      </w:r>
      <w:r>
        <w:rPr>
          <w:rFonts w:hint="eastAsia" w:eastAsia="宋体" w:cs="Times New Roman"/>
          <w:lang w:eastAsia="zh-CN"/>
        </w:rPr>
        <w:t>噪声在</w:t>
      </w:r>
      <w:r>
        <w:rPr>
          <w:rFonts w:hint="eastAsia" w:cs="Times New Roman"/>
          <w:lang w:val="en-US" w:eastAsia="zh-CN"/>
        </w:rPr>
        <w:t>38</w:t>
      </w:r>
      <w:r>
        <w:rPr>
          <w:rFonts w:eastAsia="宋体" w:cs="Times New Roman"/>
        </w:rPr>
        <w:t>dB</w:t>
      </w:r>
      <w:r>
        <w:rPr>
          <w:rFonts w:hint="eastAsia" w:eastAsia="宋体" w:cs="Times New Roman"/>
        </w:rPr>
        <w:t>（</w:t>
      </w:r>
      <w:r>
        <w:rPr>
          <w:rFonts w:eastAsia="宋体" w:cs="Times New Roman"/>
        </w:rPr>
        <w:t>A</w:t>
      </w:r>
      <w:r>
        <w:rPr>
          <w:rFonts w:hint="eastAsia" w:eastAsia="宋体" w:cs="Times New Roman"/>
        </w:rPr>
        <w:t>）</w:t>
      </w:r>
      <w:r>
        <w:rPr>
          <w:rFonts w:hint="eastAsia" w:eastAsia="宋体" w:cs="Times New Roman"/>
          <w:lang w:val="en-US" w:eastAsia="zh-CN"/>
        </w:rPr>
        <w:t>- 44</w:t>
      </w:r>
      <w:r>
        <w:rPr>
          <w:rFonts w:eastAsia="宋体" w:cs="Times New Roman"/>
        </w:rPr>
        <w:t>dB</w:t>
      </w:r>
      <w:r>
        <w:rPr>
          <w:rFonts w:hint="eastAsia" w:eastAsia="宋体" w:cs="Times New Roman"/>
        </w:rPr>
        <w:t>（</w:t>
      </w:r>
      <w:r>
        <w:rPr>
          <w:rFonts w:eastAsia="宋体" w:cs="Times New Roman"/>
        </w:rPr>
        <w:t>A</w:t>
      </w:r>
      <w:r>
        <w:rPr>
          <w:rFonts w:hint="eastAsia" w:eastAsia="宋体" w:cs="Times New Roman"/>
        </w:rPr>
        <w:t>）</w:t>
      </w:r>
      <w:r>
        <w:rPr>
          <w:rFonts w:eastAsia="宋体" w:cs="Times New Roman"/>
        </w:rPr>
        <w:t>之间</w:t>
      </w:r>
      <w:r>
        <w:rPr>
          <w:rFonts w:hint="eastAsia" w:eastAsia="宋体" w:cs="Times New Roman"/>
          <w:lang w:eastAsia="zh-CN"/>
        </w:rPr>
        <w:t>，</w:t>
      </w:r>
      <w:r>
        <w:rPr>
          <w:rFonts w:eastAsia="宋体" w:cs="Times New Roman"/>
        </w:rPr>
        <w:t>监测结果均符合《工业企业厂界环境噪声排放标准》（GB12348-2008）</w:t>
      </w:r>
      <w:r>
        <w:rPr>
          <w:rFonts w:hint="eastAsia" w:cs="Times New Roman"/>
          <w:lang w:val="en-US" w:eastAsia="zh-CN"/>
        </w:rPr>
        <w:t>3</w:t>
      </w:r>
      <w:r>
        <w:rPr>
          <w:rFonts w:eastAsia="宋体" w:cs="Times New Roman"/>
        </w:rPr>
        <w:t>类区标准限值要求。</w:t>
      </w:r>
    </w:p>
    <w:p>
      <w:pPr>
        <w:pStyle w:val="40"/>
        <w:rPr>
          <w:rFonts w:hAnsi="宋体"/>
          <w:bCs/>
        </w:rPr>
      </w:pPr>
      <w:r>
        <w:rPr>
          <w:rFonts w:hint="eastAsia" w:hAnsi="宋体"/>
          <w:bCs/>
        </w:rPr>
        <w:t>（4）固体废物</w:t>
      </w:r>
      <w:bookmarkStart w:id="443" w:name="_Toc509514323"/>
    </w:p>
    <w:p>
      <w:pPr>
        <w:pStyle w:val="30"/>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default"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bidi="ar-SA"/>
        </w:rPr>
        <w:t>废包装材料、废待镀锌件和镀锌件、锌底渣、富锌氧化锌集中收集暂存于一般工业固废暂存场所，定期资源外售；酸洗池废液、碱洗池底渣、酸洗池底渣、助镀含铁污泥、污水处理站含铁污泥、布袋收尘器收集锌尘、布袋除尘器更换的滤芯分类收集，规范贮存于危废贮存库，定期交由有资质单位处置；生活垃圾交由环卫部门处理。</w:t>
      </w:r>
    </w:p>
    <w:p>
      <w:pPr>
        <w:widowControl/>
        <w:spacing w:line="360" w:lineRule="auto"/>
        <w:ind w:left="420" w:leftChars="200"/>
        <w:outlineLvl w:val="2"/>
        <w:rPr>
          <w:kern w:val="0"/>
          <w:sz w:val="24"/>
        </w:rPr>
      </w:pPr>
      <w:r>
        <w:rPr>
          <w:rFonts w:hint="eastAsia"/>
          <w:kern w:val="0"/>
          <w:sz w:val="24"/>
        </w:rPr>
        <w:t>（5）总量核算结果及达标情况</w:t>
      </w:r>
    </w:p>
    <w:p>
      <w:pPr>
        <w:widowControl/>
        <w:spacing w:line="360" w:lineRule="auto"/>
        <w:ind w:firstLine="480" w:firstLineChars="200"/>
        <w:rPr>
          <w:rFonts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bidi="ar-SA"/>
        </w:rPr>
        <w:t>根据验收监测期间监测结果及实际工况，折满</w:t>
      </w:r>
      <w:r>
        <w:rPr>
          <w:rFonts w:hint="eastAsia" w:ascii="Times New Roman" w:hAnsi="Times New Roman" w:eastAsia="宋体" w:cs="Times New Roman"/>
          <w:color w:val="auto"/>
          <w:kern w:val="0"/>
          <w:sz w:val="24"/>
          <w:szCs w:val="24"/>
          <w:lang w:val="en-US" w:eastAsia="zh-CN" w:bidi="ar-SA"/>
        </w:rPr>
        <w:t>负荷生产工况后，核算</w:t>
      </w:r>
      <w:r>
        <w:rPr>
          <w:rFonts w:hint="eastAsia" w:cs="Times New Roman"/>
          <w:color w:val="auto"/>
          <w:kern w:val="0"/>
          <w:sz w:val="24"/>
          <w:szCs w:val="24"/>
          <w:lang w:val="en-US" w:eastAsia="zh-CN" w:bidi="ar-SA"/>
        </w:rPr>
        <w:t>实际运营期烟（粉）尘</w:t>
      </w:r>
      <w:r>
        <w:rPr>
          <w:rFonts w:hint="eastAsia" w:ascii="Times New Roman" w:hAnsi="Times New Roman" w:eastAsia="宋体" w:cs="Times New Roman"/>
          <w:color w:val="auto"/>
          <w:kern w:val="0"/>
          <w:sz w:val="24"/>
          <w:szCs w:val="24"/>
          <w:lang w:val="en-US" w:eastAsia="zh-CN" w:bidi="ar-SA"/>
        </w:rPr>
        <w:t>最大排放量为</w:t>
      </w:r>
      <w:r>
        <w:rPr>
          <w:rFonts w:hint="eastAsia" w:cs="Times New Roman"/>
          <w:color w:val="auto"/>
          <w:kern w:val="0"/>
          <w:sz w:val="24"/>
          <w:szCs w:val="24"/>
          <w:lang w:val="en-US" w:eastAsia="zh-CN" w:bidi="ar-SA"/>
        </w:rPr>
        <w:t>0.183</w:t>
      </w:r>
      <w:r>
        <w:rPr>
          <w:rFonts w:hint="eastAsia" w:ascii="Times New Roman" w:hAnsi="Times New Roman" w:eastAsia="宋体" w:cs="Times New Roman"/>
          <w:color w:val="auto"/>
          <w:kern w:val="0"/>
          <w:sz w:val="24"/>
          <w:szCs w:val="24"/>
          <w:lang w:val="en-US" w:eastAsia="zh-CN" w:bidi="ar-SA"/>
        </w:rPr>
        <w:t>t/a、</w:t>
      </w:r>
      <w:r>
        <w:rPr>
          <w:rFonts w:hint="eastAsia" w:cs="Times New Roman"/>
          <w:color w:val="auto"/>
          <w:kern w:val="0"/>
          <w:sz w:val="24"/>
          <w:szCs w:val="24"/>
          <w:lang w:val="en-US" w:eastAsia="zh-CN" w:bidi="ar-SA"/>
        </w:rPr>
        <w:t>NO</w:t>
      </w:r>
      <w:r>
        <w:rPr>
          <w:rFonts w:hint="eastAsia" w:cs="Times New Roman"/>
          <w:color w:val="auto"/>
          <w:kern w:val="0"/>
          <w:sz w:val="24"/>
          <w:szCs w:val="24"/>
          <w:vertAlign w:val="subscript"/>
          <w:lang w:val="en-US" w:eastAsia="zh-CN" w:bidi="ar-SA"/>
        </w:rPr>
        <w:t>X</w:t>
      </w:r>
      <w:r>
        <w:rPr>
          <w:rFonts w:hint="eastAsia" w:ascii="Times New Roman" w:hAnsi="Times New Roman" w:eastAsia="宋体" w:cs="Times New Roman"/>
          <w:color w:val="auto"/>
          <w:kern w:val="0"/>
          <w:sz w:val="24"/>
          <w:szCs w:val="24"/>
          <w:lang w:val="en-US" w:eastAsia="zh-CN" w:bidi="ar-SA"/>
        </w:rPr>
        <w:t>最大排放量为</w:t>
      </w:r>
      <w:r>
        <w:rPr>
          <w:rFonts w:hint="eastAsia" w:cs="Times New Roman"/>
          <w:color w:val="auto"/>
          <w:kern w:val="0"/>
          <w:sz w:val="24"/>
          <w:szCs w:val="24"/>
          <w:lang w:val="en-US" w:eastAsia="zh-CN" w:bidi="ar-SA"/>
        </w:rPr>
        <w:t>1.389</w:t>
      </w:r>
      <w:r>
        <w:rPr>
          <w:rFonts w:hint="eastAsia" w:ascii="Times New Roman" w:hAnsi="Times New Roman" w:eastAsia="宋体" w:cs="Times New Roman"/>
          <w:color w:val="auto"/>
          <w:kern w:val="0"/>
          <w:sz w:val="24"/>
          <w:szCs w:val="24"/>
          <w:lang w:val="en-US" w:eastAsia="zh-CN" w:bidi="ar-SA"/>
        </w:rPr>
        <w:t>t/a</w:t>
      </w:r>
      <w:r>
        <w:rPr>
          <w:rFonts w:hint="eastAsia" w:cs="Times New Roman"/>
          <w:color w:val="auto"/>
          <w:kern w:val="0"/>
          <w:sz w:val="24"/>
          <w:szCs w:val="24"/>
          <w:lang w:val="en-US" w:eastAsia="zh-CN" w:bidi="ar-SA"/>
        </w:rPr>
        <w:t>、SO</w:t>
      </w:r>
      <w:r>
        <w:rPr>
          <w:rFonts w:hint="eastAsia" w:cs="Times New Roman"/>
          <w:color w:val="auto"/>
          <w:kern w:val="0"/>
          <w:sz w:val="24"/>
          <w:szCs w:val="24"/>
          <w:vertAlign w:val="subscript"/>
          <w:lang w:val="en-US" w:eastAsia="zh-CN" w:bidi="ar-SA"/>
        </w:rPr>
        <w:t>2</w:t>
      </w:r>
      <w:r>
        <w:rPr>
          <w:rFonts w:hint="eastAsia" w:cs="Times New Roman"/>
          <w:color w:val="auto"/>
          <w:kern w:val="0"/>
          <w:sz w:val="24"/>
          <w:szCs w:val="24"/>
          <w:lang w:val="en-US" w:eastAsia="zh-CN" w:bidi="ar-SA"/>
        </w:rPr>
        <w:t>最大排放量为0.078t/a</w:t>
      </w:r>
      <w:r>
        <w:rPr>
          <w:rFonts w:hint="eastAsia" w:ascii="Times New Roman" w:hAnsi="Times New Roman" w:eastAsia="宋体" w:cs="Times New Roman"/>
          <w:color w:val="auto"/>
          <w:kern w:val="0"/>
          <w:sz w:val="24"/>
          <w:szCs w:val="24"/>
          <w:lang w:val="en-US" w:eastAsia="zh-CN" w:bidi="ar-SA"/>
        </w:rPr>
        <w:t>，均未</w:t>
      </w:r>
      <w:r>
        <w:rPr>
          <w:rFonts w:hint="eastAsia" w:ascii="Times New Roman" w:hAnsi="Times New Roman" w:eastAsia="宋体" w:cs="Times New Roman"/>
          <w:kern w:val="0"/>
          <w:sz w:val="24"/>
          <w:szCs w:val="24"/>
          <w:lang w:val="en-US" w:eastAsia="zh-CN" w:bidi="ar-SA"/>
        </w:rPr>
        <w:t>超过项目环境影响报告书及其审查意见、总量核定表中的总量。</w:t>
      </w:r>
    </w:p>
    <w:bookmarkEnd w:id="443"/>
    <w:p>
      <w:pPr>
        <w:tabs>
          <w:tab w:val="left" w:pos="3480"/>
        </w:tabs>
        <w:spacing w:line="360" w:lineRule="auto"/>
        <w:outlineLvl w:val="1"/>
        <w:rPr>
          <w:b/>
          <w:bCs/>
          <w:sz w:val="28"/>
          <w:szCs w:val="28"/>
        </w:rPr>
      </w:pPr>
      <w:bookmarkStart w:id="444" w:name="_Toc26963"/>
      <w:bookmarkStart w:id="445" w:name="_Toc23200"/>
      <w:bookmarkStart w:id="446" w:name="_Toc25049"/>
      <w:bookmarkStart w:id="447" w:name="_Toc2382"/>
      <w:bookmarkStart w:id="448" w:name="_Toc3968"/>
      <w:bookmarkStart w:id="449" w:name="_Toc30105"/>
      <w:r>
        <w:rPr>
          <w:b/>
          <w:bCs/>
          <w:sz w:val="28"/>
          <w:szCs w:val="28"/>
        </w:rPr>
        <w:t>10.2工况及“三同时”执行情况</w:t>
      </w:r>
      <w:bookmarkEnd w:id="444"/>
      <w:bookmarkEnd w:id="445"/>
      <w:bookmarkEnd w:id="446"/>
      <w:bookmarkEnd w:id="447"/>
      <w:bookmarkEnd w:id="448"/>
      <w:bookmarkEnd w:id="449"/>
    </w:p>
    <w:p>
      <w:pPr>
        <w:pStyle w:val="40"/>
        <w:keepNext w:val="0"/>
        <w:keepLines w:val="0"/>
        <w:pageBreakBefore w:val="0"/>
        <w:kinsoku/>
        <w:wordWrap/>
        <w:overflowPunct/>
        <w:topLinePunct w:val="0"/>
        <w:autoSpaceDE/>
        <w:autoSpaceDN/>
        <w:bidi w:val="0"/>
        <w:adjustRightInd/>
        <w:snapToGrid/>
        <w:spacing w:line="360" w:lineRule="auto"/>
        <w:ind w:firstLine="482"/>
        <w:jc w:val="both"/>
        <w:textAlignment w:val="auto"/>
        <w:outlineLvl w:val="1"/>
        <w:rPr>
          <w:rFonts w:ascii="宋体" w:hAnsi="宋体" w:eastAsia="宋体" w:cs="宋体"/>
          <w:sz w:val="24"/>
          <w:szCs w:val="24"/>
        </w:rPr>
      </w:pPr>
      <w:bookmarkStart w:id="450" w:name="_Toc16261"/>
      <w:bookmarkStart w:id="451" w:name="_Toc5535"/>
      <w:bookmarkStart w:id="452" w:name="_Toc28473"/>
      <w:bookmarkStart w:id="453" w:name="_Toc12461"/>
      <w:bookmarkStart w:id="454" w:name="_Toc5086"/>
      <w:bookmarkStart w:id="455" w:name="_Toc26905"/>
      <w:r>
        <w:rPr>
          <w:rFonts w:hint="default" w:ascii="Times New Roman" w:hAnsi="Times New Roman" w:eastAsia="宋体" w:cs="Times New Roman"/>
          <w:b w:val="0"/>
          <w:bCs/>
          <w:color w:val="000000" w:themeColor="text1"/>
          <w:kern w:val="0"/>
          <w:sz w:val="24"/>
          <w:szCs w:val="24"/>
          <w14:textFill>
            <w14:solidFill>
              <w14:schemeClr w14:val="tx1"/>
            </w14:solidFill>
          </w14:textFill>
        </w:rPr>
        <w:t>安徽晨曜智能设备科技有限公司</w:t>
      </w:r>
      <w:bookmarkStart w:id="456" w:name="_Toc28368"/>
      <w:bookmarkStart w:id="457" w:name="_Toc21063"/>
      <w:bookmarkStart w:id="458" w:name="_Toc8048"/>
      <w:bookmarkStart w:id="459" w:name="_Toc21797"/>
      <w:bookmarkStart w:id="460" w:name="_Toc20179"/>
      <w:bookmarkStart w:id="461" w:name="_Toc27386"/>
      <w:r>
        <w:rPr>
          <w:rFonts w:hint="default" w:ascii="Times New Roman" w:hAnsi="Times New Roman" w:eastAsia="宋体" w:cs="Times New Roman"/>
          <w:b w:val="0"/>
          <w:bCs/>
          <w:color w:val="000000" w:themeColor="text1"/>
          <w:kern w:val="0"/>
          <w:sz w:val="24"/>
          <w:szCs w:val="24"/>
          <w14:textFill>
            <w14:solidFill>
              <w14:schemeClr w14:val="tx1"/>
            </w14:solidFill>
          </w14:textFill>
        </w:rPr>
        <w:t>晨曜年产10万吨高端金属结构件项目</w:t>
      </w:r>
      <w:bookmarkEnd w:id="456"/>
      <w:bookmarkEnd w:id="457"/>
      <w:bookmarkEnd w:id="458"/>
      <w:bookmarkEnd w:id="459"/>
      <w:bookmarkEnd w:id="460"/>
      <w:bookmarkEnd w:id="461"/>
      <w:r>
        <w:rPr>
          <w:rFonts w:hint="default" w:ascii="Times New Roman" w:hAnsi="Times New Roman" w:eastAsia="宋体" w:cs="Times New Roman"/>
          <w:sz w:val="24"/>
          <w:szCs w:val="24"/>
        </w:rPr>
        <w:t>已按照国家有关建设项目环境管理法规要求，进行了环境影响评价，工程相应的环</w:t>
      </w:r>
      <w:r>
        <w:rPr>
          <w:rFonts w:ascii="宋体" w:hAnsi="宋体" w:eastAsia="宋体" w:cs="宋体"/>
          <w:sz w:val="24"/>
          <w:szCs w:val="24"/>
        </w:rPr>
        <w:t>保设施与主体工程同时设计、同时施工、同时投入使用，基本符合“三同时”的要求。建设内容组成不涉及重大变动，已按照《排污许可管理办法（试行）》和《固定污染源排污许可分类名录》（</w:t>
      </w:r>
      <w:r>
        <w:rPr>
          <w:rFonts w:hint="default" w:ascii="Times New Roman" w:hAnsi="Times New Roman" w:eastAsia="宋体" w:cs="Times New Roman"/>
          <w:sz w:val="24"/>
          <w:szCs w:val="24"/>
        </w:rPr>
        <w:t>2019</w:t>
      </w:r>
      <w:r>
        <w:rPr>
          <w:rFonts w:ascii="宋体" w:hAnsi="宋体" w:eastAsia="宋体" w:cs="宋体"/>
          <w:sz w:val="24"/>
          <w:szCs w:val="24"/>
        </w:rPr>
        <w:t>年版）完成排污许可</w:t>
      </w:r>
      <w:r>
        <w:rPr>
          <w:rFonts w:hint="eastAsia" w:ascii="宋体" w:hAnsi="宋体" w:cs="宋体"/>
          <w:sz w:val="24"/>
          <w:szCs w:val="24"/>
          <w:lang w:eastAsia="zh-CN"/>
        </w:rPr>
        <w:t>证</w:t>
      </w:r>
      <w:r>
        <w:rPr>
          <w:rFonts w:ascii="宋体" w:hAnsi="宋体" w:eastAsia="宋体" w:cs="宋体"/>
          <w:sz w:val="24"/>
          <w:szCs w:val="24"/>
        </w:rPr>
        <w:t>，符合《建设项目竣工环境保护验收暂行办法》规定，现场检查符合验收条件。</w:t>
      </w:r>
      <w:bookmarkEnd w:id="450"/>
    </w:p>
    <w:p>
      <w:pPr>
        <w:pStyle w:val="40"/>
        <w:keepNext w:val="0"/>
        <w:keepLines w:val="0"/>
        <w:pageBreakBefore w:val="0"/>
        <w:kinsoku/>
        <w:wordWrap/>
        <w:overflowPunct/>
        <w:topLinePunct w:val="0"/>
        <w:autoSpaceDE/>
        <w:autoSpaceDN/>
        <w:bidi w:val="0"/>
        <w:adjustRightInd/>
        <w:snapToGrid/>
        <w:spacing w:line="360" w:lineRule="auto"/>
        <w:ind w:firstLine="482"/>
        <w:jc w:val="both"/>
        <w:textAlignment w:val="auto"/>
        <w:outlineLvl w:val="1"/>
        <w:rPr>
          <w:rFonts w:ascii="宋体" w:hAnsi="宋体" w:eastAsia="宋体" w:cs="宋体"/>
          <w:sz w:val="24"/>
          <w:szCs w:val="24"/>
        </w:rPr>
      </w:pPr>
      <w:bookmarkStart w:id="462" w:name="_Toc15111"/>
      <w:r>
        <w:rPr>
          <w:rFonts w:ascii="宋体" w:hAnsi="宋体" w:eastAsia="宋体" w:cs="宋体"/>
          <w:sz w:val="24"/>
          <w:szCs w:val="24"/>
        </w:rPr>
        <w:t>生产调试期间，</w:t>
      </w:r>
      <w:r>
        <w:rPr>
          <w:rFonts w:hint="eastAsia" w:ascii="宋体" w:hAnsi="宋体" w:eastAsia="宋体" w:cs="宋体"/>
          <w:sz w:val="24"/>
          <w:szCs w:val="24"/>
          <w:lang w:eastAsia="zh-CN"/>
        </w:rPr>
        <w:t>委托安徽国环检测技术有限公司现场监测，各类环保设施运行正常，满足验收监测技术规范要求，</w:t>
      </w:r>
      <w:r>
        <w:rPr>
          <w:rFonts w:ascii="宋体" w:hAnsi="宋体" w:eastAsia="宋体" w:cs="宋体"/>
          <w:sz w:val="24"/>
          <w:szCs w:val="24"/>
        </w:rPr>
        <w:t>监测结果具有代表性。</w:t>
      </w:r>
      <w:bookmarkEnd w:id="462"/>
    </w:p>
    <w:p>
      <w:pPr>
        <w:widowControl/>
        <w:spacing w:line="360" w:lineRule="auto"/>
        <w:outlineLvl w:val="1"/>
        <w:rPr>
          <w:b/>
          <w:bCs/>
          <w:kern w:val="0"/>
          <w:sz w:val="28"/>
          <w:szCs w:val="28"/>
        </w:rPr>
      </w:pPr>
      <w:bookmarkStart w:id="463" w:name="_Toc32124"/>
      <w:r>
        <w:rPr>
          <w:b/>
          <w:bCs/>
          <w:kern w:val="0"/>
          <w:sz w:val="28"/>
          <w:szCs w:val="28"/>
        </w:rPr>
        <w:t>10.3结论</w:t>
      </w:r>
      <w:bookmarkEnd w:id="451"/>
      <w:bookmarkEnd w:id="452"/>
      <w:bookmarkEnd w:id="453"/>
      <w:bookmarkEnd w:id="454"/>
      <w:bookmarkEnd w:id="455"/>
      <w:bookmarkEnd w:id="463"/>
    </w:p>
    <w:p>
      <w:pPr>
        <w:pStyle w:val="40"/>
        <w:keepNext w:val="0"/>
        <w:keepLines w:val="0"/>
        <w:pageBreakBefore w:val="0"/>
        <w:kinsoku/>
        <w:wordWrap/>
        <w:overflowPunct/>
        <w:topLinePunct w:val="0"/>
        <w:autoSpaceDE/>
        <w:autoSpaceDN/>
        <w:bidi w:val="0"/>
        <w:adjustRightInd/>
        <w:snapToGrid/>
        <w:spacing w:line="360" w:lineRule="auto"/>
        <w:jc w:val="both"/>
        <w:textAlignment w:val="auto"/>
      </w:pPr>
      <w:r>
        <w:rPr>
          <w:rFonts w:cs="Times New Roman"/>
        </w:rPr>
        <w:t>项目已根据</w:t>
      </w:r>
      <w:r>
        <w:rPr>
          <w:rFonts w:ascii="Times New Roman" w:hAnsi="Times New Roman" w:eastAsia="宋体" w:cs="Times New Roman"/>
        </w:rPr>
        <w:t>环评及批复要求落实污染防治措施，</w:t>
      </w:r>
      <w:r>
        <w:rPr>
          <w:rFonts w:hint="default" w:ascii="Times New Roman" w:hAnsi="Times New Roman" w:eastAsia="宋体" w:cs="Times New Roman"/>
        </w:rPr>
        <w:t>根据《固定污染源排污许可分类名录》（2019年版），已</w:t>
      </w:r>
      <w:r>
        <w:rPr>
          <w:rFonts w:hint="eastAsia" w:ascii="Times New Roman" w:hAnsi="Times New Roman" w:eastAsia="宋体" w:cs="Times New Roman"/>
          <w:lang w:eastAsia="zh-CN"/>
        </w:rPr>
        <w:t>进行</w:t>
      </w:r>
      <w:r>
        <w:rPr>
          <w:rFonts w:hint="default" w:ascii="Times New Roman" w:hAnsi="Times New Roman" w:eastAsia="宋体" w:cs="Times New Roman"/>
        </w:rPr>
        <w:t>排污许可证</w:t>
      </w:r>
      <w:r>
        <w:rPr>
          <w:rFonts w:hint="eastAsia" w:ascii="Times New Roman" w:hAnsi="Times New Roman" w:eastAsia="宋体" w:cs="Times New Roman"/>
          <w:lang w:eastAsia="zh-CN"/>
        </w:rPr>
        <w:t>信息填报；</w:t>
      </w:r>
      <w:r>
        <w:rPr>
          <w:rFonts w:ascii="Times New Roman" w:hAnsi="Times New Roman" w:eastAsia="宋体" w:cs="Times New Roman"/>
        </w:rPr>
        <w:t>验收监测期间，项目工况稳定，各类环保设施运行正常</w:t>
      </w:r>
      <w:r>
        <w:rPr>
          <w:rFonts w:hint="eastAsia" w:ascii="Times New Roman" w:hAnsi="Times New Roman" w:eastAsia="宋体" w:cs="Times New Roman"/>
          <w:lang w:eastAsia="zh-CN"/>
        </w:rPr>
        <w:t>。</w:t>
      </w:r>
      <w:r>
        <w:rPr>
          <w:rFonts w:ascii="Times New Roman" w:hAnsi="Times New Roman" w:eastAsia="宋体" w:cs="Times New Roman"/>
        </w:rPr>
        <w:t>综上所述，该项目环评手续完</w:t>
      </w:r>
      <w:r>
        <w:rPr>
          <w:rFonts w:cs="Times New Roman"/>
        </w:rPr>
        <w:t>备，各污染防治措施落实到位，验收监测结果符合相关标准要求，具备竣工环境保护验收条件要求，可对其提出竣工环境保护验收合格的</w:t>
      </w:r>
      <w:r>
        <w:rPr>
          <w:rFonts w:hint="eastAsia" w:cs="Times New Roman"/>
          <w:lang w:eastAsia="zh-CN"/>
        </w:rPr>
        <w:t>结论</w:t>
      </w:r>
      <w:r>
        <w:rPr>
          <w:rFonts w:cs="Times New Roman"/>
        </w:rPr>
        <w:t>。</w:t>
      </w:r>
    </w:p>
    <w:p>
      <w:pPr>
        <w:pStyle w:val="123"/>
        <w:widowControl/>
        <w:rPr>
          <w:b w:val="0"/>
          <w:bCs/>
          <w:sz w:val="24"/>
          <w:szCs w:val="24"/>
        </w:rPr>
      </w:pPr>
    </w:p>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titlePg/>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PMingLiU">
    <w:panose1 w:val="02020500000000000000"/>
    <w:charset w:val="88"/>
    <w:family w:val="roman"/>
    <w:pitch w:val="default"/>
    <w:sig w:usb0="A00002FF" w:usb1="28CFFCFA" w:usb2="00000016" w:usb3="00000000" w:csb0="00100001" w:csb1="00000000"/>
  </w:font>
  <w:font w:name="TimesNewRomanPSMT">
    <w:altName w:val="Times New Roman"/>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Arial Black">
    <w:panose1 w:val="020B0A04020102020204"/>
    <w:charset w:val="00"/>
    <w:family w:val="swiss"/>
    <w:pitch w:val="default"/>
    <w:sig w:usb0="00000287" w:usb1="00000000" w:usb2="00000000" w:usb3="00000000" w:csb0="2000009F" w:csb1="DFD70000"/>
  </w:font>
  <w:font w:name="楷体">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MicrosoftYaHei-Bold">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8"/>
                          </w:pPr>
                          <w:r>
                            <w:fldChar w:fldCharType="begin"/>
                          </w:r>
                          <w:r>
                            <w:instrText xml:space="preserve"> PAGE  \* MERGEFORMAT </w:instrText>
                          </w:r>
                          <w:r>
                            <w:fldChar w:fldCharType="separate"/>
                          </w:r>
                          <w:r>
                            <w:t>6</w:t>
                          </w:r>
                          <w: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CGtyTIAQAAmQMAAA4AAAAAAAAAAQAgAAAAHgEAAGRycy9lMm9Eb2Mu&#10;eG1sUEsFBgAAAAAGAAYAWQEAAFgFAAAAAA==&#10;">
              <v:fill on="f" focussize="0,0"/>
              <v:stroke on="f"/>
              <v:imagedata o:title=""/>
              <o:lock v:ext="edit" aspectratio="f"/>
              <v:textbox inset="0mm,0mm,0mm,0mm" style="mso-fit-shape-to-text:t;">
                <w:txbxContent>
                  <w:p>
                    <w:pPr>
                      <w:pStyle w:val="18"/>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8"/>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JqpiXIAQAAmQMAAA4AAAAAAAAAAQAgAAAAHgEAAGRycy9lMm9Eb2Mu&#10;eG1sUEsFBgAAAAAGAAYAWQEAAFgFAAAAAA==&#10;">
              <v:fill on="f" focussize="0,0"/>
              <v:stroke on="f"/>
              <v:imagedata o:title=""/>
              <o:lock v:ext="edit" aspectratio="f"/>
              <v:textbox inset="0mm,0mm,0mm,0mm" style="mso-fit-shape-to-text:t;">
                <w:txbxContent>
                  <w:p>
                    <w:pPr>
                      <w:pStyle w:val="18"/>
                    </w:pPr>
                    <w:r>
                      <w:fldChar w:fldCharType="begin"/>
                    </w:r>
                    <w:r>
                      <w:instrText xml:space="preserve"> PAGE  \* MERGEFORMAT </w:instrText>
                    </w:r>
                    <w:r>
                      <w:fldChar w:fldCharType="separate"/>
                    </w:r>
                    <w:r>
                      <w:t>1</w:t>
                    </w:r>
                    <w:r>
                      <w:fldChar w:fldCharType="end"/>
                    </w:r>
                  </w:p>
                </w:txbxContent>
              </v:textbox>
            </v:shape>
          </w:pict>
        </mc:Fallback>
      </mc:AlternateContent>
    </w:r>
  </w:p>
  <w:p>
    <w:pPr>
      <w:pStyle w:val="1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1062B1"/>
    <w:multiLevelType w:val="singleLevel"/>
    <w:tmpl w:val="A91062B1"/>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NotTrackMoves/>
  <w:documentProtection w:enforcement="0"/>
  <w:defaultTabStop w:val="420"/>
  <w:drawingGridHorizontalSpacing w:val="105"/>
  <w:drawingGridVerticalSpacing w:val="159"/>
  <w:displayHorizontalDrawingGridEvery w:val="1"/>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2QwYjU4YzAzZDk4ZTU5ZmMyYWMwMjM2MWM1NGIifQ=="/>
  </w:docVars>
  <w:rsids>
    <w:rsidRoot w:val="00BA779B"/>
    <w:rsid w:val="000019E5"/>
    <w:rsid w:val="00006361"/>
    <w:rsid w:val="00013184"/>
    <w:rsid w:val="00013DAD"/>
    <w:rsid w:val="000209EC"/>
    <w:rsid w:val="00022F6B"/>
    <w:rsid w:val="00024559"/>
    <w:rsid w:val="00027E68"/>
    <w:rsid w:val="00037448"/>
    <w:rsid w:val="00047B5D"/>
    <w:rsid w:val="00053E79"/>
    <w:rsid w:val="000548A9"/>
    <w:rsid w:val="00056074"/>
    <w:rsid w:val="00064A6D"/>
    <w:rsid w:val="000756E0"/>
    <w:rsid w:val="00085F53"/>
    <w:rsid w:val="0009431E"/>
    <w:rsid w:val="000A07A4"/>
    <w:rsid w:val="000A6014"/>
    <w:rsid w:val="000B2CD3"/>
    <w:rsid w:val="000C3FAD"/>
    <w:rsid w:val="000C69AA"/>
    <w:rsid w:val="000C7648"/>
    <w:rsid w:val="000D0630"/>
    <w:rsid w:val="000E78FD"/>
    <w:rsid w:val="000F5697"/>
    <w:rsid w:val="000F7640"/>
    <w:rsid w:val="00100F7F"/>
    <w:rsid w:val="00101BBB"/>
    <w:rsid w:val="001021F8"/>
    <w:rsid w:val="0010427B"/>
    <w:rsid w:val="00114651"/>
    <w:rsid w:val="00115095"/>
    <w:rsid w:val="00130582"/>
    <w:rsid w:val="00133638"/>
    <w:rsid w:val="00133A02"/>
    <w:rsid w:val="0013403A"/>
    <w:rsid w:val="001353C5"/>
    <w:rsid w:val="00144923"/>
    <w:rsid w:val="0014565F"/>
    <w:rsid w:val="00146B46"/>
    <w:rsid w:val="00152DAF"/>
    <w:rsid w:val="00162304"/>
    <w:rsid w:val="001637C8"/>
    <w:rsid w:val="00167C79"/>
    <w:rsid w:val="00180741"/>
    <w:rsid w:val="00185910"/>
    <w:rsid w:val="00190514"/>
    <w:rsid w:val="00190930"/>
    <w:rsid w:val="00191042"/>
    <w:rsid w:val="00191112"/>
    <w:rsid w:val="00192CD9"/>
    <w:rsid w:val="00192DB7"/>
    <w:rsid w:val="001A70BE"/>
    <w:rsid w:val="001B186F"/>
    <w:rsid w:val="001B1B37"/>
    <w:rsid w:val="001C47E2"/>
    <w:rsid w:val="001C59FE"/>
    <w:rsid w:val="001E11EB"/>
    <w:rsid w:val="001E208A"/>
    <w:rsid w:val="001E2B10"/>
    <w:rsid w:val="001E3251"/>
    <w:rsid w:val="001E5EAD"/>
    <w:rsid w:val="00206DA8"/>
    <w:rsid w:val="002071E1"/>
    <w:rsid w:val="002074A8"/>
    <w:rsid w:val="00216B46"/>
    <w:rsid w:val="00223AF1"/>
    <w:rsid w:val="002305D0"/>
    <w:rsid w:val="0023321F"/>
    <w:rsid w:val="00242D43"/>
    <w:rsid w:val="00244766"/>
    <w:rsid w:val="00244CF4"/>
    <w:rsid w:val="00245BAA"/>
    <w:rsid w:val="00246D8E"/>
    <w:rsid w:val="002567DD"/>
    <w:rsid w:val="00256FEC"/>
    <w:rsid w:val="00257A84"/>
    <w:rsid w:val="00261A12"/>
    <w:rsid w:val="00271BAF"/>
    <w:rsid w:val="00285AE5"/>
    <w:rsid w:val="002940C9"/>
    <w:rsid w:val="002A1A6F"/>
    <w:rsid w:val="002B02CC"/>
    <w:rsid w:val="002B1393"/>
    <w:rsid w:val="002B79F9"/>
    <w:rsid w:val="002C285D"/>
    <w:rsid w:val="002C35EF"/>
    <w:rsid w:val="002F7268"/>
    <w:rsid w:val="002F7466"/>
    <w:rsid w:val="002F7843"/>
    <w:rsid w:val="003002C2"/>
    <w:rsid w:val="00301D60"/>
    <w:rsid w:val="003139D8"/>
    <w:rsid w:val="003227CC"/>
    <w:rsid w:val="003279F2"/>
    <w:rsid w:val="00332184"/>
    <w:rsid w:val="003332C0"/>
    <w:rsid w:val="003338C3"/>
    <w:rsid w:val="003509B9"/>
    <w:rsid w:val="003659F5"/>
    <w:rsid w:val="00366354"/>
    <w:rsid w:val="003720E6"/>
    <w:rsid w:val="00381DE0"/>
    <w:rsid w:val="003831E0"/>
    <w:rsid w:val="0038497A"/>
    <w:rsid w:val="00391BF2"/>
    <w:rsid w:val="0039371C"/>
    <w:rsid w:val="00395CDC"/>
    <w:rsid w:val="003971EB"/>
    <w:rsid w:val="003A27A5"/>
    <w:rsid w:val="003A3AC8"/>
    <w:rsid w:val="003A4DA1"/>
    <w:rsid w:val="003A4E90"/>
    <w:rsid w:val="003B2DC6"/>
    <w:rsid w:val="003B4713"/>
    <w:rsid w:val="003B63B8"/>
    <w:rsid w:val="003C1F25"/>
    <w:rsid w:val="003D0B28"/>
    <w:rsid w:val="003D265B"/>
    <w:rsid w:val="003D64C8"/>
    <w:rsid w:val="003E3552"/>
    <w:rsid w:val="003F2DF4"/>
    <w:rsid w:val="003F4816"/>
    <w:rsid w:val="003F5CAE"/>
    <w:rsid w:val="00413B38"/>
    <w:rsid w:val="00413DE9"/>
    <w:rsid w:val="00417D48"/>
    <w:rsid w:val="00421956"/>
    <w:rsid w:val="00426334"/>
    <w:rsid w:val="0043197C"/>
    <w:rsid w:val="004324E9"/>
    <w:rsid w:val="00432B46"/>
    <w:rsid w:val="00442CF9"/>
    <w:rsid w:val="004435BE"/>
    <w:rsid w:val="00444F0D"/>
    <w:rsid w:val="004472CF"/>
    <w:rsid w:val="00451FE5"/>
    <w:rsid w:val="00452CA0"/>
    <w:rsid w:val="00455E5D"/>
    <w:rsid w:val="00456059"/>
    <w:rsid w:val="00460BC4"/>
    <w:rsid w:val="00460C57"/>
    <w:rsid w:val="00462ECD"/>
    <w:rsid w:val="00464FB7"/>
    <w:rsid w:val="00470FB6"/>
    <w:rsid w:val="004810D4"/>
    <w:rsid w:val="00495BF6"/>
    <w:rsid w:val="004B1DAF"/>
    <w:rsid w:val="004B5077"/>
    <w:rsid w:val="004B5750"/>
    <w:rsid w:val="004C09DD"/>
    <w:rsid w:val="004C1511"/>
    <w:rsid w:val="004C2987"/>
    <w:rsid w:val="004D41AA"/>
    <w:rsid w:val="004D7611"/>
    <w:rsid w:val="004E0790"/>
    <w:rsid w:val="004E213B"/>
    <w:rsid w:val="004E47A9"/>
    <w:rsid w:val="004E6AFE"/>
    <w:rsid w:val="004E7CB1"/>
    <w:rsid w:val="004E7DF8"/>
    <w:rsid w:val="004F04EB"/>
    <w:rsid w:val="004F628D"/>
    <w:rsid w:val="00502228"/>
    <w:rsid w:val="00503ABA"/>
    <w:rsid w:val="0050655F"/>
    <w:rsid w:val="00507C44"/>
    <w:rsid w:val="00514E63"/>
    <w:rsid w:val="005248E3"/>
    <w:rsid w:val="0052692C"/>
    <w:rsid w:val="00527AD7"/>
    <w:rsid w:val="0053790F"/>
    <w:rsid w:val="005441E7"/>
    <w:rsid w:val="00544F6B"/>
    <w:rsid w:val="0054659C"/>
    <w:rsid w:val="00547301"/>
    <w:rsid w:val="005555B3"/>
    <w:rsid w:val="0056002D"/>
    <w:rsid w:val="0056198F"/>
    <w:rsid w:val="00564A60"/>
    <w:rsid w:val="00565D17"/>
    <w:rsid w:val="005711B4"/>
    <w:rsid w:val="00574120"/>
    <w:rsid w:val="00577DC3"/>
    <w:rsid w:val="00582ACA"/>
    <w:rsid w:val="005906C2"/>
    <w:rsid w:val="00594793"/>
    <w:rsid w:val="00597AB7"/>
    <w:rsid w:val="005A21DE"/>
    <w:rsid w:val="005A2B0C"/>
    <w:rsid w:val="005A7E91"/>
    <w:rsid w:val="005B10FA"/>
    <w:rsid w:val="005B20DF"/>
    <w:rsid w:val="005B489E"/>
    <w:rsid w:val="005B48A8"/>
    <w:rsid w:val="005C4A93"/>
    <w:rsid w:val="005C4FA4"/>
    <w:rsid w:val="005C5218"/>
    <w:rsid w:val="005D2526"/>
    <w:rsid w:val="005D5A99"/>
    <w:rsid w:val="005D5D38"/>
    <w:rsid w:val="005E6CF8"/>
    <w:rsid w:val="005F56BB"/>
    <w:rsid w:val="00604ADA"/>
    <w:rsid w:val="00617997"/>
    <w:rsid w:val="00622276"/>
    <w:rsid w:val="00624EF0"/>
    <w:rsid w:val="006252FC"/>
    <w:rsid w:val="00627A5F"/>
    <w:rsid w:val="0063126E"/>
    <w:rsid w:val="0063578A"/>
    <w:rsid w:val="00637506"/>
    <w:rsid w:val="00641DD3"/>
    <w:rsid w:val="00642C1B"/>
    <w:rsid w:val="00655001"/>
    <w:rsid w:val="00671EAC"/>
    <w:rsid w:val="00676D5D"/>
    <w:rsid w:val="00681146"/>
    <w:rsid w:val="0068184C"/>
    <w:rsid w:val="006834F3"/>
    <w:rsid w:val="00695A74"/>
    <w:rsid w:val="00697787"/>
    <w:rsid w:val="00697F4E"/>
    <w:rsid w:val="006A4E01"/>
    <w:rsid w:val="006A724E"/>
    <w:rsid w:val="006B3F5A"/>
    <w:rsid w:val="006B580E"/>
    <w:rsid w:val="006C2D52"/>
    <w:rsid w:val="006C3AA2"/>
    <w:rsid w:val="006C5DBF"/>
    <w:rsid w:val="006E1495"/>
    <w:rsid w:val="006E1CB8"/>
    <w:rsid w:val="006E5754"/>
    <w:rsid w:val="006F0088"/>
    <w:rsid w:val="006F05F0"/>
    <w:rsid w:val="006F59E2"/>
    <w:rsid w:val="007055D2"/>
    <w:rsid w:val="00712909"/>
    <w:rsid w:val="0072108B"/>
    <w:rsid w:val="00722839"/>
    <w:rsid w:val="0072288B"/>
    <w:rsid w:val="00726300"/>
    <w:rsid w:val="00731D9B"/>
    <w:rsid w:val="00734BC6"/>
    <w:rsid w:val="00741C26"/>
    <w:rsid w:val="00744277"/>
    <w:rsid w:val="007502A9"/>
    <w:rsid w:val="00752A61"/>
    <w:rsid w:val="00761DBC"/>
    <w:rsid w:val="00763C3B"/>
    <w:rsid w:val="00764C0F"/>
    <w:rsid w:val="00775501"/>
    <w:rsid w:val="00775894"/>
    <w:rsid w:val="007817FB"/>
    <w:rsid w:val="00781DCF"/>
    <w:rsid w:val="00785737"/>
    <w:rsid w:val="00790204"/>
    <w:rsid w:val="00791E9E"/>
    <w:rsid w:val="007934DC"/>
    <w:rsid w:val="007A55F6"/>
    <w:rsid w:val="007A576B"/>
    <w:rsid w:val="007A7B80"/>
    <w:rsid w:val="007B5E83"/>
    <w:rsid w:val="007B752E"/>
    <w:rsid w:val="007C59CF"/>
    <w:rsid w:val="007D1467"/>
    <w:rsid w:val="007D2E1F"/>
    <w:rsid w:val="007D41E9"/>
    <w:rsid w:val="007D4B88"/>
    <w:rsid w:val="007D6192"/>
    <w:rsid w:val="007E51FC"/>
    <w:rsid w:val="007F32E0"/>
    <w:rsid w:val="00802297"/>
    <w:rsid w:val="00814B97"/>
    <w:rsid w:val="00820FD7"/>
    <w:rsid w:val="00824359"/>
    <w:rsid w:val="00837781"/>
    <w:rsid w:val="00842638"/>
    <w:rsid w:val="00842E43"/>
    <w:rsid w:val="00843DBC"/>
    <w:rsid w:val="00853839"/>
    <w:rsid w:val="008606D1"/>
    <w:rsid w:val="008628AC"/>
    <w:rsid w:val="00865539"/>
    <w:rsid w:val="00874AF5"/>
    <w:rsid w:val="00882D97"/>
    <w:rsid w:val="0088339B"/>
    <w:rsid w:val="008849D4"/>
    <w:rsid w:val="00885756"/>
    <w:rsid w:val="00887739"/>
    <w:rsid w:val="00887F92"/>
    <w:rsid w:val="00891ABF"/>
    <w:rsid w:val="008A2D64"/>
    <w:rsid w:val="008A5162"/>
    <w:rsid w:val="008B05EF"/>
    <w:rsid w:val="008B34FA"/>
    <w:rsid w:val="008B3ED0"/>
    <w:rsid w:val="008B5852"/>
    <w:rsid w:val="008B6F12"/>
    <w:rsid w:val="008C7152"/>
    <w:rsid w:val="008D7682"/>
    <w:rsid w:val="008E5CA8"/>
    <w:rsid w:val="008F3072"/>
    <w:rsid w:val="008F5959"/>
    <w:rsid w:val="009007C8"/>
    <w:rsid w:val="009132ED"/>
    <w:rsid w:val="00913F5B"/>
    <w:rsid w:val="00922B86"/>
    <w:rsid w:val="00931177"/>
    <w:rsid w:val="0094165D"/>
    <w:rsid w:val="00941DA4"/>
    <w:rsid w:val="00943134"/>
    <w:rsid w:val="00961A62"/>
    <w:rsid w:val="00962DA4"/>
    <w:rsid w:val="0096469B"/>
    <w:rsid w:val="009666DD"/>
    <w:rsid w:val="00967ABC"/>
    <w:rsid w:val="00972533"/>
    <w:rsid w:val="0098501C"/>
    <w:rsid w:val="00985E95"/>
    <w:rsid w:val="00997432"/>
    <w:rsid w:val="009A1D46"/>
    <w:rsid w:val="009A1E5D"/>
    <w:rsid w:val="009A477E"/>
    <w:rsid w:val="009A5D97"/>
    <w:rsid w:val="009A72B3"/>
    <w:rsid w:val="009B2394"/>
    <w:rsid w:val="009C7F7F"/>
    <w:rsid w:val="009D03F8"/>
    <w:rsid w:val="009D64D2"/>
    <w:rsid w:val="009E1E76"/>
    <w:rsid w:val="009E1EAB"/>
    <w:rsid w:val="009E4BC1"/>
    <w:rsid w:val="009E5ACF"/>
    <w:rsid w:val="009F061D"/>
    <w:rsid w:val="009F1938"/>
    <w:rsid w:val="009F2493"/>
    <w:rsid w:val="009F3B84"/>
    <w:rsid w:val="009F6BAA"/>
    <w:rsid w:val="00A00631"/>
    <w:rsid w:val="00A00B3F"/>
    <w:rsid w:val="00A01A7A"/>
    <w:rsid w:val="00A021D0"/>
    <w:rsid w:val="00A045EA"/>
    <w:rsid w:val="00A17A44"/>
    <w:rsid w:val="00A22DB5"/>
    <w:rsid w:val="00A24B24"/>
    <w:rsid w:val="00A32552"/>
    <w:rsid w:val="00A3298C"/>
    <w:rsid w:val="00A34BD9"/>
    <w:rsid w:val="00A44372"/>
    <w:rsid w:val="00A451A7"/>
    <w:rsid w:val="00A461B9"/>
    <w:rsid w:val="00A47DA7"/>
    <w:rsid w:val="00A525F2"/>
    <w:rsid w:val="00A52B7F"/>
    <w:rsid w:val="00A57B81"/>
    <w:rsid w:val="00A66B35"/>
    <w:rsid w:val="00A76116"/>
    <w:rsid w:val="00A811B5"/>
    <w:rsid w:val="00A828AF"/>
    <w:rsid w:val="00A848B8"/>
    <w:rsid w:val="00A9323E"/>
    <w:rsid w:val="00A93517"/>
    <w:rsid w:val="00A949A9"/>
    <w:rsid w:val="00A94A65"/>
    <w:rsid w:val="00AA3657"/>
    <w:rsid w:val="00AA7CA2"/>
    <w:rsid w:val="00AB6B65"/>
    <w:rsid w:val="00AB7663"/>
    <w:rsid w:val="00AC1124"/>
    <w:rsid w:val="00AD58F0"/>
    <w:rsid w:val="00AE6AED"/>
    <w:rsid w:val="00AF0C10"/>
    <w:rsid w:val="00AF550D"/>
    <w:rsid w:val="00B02B07"/>
    <w:rsid w:val="00B03473"/>
    <w:rsid w:val="00B10BAA"/>
    <w:rsid w:val="00B14309"/>
    <w:rsid w:val="00B17564"/>
    <w:rsid w:val="00B204E5"/>
    <w:rsid w:val="00B30EE0"/>
    <w:rsid w:val="00B32D35"/>
    <w:rsid w:val="00B32ED0"/>
    <w:rsid w:val="00B359BC"/>
    <w:rsid w:val="00B403EC"/>
    <w:rsid w:val="00B424D2"/>
    <w:rsid w:val="00B42EB6"/>
    <w:rsid w:val="00B563FB"/>
    <w:rsid w:val="00B64D58"/>
    <w:rsid w:val="00B662F2"/>
    <w:rsid w:val="00B66DE4"/>
    <w:rsid w:val="00B74C12"/>
    <w:rsid w:val="00B76DA0"/>
    <w:rsid w:val="00B76E71"/>
    <w:rsid w:val="00B86937"/>
    <w:rsid w:val="00B8724A"/>
    <w:rsid w:val="00B91BD8"/>
    <w:rsid w:val="00B952D8"/>
    <w:rsid w:val="00B96343"/>
    <w:rsid w:val="00BA17DD"/>
    <w:rsid w:val="00BA27BF"/>
    <w:rsid w:val="00BA3461"/>
    <w:rsid w:val="00BA72EE"/>
    <w:rsid w:val="00BA779B"/>
    <w:rsid w:val="00BB428D"/>
    <w:rsid w:val="00BB49B4"/>
    <w:rsid w:val="00BB63EF"/>
    <w:rsid w:val="00BC3697"/>
    <w:rsid w:val="00BE18E2"/>
    <w:rsid w:val="00BE1C06"/>
    <w:rsid w:val="00BE30E4"/>
    <w:rsid w:val="00BE48C2"/>
    <w:rsid w:val="00BE6A43"/>
    <w:rsid w:val="00C025A0"/>
    <w:rsid w:val="00C069DD"/>
    <w:rsid w:val="00C132A8"/>
    <w:rsid w:val="00C171B4"/>
    <w:rsid w:val="00C172E6"/>
    <w:rsid w:val="00C2724C"/>
    <w:rsid w:val="00C30954"/>
    <w:rsid w:val="00C30F73"/>
    <w:rsid w:val="00C34350"/>
    <w:rsid w:val="00C427DC"/>
    <w:rsid w:val="00C50D30"/>
    <w:rsid w:val="00C57220"/>
    <w:rsid w:val="00C61127"/>
    <w:rsid w:val="00C701BF"/>
    <w:rsid w:val="00C76E5E"/>
    <w:rsid w:val="00C81368"/>
    <w:rsid w:val="00C9008F"/>
    <w:rsid w:val="00C9357A"/>
    <w:rsid w:val="00CA7A35"/>
    <w:rsid w:val="00CB00DA"/>
    <w:rsid w:val="00CB12CA"/>
    <w:rsid w:val="00CB45FA"/>
    <w:rsid w:val="00CB610F"/>
    <w:rsid w:val="00CC168B"/>
    <w:rsid w:val="00CC600F"/>
    <w:rsid w:val="00CD1E50"/>
    <w:rsid w:val="00CD79DA"/>
    <w:rsid w:val="00CE3060"/>
    <w:rsid w:val="00CF4D4F"/>
    <w:rsid w:val="00CF6575"/>
    <w:rsid w:val="00D01374"/>
    <w:rsid w:val="00D04DB2"/>
    <w:rsid w:val="00D14785"/>
    <w:rsid w:val="00D16FCC"/>
    <w:rsid w:val="00D200AB"/>
    <w:rsid w:val="00D26205"/>
    <w:rsid w:val="00D40342"/>
    <w:rsid w:val="00D51B2E"/>
    <w:rsid w:val="00D543B3"/>
    <w:rsid w:val="00D6108B"/>
    <w:rsid w:val="00D65453"/>
    <w:rsid w:val="00D73D77"/>
    <w:rsid w:val="00D769A8"/>
    <w:rsid w:val="00D84144"/>
    <w:rsid w:val="00D93C60"/>
    <w:rsid w:val="00D96803"/>
    <w:rsid w:val="00DA033F"/>
    <w:rsid w:val="00DA1CE6"/>
    <w:rsid w:val="00DA564D"/>
    <w:rsid w:val="00DB5CB9"/>
    <w:rsid w:val="00DC1DFA"/>
    <w:rsid w:val="00DC2745"/>
    <w:rsid w:val="00DC7292"/>
    <w:rsid w:val="00DC7DD4"/>
    <w:rsid w:val="00DE2DFE"/>
    <w:rsid w:val="00DE3274"/>
    <w:rsid w:val="00DF7417"/>
    <w:rsid w:val="00E0001F"/>
    <w:rsid w:val="00E1291A"/>
    <w:rsid w:val="00E15350"/>
    <w:rsid w:val="00E15400"/>
    <w:rsid w:val="00E17608"/>
    <w:rsid w:val="00E2505B"/>
    <w:rsid w:val="00E2558D"/>
    <w:rsid w:val="00E337BA"/>
    <w:rsid w:val="00E45C65"/>
    <w:rsid w:val="00E46D22"/>
    <w:rsid w:val="00E47EF7"/>
    <w:rsid w:val="00E62C7B"/>
    <w:rsid w:val="00E636DC"/>
    <w:rsid w:val="00E653ED"/>
    <w:rsid w:val="00E728BB"/>
    <w:rsid w:val="00E73F69"/>
    <w:rsid w:val="00E91E67"/>
    <w:rsid w:val="00EA4D57"/>
    <w:rsid w:val="00EA593C"/>
    <w:rsid w:val="00EB0CD2"/>
    <w:rsid w:val="00EB7727"/>
    <w:rsid w:val="00EB7922"/>
    <w:rsid w:val="00EC402E"/>
    <w:rsid w:val="00EC4463"/>
    <w:rsid w:val="00EC4988"/>
    <w:rsid w:val="00ED5A2E"/>
    <w:rsid w:val="00EE4F73"/>
    <w:rsid w:val="00EF1B90"/>
    <w:rsid w:val="00EF2014"/>
    <w:rsid w:val="00EF2FE4"/>
    <w:rsid w:val="00EF50CB"/>
    <w:rsid w:val="00F04144"/>
    <w:rsid w:val="00F07996"/>
    <w:rsid w:val="00F12F54"/>
    <w:rsid w:val="00F20599"/>
    <w:rsid w:val="00F27D87"/>
    <w:rsid w:val="00F43E77"/>
    <w:rsid w:val="00F47D5D"/>
    <w:rsid w:val="00F51465"/>
    <w:rsid w:val="00F53DBE"/>
    <w:rsid w:val="00F5582B"/>
    <w:rsid w:val="00F64E17"/>
    <w:rsid w:val="00F66C82"/>
    <w:rsid w:val="00F77EE9"/>
    <w:rsid w:val="00F80285"/>
    <w:rsid w:val="00F82ECF"/>
    <w:rsid w:val="00F8547C"/>
    <w:rsid w:val="00F901CE"/>
    <w:rsid w:val="00F9284E"/>
    <w:rsid w:val="00FA1E6D"/>
    <w:rsid w:val="00FA2BF9"/>
    <w:rsid w:val="00FA4885"/>
    <w:rsid w:val="00FA5CD7"/>
    <w:rsid w:val="00FB0C3E"/>
    <w:rsid w:val="00FB101E"/>
    <w:rsid w:val="00FC4481"/>
    <w:rsid w:val="00FD0550"/>
    <w:rsid w:val="00FD3E05"/>
    <w:rsid w:val="00FE0E3E"/>
    <w:rsid w:val="00FF1CA2"/>
    <w:rsid w:val="00FF519A"/>
    <w:rsid w:val="01971E65"/>
    <w:rsid w:val="01B3097E"/>
    <w:rsid w:val="01CA507C"/>
    <w:rsid w:val="01FC5C15"/>
    <w:rsid w:val="0233386D"/>
    <w:rsid w:val="02546BC8"/>
    <w:rsid w:val="0261487E"/>
    <w:rsid w:val="02906F11"/>
    <w:rsid w:val="02B01361"/>
    <w:rsid w:val="02B07A77"/>
    <w:rsid w:val="02B52B3C"/>
    <w:rsid w:val="02D47F4E"/>
    <w:rsid w:val="02DD1A2B"/>
    <w:rsid w:val="02F44831"/>
    <w:rsid w:val="032251E0"/>
    <w:rsid w:val="03345AEF"/>
    <w:rsid w:val="0348159A"/>
    <w:rsid w:val="03B55068"/>
    <w:rsid w:val="03B66504"/>
    <w:rsid w:val="040556DD"/>
    <w:rsid w:val="04137DFA"/>
    <w:rsid w:val="04387860"/>
    <w:rsid w:val="04A44551"/>
    <w:rsid w:val="04E7176F"/>
    <w:rsid w:val="04E946B7"/>
    <w:rsid w:val="04F35535"/>
    <w:rsid w:val="05271DA7"/>
    <w:rsid w:val="05393890"/>
    <w:rsid w:val="05551D4C"/>
    <w:rsid w:val="05B85707"/>
    <w:rsid w:val="05BF397E"/>
    <w:rsid w:val="065B5A88"/>
    <w:rsid w:val="06711224"/>
    <w:rsid w:val="068153A7"/>
    <w:rsid w:val="06B03C57"/>
    <w:rsid w:val="06DE1A60"/>
    <w:rsid w:val="06E60815"/>
    <w:rsid w:val="06F07C0E"/>
    <w:rsid w:val="072064EB"/>
    <w:rsid w:val="07807554"/>
    <w:rsid w:val="07853A62"/>
    <w:rsid w:val="07D717D0"/>
    <w:rsid w:val="07E37AE3"/>
    <w:rsid w:val="084F5179"/>
    <w:rsid w:val="085A5FF7"/>
    <w:rsid w:val="086521EE"/>
    <w:rsid w:val="08BD2EB0"/>
    <w:rsid w:val="08F5187C"/>
    <w:rsid w:val="092B0267"/>
    <w:rsid w:val="092D4E75"/>
    <w:rsid w:val="098F1CD1"/>
    <w:rsid w:val="099866AB"/>
    <w:rsid w:val="09E366F4"/>
    <w:rsid w:val="0A1D552E"/>
    <w:rsid w:val="0A713A85"/>
    <w:rsid w:val="0ABB6AF5"/>
    <w:rsid w:val="0ABD22B0"/>
    <w:rsid w:val="0ADC0062"/>
    <w:rsid w:val="0B0A3CE5"/>
    <w:rsid w:val="0B4E5BBB"/>
    <w:rsid w:val="0B534F80"/>
    <w:rsid w:val="0BA31A63"/>
    <w:rsid w:val="0BB24729"/>
    <w:rsid w:val="0BE6433D"/>
    <w:rsid w:val="0C300E1D"/>
    <w:rsid w:val="0C3B00AA"/>
    <w:rsid w:val="0C3B6334"/>
    <w:rsid w:val="0C4246AE"/>
    <w:rsid w:val="0C6955A9"/>
    <w:rsid w:val="0CBB1DC9"/>
    <w:rsid w:val="0CF62067"/>
    <w:rsid w:val="0D246BD4"/>
    <w:rsid w:val="0D387DAE"/>
    <w:rsid w:val="0D9C5653"/>
    <w:rsid w:val="0DA57D4D"/>
    <w:rsid w:val="0DB3322E"/>
    <w:rsid w:val="0DD57ECE"/>
    <w:rsid w:val="0E327B56"/>
    <w:rsid w:val="0E4B35D0"/>
    <w:rsid w:val="0EE07E03"/>
    <w:rsid w:val="0F846B80"/>
    <w:rsid w:val="0F985DB2"/>
    <w:rsid w:val="0FA607A8"/>
    <w:rsid w:val="10303AE2"/>
    <w:rsid w:val="107A3904"/>
    <w:rsid w:val="10D64453"/>
    <w:rsid w:val="10E70644"/>
    <w:rsid w:val="11072A94"/>
    <w:rsid w:val="115F6467"/>
    <w:rsid w:val="1160176E"/>
    <w:rsid w:val="1186757E"/>
    <w:rsid w:val="11F4105B"/>
    <w:rsid w:val="121B783C"/>
    <w:rsid w:val="125351D2"/>
    <w:rsid w:val="128F2D41"/>
    <w:rsid w:val="12956715"/>
    <w:rsid w:val="12B96010"/>
    <w:rsid w:val="12C127C8"/>
    <w:rsid w:val="12D64C2A"/>
    <w:rsid w:val="12EC394F"/>
    <w:rsid w:val="12EE7DCD"/>
    <w:rsid w:val="132F0080"/>
    <w:rsid w:val="136511CA"/>
    <w:rsid w:val="137004AB"/>
    <w:rsid w:val="13BF33F1"/>
    <w:rsid w:val="13C945DF"/>
    <w:rsid w:val="13EB633D"/>
    <w:rsid w:val="146124BC"/>
    <w:rsid w:val="148606D0"/>
    <w:rsid w:val="148B7538"/>
    <w:rsid w:val="14902DA1"/>
    <w:rsid w:val="14905F17"/>
    <w:rsid w:val="14CA46DA"/>
    <w:rsid w:val="14D24335"/>
    <w:rsid w:val="14D926E2"/>
    <w:rsid w:val="14EF46DF"/>
    <w:rsid w:val="1545020E"/>
    <w:rsid w:val="154871D8"/>
    <w:rsid w:val="154C56CD"/>
    <w:rsid w:val="1557566D"/>
    <w:rsid w:val="15614B01"/>
    <w:rsid w:val="156C365A"/>
    <w:rsid w:val="156D3F64"/>
    <w:rsid w:val="15C75210"/>
    <w:rsid w:val="15CA0BBE"/>
    <w:rsid w:val="15E433A4"/>
    <w:rsid w:val="1665769A"/>
    <w:rsid w:val="16AB2114"/>
    <w:rsid w:val="16B66F43"/>
    <w:rsid w:val="16ED45EC"/>
    <w:rsid w:val="171657DF"/>
    <w:rsid w:val="17544559"/>
    <w:rsid w:val="17A0154D"/>
    <w:rsid w:val="17FB75DA"/>
    <w:rsid w:val="18F951C9"/>
    <w:rsid w:val="18FC27B3"/>
    <w:rsid w:val="195308EE"/>
    <w:rsid w:val="19551028"/>
    <w:rsid w:val="19843874"/>
    <w:rsid w:val="1A143FD8"/>
    <w:rsid w:val="1A586B67"/>
    <w:rsid w:val="1A6B6DB4"/>
    <w:rsid w:val="1A8C08F3"/>
    <w:rsid w:val="1A914016"/>
    <w:rsid w:val="1AAE5D2F"/>
    <w:rsid w:val="1AB506B4"/>
    <w:rsid w:val="1ACE28E7"/>
    <w:rsid w:val="1AF71484"/>
    <w:rsid w:val="1AFD68F3"/>
    <w:rsid w:val="1B027E29"/>
    <w:rsid w:val="1B1F1D1C"/>
    <w:rsid w:val="1B4D5548"/>
    <w:rsid w:val="1B7C5E2D"/>
    <w:rsid w:val="1B8C2514"/>
    <w:rsid w:val="1B9C1D38"/>
    <w:rsid w:val="1BAF48EB"/>
    <w:rsid w:val="1CC7757C"/>
    <w:rsid w:val="1CFC7225"/>
    <w:rsid w:val="1D183933"/>
    <w:rsid w:val="1D7A674C"/>
    <w:rsid w:val="1DD92169"/>
    <w:rsid w:val="1E2C3B3A"/>
    <w:rsid w:val="1E391DB3"/>
    <w:rsid w:val="1E443F75"/>
    <w:rsid w:val="1E585646"/>
    <w:rsid w:val="1E5F5CBE"/>
    <w:rsid w:val="1E984D2C"/>
    <w:rsid w:val="1F1D16D5"/>
    <w:rsid w:val="1F594E5D"/>
    <w:rsid w:val="1F7A6B27"/>
    <w:rsid w:val="1FA96460"/>
    <w:rsid w:val="1FC65B57"/>
    <w:rsid w:val="1FCB7383"/>
    <w:rsid w:val="1FE461F5"/>
    <w:rsid w:val="1FED66FF"/>
    <w:rsid w:val="201375DE"/>
    <w:rsid w:val="201E05D4"/>
    <w:rsid w:val="203A57AD"/>
    <w:rsid w:val="2040567B"/>
    <w:rsid w:val="20496660"/>
    <w:rsid w:val="206C2914"/>
    <w:rsid w:val="206F5F60"/>
    <w:rsid w:val="20733417"/>
    <w:rsid w:val="214B0C74"/>
    <w:rsid w:val="216D5AFA"/>
    <w:rsid w:val="21CB5418"/>
    <w:rsid w:val="220152DE"/>
    <w:rsid w:val="221B63A0"/>
    <w:rsid w:val="229121BE"/>
    <w:rsid w:val="22D84291"/>
    <w:rsid w:val="22DF4FC7"/>
    <w:rsid w:val="22F34C27"/>
    <w:rsid w:val="234A3CC9"/>
    <w:rsid w:val="23A81EB5"/>
    <w:rsid w:val="23AB2B2B"/>
    <w:rsid w:val="23D762F6"/>
    <w:rsid w:val="23F13E30"/>
    <w:rsid w:val="241D743A"/>
    <w:rsid w:val="2422033C"/>
    <w:rsid w:val="248F4621"/>
    <w:rsid w:val="249E67CE"/>
    <w:rsid w:val="24DC439B"/>
    <w:rsid w:val="24F44C86"/>
    <w:rsid w:val="253F5165"/>
    <w:rsid w:val="2570621E"/>
    <w:rsid w:val="25C603D0"/>
    <w:rsid w:val="265A320F"/>
    <w:rsid w:val="26AC5C19"/>
    <w:rsid w:val="26BE19EF"/>
    <w:rsid w:val="26C467F8"/>
    <w:rsid w:val="26F31817"/>
    <w:rsid w:val="271D1336"/>
    <w:rsid w:val="2727531B"/>
    <w:rsid w:val="27670629"/>
    <w:rsid w:val="27AE15FB"/>
    <w:rsid w:val="27B150B0"/>
    <w:rsid w:val="27C90D7C"/>
    <w:rsid w:val="27DF1C1D"/>
    <w:rsid w:val="285A4E1F"/>
    <w:rsid w:val="28702875"/>
    <w:rsid w:val="28EE4750"/>
    <w:rsid w:val="29234A57"/>
    <w:rsid w:val="297E3E5E"/>
    <w:rsid w:val="298F1421"/>
    <w:rsid w:val="29AF6EF4"/>
    <w:rsid w:val="29AF74B3"/>
    <w:rsid w:val="29D40626"/>
    <w:rsid w:val="29EF5C0E"/>
    <w:rsid w:val="2A0E497A"/>
    <w:rsid w:val="2A0E67EA"/>
    <w:rsid w:val="2A1A326A"/>
    <w:rsid w:val="2AB668A3"/>
    <w:rsid w:val="2AE65071"/>
    <w:rsid w:val="2AF05C21"/>
    <w:rsid w:val="2B115918"/>
    <w:rsid w:val="2B226E3C"/>
    <w:rsid w:val="2B2A317D"/>
    <w:rsid w:val="2B73360C"/>
    <w:rsid w:val="2B8054C5"/>
    <w:rsid w:val="2BA40680"/>
    <w:rsid w:val="2C09403D"/>
    <w:rsid w:val="2C293467"/>
    <w:rsid w:val="2C2B6D0A"/>
    <w:rsid w:val="2C405113"/>
    <w:rsid w:val="2C45579E"/>
    <w:rsid w:val="2C9D0202"/>
    <w:rsid w:val="2D030F68"/>
    <w:rsid w:val="2D2C1F30"/>
    <w:rsid w:val="2D931C55"/>
    <w:rsid w:val="2DA11FE7"/>
    <w:rsid w:val="2DB1034B"/>
    <w:rsid w:val="2DDF14DE"/>
    <w:rsid w:val="2E0A551A"/>
    <w:rsid w:val="2E4F3194"/>
    <w:rsid w:val="2E9E3780"/>
    <w:rsid w:val="2ECE6548"/>
    <w:rsid w:val="2ED0406E"/>
    <w:rsid w:val="2EDF2503"/>
    <w:rsid w:val="2F210D6D"/>
    <w:rsid w:val="2F984DE7"/>
    <w:rsid w:val="2FE778C1"/>
    <w:rsid w:val="306E4388"/>
    <w:rsid w:val="30786793"/>
    <w:rsid w:val="30B079A2"/>
    <w:rsid w:val="30E177F5"/>
    <w:rsid w:val="30ED19FC"/>
    <w:rsid w:val="30FF0FAD"/>
    <w:rsid w:val="310B0D65"/>
    <w:rsid w:val="313174F1"/>
    <w:rsid w:val="313A595E"/>
    <w:rsid w:val="313F3340"/>
    <w:rsid w:val="319C46DB"/>
    <w:rsid w:val="31AD4ED3"/>
    <w:rsid w:val="31BE79F2"/>
    <w:rsid w:val="31DF076F"/>
    <w:rsid w:val="31F02218"/>
    <w:rsid w:val="321E7364"/>
    <w:rsid w:val="32C435E9"/>
    <w:rsid w:val="331D2187"/>
    <w:rsid w:val="333E5C34"/>
    <w:rsid w:val="3392705B"/>
    <w:rsid w:val="33FF76FA"/>
    <w:rsid w:val="342310E4"/>
    <w:rsid w:val="34394463"/>
    <w:rsid w:val="347C632F"/>
    <w:rsid w:val="34AC732B"/>
    <w:rsid w:val="34B01B96"/>
    <w:rsid w:val="34E42621"/>
    <w:rsid w:val="34F673A3"/>
    <w:rsid w:val="3508367E"/>
    <w:rsid w:val="351F3DD0"/>
    <w:rsid w:val="352C03E3"/>
    <w:rsid w:val="353558D8"/>
    <w:rsid w:val="353E7171"/>
    <w:rsid w:val="35904557"/>
    <w:rsid w:val="35B0680E"/>
    <w:rsid w:val="35F46A7B"/>
    <w:rsid w:val="36415851"/>
    <w:rsid w:val="365442FF"/>
    <w:rsid w:val="3666028E"/>
    <w:rsid w:val="366859E7"/>
    <w:rsid w:val="36B9188B"/>
    <w:rsid w:val="37021C54"/>
    <w:rsid w:val="370B6A30"/>
    <w:rsid w:val="376F6EDF"/>
    <w:rsid w:val="37796963"/>
    <w:rsid w:val="378775C1"/>
    <w:rsid w:val="380E28C0"/>
    <w:rsid w:val="3811550D"/>
    <w:rsid w:val="393F076E"/>
    <w:rsid w:val="396D60D0"/>
    <w:rsid w:val="39965EB4"/>
    <w:rsid w:val="39974106"/>
    <w:rsid w:val="39C92E45"/>
    <w:rsid w:val="3A285984"/>
    <w:rsid w:val="3A3D1831"/>
    <w:rsid w:val="3A4E567D"/>
    <w:rsid w:val="3A791A5E"/>
    <w:rsid w:val="3A916DA7"/>
    <w:rsid w:val="3A9605F0"/>
    <w:rsid w:val="3A9C3EFF"/>
    <w:rsid w:val="3AA4114A"/>
    <w:rsid w:val="3B133C60"/>
    <w:rsid w:val="3B1661FD"/>
    <w:rsid w:val="3B2A71FC"/>
    <w:rsid w:val="3B5B73B5"/>
    <w:rsid w:val="3B9A612F"/>
    <w:rsid w:val="3BA04C06"/>
    <w:rsid w:val="3BA74114"/>
    <w:rsid w:val="3BBC69B0"/>
    <w:rsid w:val="3BF916D5"/>
    <w:rsid w:val="3C1D13D8"/>
    <w:rsid w:val="3C2B322B"/>
    <w:rsid w:val="3C88242C"/>
    <w:rsid w:val="3C8F7316"/>
    <w:rsid w:val="3CBA53F4"/>
    <w:rsid w:val="3CBD61B6"/>
    <w:rsid w:val="3CD53A34"/>
    <w:rsid w:val="3D253B52"/>
    <w:rsid w:val="3D3C4918"/>
    <w:rsid w:val="3D4F4471"/>
    <w:rsid w:val="3D63205F"/>
    <w:rsid w:val="3D9D5EF2"/>
    <w:rsid w:val="3D9F50BB"/>
    <w:rsid w:val="3E3839DE"/>
    <w:rsid w:val="3E5F35B2"/>
    <w:rsid w:val="3E9544AB"/>
    <w:rsid w:val="3E990920"/>
    <w:rsid w:val="3E9C5240"/>
    <w:rsid w:val="3EBD7A0F"/>
    <w:rsid w:val="3EF803E0"/>
    <w:rsid w:val="3F2313E5"/>
    <w:rsid w:val="3F857862"/>
    <w:rsid w:val="3FAC01DF"/>
    <w:rsid w:val="3FC45529"/>
    <w:rsid w:val="3FCA3941"/>
    <w:rsid w:val="3FDA11F0"/>
    <w:rsid w:val="3FE41892"/>
    <w:rsid w:val="40086FBA"/>
    <w:rsid w:val="40307C5E"/>
    <w:rsid w:val="4077162A"/>
    <w:rsid w:val="40BA4B7E"/>
    <w:rsid w:val="40CF5B6F"/>
    <w:rsid w:val="40F352A6"/>
    <w:rsid w:val="41517290"/>
    <w:rsid w:val="415F6CF4"/>
    <w:rsid w:val="41636FC4"/>
    <w:rsid w:val="41725811"/>
    <w:rsid w:val="41780CC1"/>
    <w:rsid w:val="41936CEB"/>
    <w:rsid w:val="419D0514"/>
    <w:rsid w:val="41AC5332"/>
    <w:rsid w:val="41CC4968"/>
    <w:rsid w:val="426B4382"/>
    <w:rsid w:val="429960CF"/>
    <w:rsid w:val="42C13FA2"/>
    <w:rsid w:val="42C41CE4"/>
    <w:rsid w:val="42EC095C"/>
    <w:rsid w:val="43227630"/>
    <w:rsid w:val="43747266"/>
    <w:rsid w:val="43E21D74"/>
    <w:rsid w:val="43EE1EDA"/>
    <w:rsid w:val="44161E2A"/>
    <w:rsid w:val="443B7D84"/>
    <w:rsid w:val="444328CE"/>
    <w:rsid w:val="44546A98"/>
    <w:rsid w:val="44BC2C73"/>
    <w:rsid w:val="44C252D9"/>
    <w:rsid w:val="454669E0"/>
    <w:rsid w:val="45A04342"/>
    <w:rsid w:val="45C269AF"/>
    <w:rsid w:val="46470791"/>
    <w:rsid w:val="46535859"/>
    <w:rsid w:val="466B2BA2"/>
    <w:rsid w:val="46AC4F69"/>
    <w:rsid w:val="46EE65B3"/>
    <w:rsid w:val="472468C3"/>
    <w:rsid w:val="4743767B"/>
    <w:rsid w:val="475353E4"/>
    <w:rsid w:val="47694C08"/>
    <w:rsid w:val="47A81BD4"/>
    <w:rsid w:val="47DE5988"/>
    <w:rsid w:val="47F77C7F"/>
    <w:rsid w:val="480635CD"/>
    <w:rsid w:val="480912AF"/>
    <w:rsid w:val="48335AC8"/>
    <w:rsid w:val="48352D77"/>
    <w:rsid w:val="48541414"/>
    <w:rsid w:val="485F5EDD"/>
    <w:rsid w:val="48653621"/>
    <w:rsid w:val="487F2935"/>
    <w:rsid w:val="488937B4"/>
    <w:rsid w:val="48F53202"/>
    <w:rsid w:val="48F826E7"/>
    <w:rsid w:val="490E2E80"/>
    <w:rsid w:val="4910358D"/>
    <w:rsid w:val="493E4527"/>
    <w:rsid w:val="49904C2F"/>
    <w:rsid w:val="49B605D8"/>
    <w:rsid w:val="49DC4667"/>
    <w:rsid w:val="49E61C05"/>
    <w:rsid w:val="49E669E4"/>
    <w:rsid w:val="4A7617B6"/>
    <w:rsid w:val="4AC56A42"/>
    <w:rsid w:val="4B326F24"/>
    <w:rsid w:val="4B5B2D34"/>
    <w:rsid w:val="4B726781"/>
    <w:rsid w:val="4B7F0CA2"/>
    <w:rsid w:val="4D2B092C"/>
    <w:rsid w:val="4D3A4FC6"/>
    <w:rsid w:val="4DC11F25"/>
    <w:rsid w:val="4DD21759"/>
    <w:rsid w:val="4DD52FF7"/>
    <w:rsid w:val="4DFA1627"/>
    <w:rsid w:val="4DFC0584"/>
    <w:rsid w:val="4DFD596A"/>
    <w:rsid w:val="4E105DDD"/>
    <w:rsid w:val="4E37780E"/>
    <w:rsid w:val="4E54216E"/>
    <w:rsid w:val="4EA03605"/>
    <w:rsid w:val="4EA36314"/>
    <w:rsid w:val="4ED07617"/>
    <w:rsid w:val="4ED11DCA"/>
    <w:rsid w:val="4EF22225"/>
    <w:rsid w:val="4F3124AF"/>
    <w:rsid w:val="4F3C5ACB"/>
    <w:rsid w:val="4F483E30"/>
    <w:rsid w:val="4F73207A"/>
    <w:rsid w:val="4F764366"/>
    <w:rsid w:val="4F8E16AF"/>
    <w:rsid w:val="4F953BB8"/>
    <w:rsid w:val="4FBA00E3"/>
    <w:rsid w:val="500C0B09"/>
    <w:rsid w:val="502871BF"/>
    <w:rsid w:val="503F29AA"/>
    <w:rsid w:val="50451B2B"/>
    <w:rsid w:val="50493828"/>
    <w:rsid w:val="50BE4216"/>
    <w:rsid w:val="50C3440C"/>
    <w:rsid w:val="50FB3052"/>
    <w:rsid w:val="513C207B"/>
    <w:rsid w:val="515054CF"/>
    <w:rsid w:val="517D661A"/>
    <w:rsid w:val="520D7FB9"/>
    <w:rsid w:val="526568B5"/>
    <w:rsid w:val="527C2485"/>
    <w:rsid w:val="5288688A"/>
    <w:rsid w:val="528C05E3"/>
    <w:rsid w:val="52B92EE7"/>
    <w:rsid w:val="52BA27BB"/>
    <w:rsid w:val="52BE22AC"/>
    <w:rsid w:val="52F22FD1"/>
    <w:rsid w:val="53417424"/>
    <w:rsid w:val="539D5246"/>
    <w:rsid w:val="53AA7A2F"/>
    <w:rsid w:val="53BD6A07"/>
    <w:rsid w:val="53D144FC"/>
    <w:rsid w:val="5429409D"/>
    <w:rsid w:val="542B72E8"/>
    <w:rsid w:val="54697D84"/>
    <w:rsid w:val="54AA7F1C"/>
    <w:rsid w:val="54E2356F"/>
    <w:rsid w:val="55713605"/>
    <w:rsid w:val="561C07FC"/>
    <w:rsid w:val="56505911"/>
    <w:rsid w:val="569A45DF"/>
    <w:rsid w:val="569B4B2A"/>
    <w:rsid w:val="57103D74"/>
    <w:rsid w:val="574D1E50"/>
    <w:rsid w:val="57776ECD"/>
    <w:rsid w:val="582C415B"/>
    <w:rsid w:val="585934A4"/>
    <w:rsid w:val="588418A2"/>
    <w:rsid w:val="58847AF3"/>
    <w:rsid w:val="5893314A"/>
    <w:rsid w:val="58A61818"/>
    <w:rsid w:val="58B10512"/>
    <w:rsid w:val="58E42340"/>
    <w:rsid w:val="58F5279F"/>
    <w:rsid w:val="59624B56"/>
    <w:rsid w:val="596A00C5"/>
    <w:rsid w:val="596D64A6"/>
    <w:rsid w:val="59893316"/>
    <w:rsid w:val="599170DD"/>
    <w:rsid w:val="59926DC7"/>
    <w:rsid w:val="59975605"/>
    <w:rsid w:val="59D13ABB"/>
    <w:rsid w:val="5A063E3B"/>
    <w:rsid w:val="5A13112F"/>
    <w:rsid w:val="5A2828FC"/>
    <w:rsid w:val="5A8C69C4"/>
    <w:rsid w:val="5AAE40DC"/>
    <w:rsid w:val="5ADA7E9F"/>
    <w:rsid w:val="5AEC0119"/>
    <w:rsid w:val="5B501F0F"/>
    <w:rsid w:val="5B8F47E5"/>
    <w:rsid w:val="5BC87CF7"/>
    <w:rsid w:val="5BDF4DB4"/>
    <w:rsid w:val="5BFB155E"/>
    <w:rsid w:val="5C14118E"/>
    <w:rsid w:val="5C441A74"/>
    <w:rsid w:val="5C4750C0"/>
    <w:rsid w:val="5C481E6C"/>
    <w:rsid w:val="5C552ABB"/>
    <w:rsid w:val="5C566F61"/>
    <w:rsid w:val="5C8127CE"/>
    <w:rsid w:val="5CB32755"/>
    <w:rsid w:val="5D427720"/>
    <w:rsid w:val="5D452B19"/>
    <w:rsid w:val="5DF179D9"/>
    <w:rsid w:val="5E023994"/>
    <w:rsid w:val="5E251431"/>
    <w:rsid w:val="5E3903E8"/>
    <w:rsid w:val="5E4B09D9"/>
    <w:rsid w:val="5E530C5B"/>
    <w:rsid w:val="5E80006A"/>
    <w:rsid w:val="5EF329D8"/>
    <w:rsid w:val="5EF76427"/>
    <w:rsid w:val="5F1A2F60"/>
    <w:rsid w:val="5F4D50E3"/>
    <w:rsid w:val="5FA12D39"/>
    <w:rsid w:val="5FC51A23"/>
    <w:rsid w:val="5FE86BBA"/>
    <w:rsid w:val="5FF931DA"/>
    <w:rsid w:val="600D4872"/>
    <w:rsid w:val="60262315"/>
    <w:rsid w:val="604127CE"/>
    <w:rsid w:val="604D0F20"/>
    <w:rsid w:val="60B44992"/>
    <w:rsid w:val="60B75BB7"/>
    <w:rsid w:val="60EE1FAE"/>
    <w:rsid w:val="61700C15"/>
    <w:rsid w:val="619A7103"/>
    <w:rsid w:val="61C3343B"/>
    <w:rsid w:val="624438CC"/>
    <w:rsid w:val="62764951"/>
    <w:rsid w:val="62773A94"/>
    <w:rsid w:val="62880D05"/>
    <w:rsid w:val="629306DD"/>
    <w:rsid w:val="62A22563"/>
    <w:rsid w:val="62A831A3"/>
    <w:rsid w:val="62AA63A9"/>
    <w:rsid w:val="62B56ACB"/>
    <w:rsid w:val="62DC386E"/>
    <w:rsid w:val="62F6048F"/>
    <w:rsid w:val="63242230"/>
    <w:rsid w:val="639C3F43"/>
    <w:rsid w:val="639D0223"/>
    <w:rsid w:val="63A16A99"/>
    <w:rsid w:val="63B75C6E"/>
    <w:rsid w:val="63C83455"/>
    <w:rsid w:val="6480735E"/>
    <w:rsid w:val="64850E7B"/>
    <w:rsid w:val="64B97AF3"/>
    <w:rsid w:val="64D771FD"/>
    <w:rsid w:val="64ED2296"/>
    <w:rsid w:val="64F63B27"/>
    <w:rsid w:val="65053D6A"/>
    <w:rsid w:val="65411969"/>
    <w:rsid w:val="65613696"/>
    <w:rsid w:val="65926ED1"/>
    <w:rsid w:val="65976403"/>
    <w:rsid w:val="65B31A18"/>
    <w:rsid w:val="65C77F02"/>
    <w:rsid w:val="65EB764C"/>
    <w:rsid w:val="666827A6"/>
    <w:rsid w:val="669B6AD9"/>
    <w:rsid w:val="66B23A7E"/>
    <w:rsid w:val="66BB4390"/>
    <w:rsid w:val="66EB31B2"/>
    <w:rsid w:val="670E33AA"/>
    <w:rsid w:val="6714320F"/>
    <w:rsid w:val="676236F6"/>
    <w:rsid w:val="67DF345D"/>
    <w:rsid w:val="67E65A4E"/>
    <w:rsid w:val="67EC408F"/>
    <w:rsid w:val="67F2658F"/>
    <w:rsid w:val="67FF0F45"/>
    <w:rsid w:val="687F5BE1"/>
    <w:rsid w:val="69125EEE"/>
    <w:rsid w:val="691A3D02"/>
    <w:rsid w:val="693147A7"/>
    <w:rsid w:val="693375B8"/>
    <w:rsid w:val="695157D0"/>
    <w:rsid w:val="69A973BA"/>
    <w:rsid w:val="69AF0D8B"/>
    <w:rsid w:val="69BE1BAB"/>
    <w:rsid w:val="69D106BF"/>
    <w:rsid w:val="69FD18AA"/>
    <w:rsid w:val="6A024D1C"/>
    <w:rsid w:val="6A132A85"/>
    <w:rsid w:val="6A732A0C"/>
    <w:rsid w:val="6AC6682F"/>
    <w:rsid w:val="6B144D07"/>
    <w:rsid w:val="6B183E48"/>
    <w:rsid w:val="6B4F3F91"/>
    <w:rsid w:val="6B9136FA"/>
    <w:rsid w:val="6BFD37C3"/>
    <w:rsid w:val="6C1E7D76"/>
    <w:rsid w:val="6C240F7A"/>
    <w:rsid w:val="6C2471CC"/>
    <w:rsid w:val="6C63486E"/>
    <w:rsid w:val="6CD62255"/>
    <w:rsid w:val="6CEA20A3"/>
    <w:rsid w:val="6CFD673F"/>
    <w:rsid w:val="6CFE17CB"/>
    <w:rsid w:val="6D247F61"/>
    <w:rsid w:val="6D991030"/>
    <w:rsid w:val="6DBF4833"/>
    <w:rsid w:val="6DCC18C9"/>
    <w:rsid w:val="6DE9760C"/>
    <w:rsid w:val="6E113780"/>
    <w:rsid w:val="6E2406F8"/>
    <w:rsid w:val="6E5523A8"/>
    <w:rsid w:val="6E603C7D"/>
    <w:rsid w:val="6E801A40"/>
    <w:rsid w:val="6E963717"/>
    <w:rsid w:val="6F362B6D"/>
    <w:rsid w:val="6F80296B"/>
    <w:rsid w:val="6FB22D40"/>
    <w:rsid w:val="6FC27E56"/>
    <w:rsid w:val="70034242"/>
    <w:rsid w:val="701B08E6"/>
    <w:rsid w:val="70297F8E"/>
    <w:rsid w:val="70423FD9"/>
    <w:rsid w:val="70451ADA"/>
    <w:rsid w:val="704F4BC1"/>
    <w:rsid w:val="7085051D"/>
    <w:rsid w:val="709D12FB"/>
    <w:rsid w:val="70C055FD"/>
    <w:rsid w:val="70CD1E2F"/>
    <w:rsid w:val="714B1E1B"/>
    <w:rsid w:val="71C32FE3"/>
    <w:rsid w:val="71E86FF5"/>
    <w:rsid w:val="72416790"/>
    <w:rsid w:val="72541E8D"/>
    <w:rsid w:val="725A0CA1"/>
    <w:rsid w:val="726E11A1"/>
    <w:rsid w:val="726F6CC7"/>
    <w:rsid w:val="72BB797D"/>
    <w:rsid w:val="72DA6836"/>
    <w:rsid w:val="72F86CBC"/>
    <w:rsid w:val="731F20C0"/>
    <w:rsid w:val="738549F4"/>
    <w:rsid w:val="73C36635"/>
    <w:rsid w:val="73E01C2A"/>
    <w:rsid w:val="74010E23"/>
    <w:rsid w:val="741D0898"/>
    <w:rsid w:val="742C3A88"/>
    <w:rsid w:val="746F77F2"/>
    <w:rsid w:val="74850A24"/>
    <w:rsid w:val="74E117DE"/>
    <w:rsid w:val="751A5610"/>
    <w:rsid w:val="753D151B"/>
    <w:rsid w:val="75EC066F"/>
    <w:rsid w:val="761D18D1"/>
    <w:rsid w:val="767F3E5C"/>
    <w:rsid w:val="76934560"/>
    <w:rsid w:val="76A827A7"/>
    <w:rsid w:val="76FE727A"/>
    <w:rsid w:val="771527C9"/>
    <w:rsid w:val="773149C0"/>
    <w:rsid w:val="77342B32"/>
    <w:rsid w:val="77976AA4"/>
    <w:rsid w:val="78405E01"/>
    <w:rsid w:val="78A137DE"/>
    <w:rsid w:val="78D3617C"/>
    <w:rsid w:val="78F209BF"/>
    <w:rsid w:val="78F9378E"/>
    <w:rsid w:val="794E7636"/>
    <w:rsid w:val="794F188E"/>
    <w:rsid w:val="79684283"/>
    <w:rsid w:val="798C2968"/>
    <w:rsid w:val="7A2A00A3"/>
    <w:rsid w:val="7A8315F1"/>
    <w:rsid w:val="7A8E51C8"/>
    <w:rsid w:val="7A9E32B2"/>
    <w:rsid w:val="7B0B469F"/>
    <w:rsid w:val="7B0D0E08"/>
    <w:rsid w:val="7B8657AD"/>
    <w:rsid w:val="7BA64B72"/>
    <w:rsid w:val="7C09018C"/>
    <w:rsid w:val="7C0B7A60"/>
    <w:rsid w:val="7C1475DC"/>
    <w:rsid w:val="7C9F63FA"/>
    <w:rsid w:val="7CB65C1E"/>
    <w:rsid w:val="7D4A0A5C"/>
    <w:rsid w:val="7D884899"/>
    <w:rsid w:val="7DB6273C"/>
    <w:rsid w:val="7DD141FF"/>
    <w:rsid w:val="7E527BC8"/>
    <w:rsid w:val="7E763A16"/>
    <w:rsid w:val="7E837D82"/>
    <w:rsid w:val="7EB50157"/>
    <w:rsid w:val="7EC05CE1"/>
    <w:rsid w:val="7EFC3F63"/>
    <w:rsid w:val="7F183EFE"/>
    <w:rsid w:val="7F1B445E"/>
    <w:rsid w:val="7F453289"/>
    <w:rsid w:val="7F94330C"/>
    <w:rsid w:val="7FD224DC"/>
    <w:rsid w:val="7FE2290E"/>
    <w:rsid w:val="7FE65BE8"/>
    <w:rsid w:val="7FF95891"/>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1"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uiPriority="99" w:name="Date"/>
    <w:lsdException w:qFormat="1" w:unhideWhenUsed="0" w:uiPriority="0" w:semiHidden="0" w:name="Body Text First Indent"/>
    <w:lsdException w:qFormat="1" w:unhideWhenUsed="0" w:uiPriority="99" w:semiHidden="0"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53"/>
    <w:semiHidden/>
    <w:unhideWhenUsed/>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87"/>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qFormat/>
    <w:uiPriority w:val="1"/>
    <w:pPr>
      <w:ind w:left="743"/>
      <w:outlineLvl w:val="3"/>
    </w:pPr>
    <w:rPr>
      <w:rFonts w:ascii="宋体" w:hAnsi="宋体" w:eastAsia="宋体" w:cs="宋体"/>
      <w:b/>
      <w:bCs/>
      <w:sz w:val="24"/>
      <w:szCs w:val="24"/>
      <w:lang w:val="zh-CN" w:eastAsia="zh-CN" w:bidi="zh-CN"/>
    </w:rPr>
  </w:style>
  <w:style w:type="character" w:default="1" w:styleId="33">
    <w:name w:val="Default Paragraph Font"/>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ind w:left="2520" w:leftChars="1200"/>
    </w:pPr>
    <w:rPr>
      <w:rFonts w:ascii="Calibri" w:hAnsi="Calibri"/>
      <w:szCs w:val="22"/>
    </w:rPr>
  </w:style>
  <w:style w:type="paragraph" w:styleId="7">
    <w:name w:val="Normal Indent"/>
    <w:basedOn w:val="1"/>
    <w:qFormat/>
    <w:uiPriority w:val="0"/>
    <w:pPr>
      <w:ind w:firstLine="420" w:firstLineChars="200"/>
    </w:pPr>
    <w:rPr>
      <w:sz w:val="24"/>
    </w:rPr>
  </w:style>
  <w:style w:type="paragraph" w:styleId="8">
    <w:name w:val="annotation text"/>
    <w:basedOn w:val="1"/>
    <w:link w:val="102"/>
    <w:semiHidden/>
    <w:unhideWhenUsed/>
    <w:qFormat/>
    <w:uiPriority w:val="99"/>
    <w:pPr>
      <w:jc w:val="left"/>
    </w:pPr>
  </w:style>
  <w:style w:type="paragraph" w:styleId="9">
    <w:name w:val="Salutation"/>
    <w:basedOn w:val="1"/>
    <w:next w:val="1"/>
    <w:unhideWhenUsed/>
    <w:qFormat/>
    <w:uiPriority w:val="99"/>
  </w:style>
  <w:style w:type="paragraph" w:styleId="10">
    <w:name w:val="Body Text"/>
    <w:basedOn w:val="1"/>
    <w:next w:val="11"/>
    <w:link w:val="96"/>
    <w:qFormat/>
    <w:uiPriority w:val="0"/>
    <w:pPr>
      <w:ind w:left="215"/>
    </w:pPr>
    <w:rPr>
      <w:rFonts w:ascii="宋体" w:hAnsi="宋体" w:cs="宋体"/>
      <w:sz w:val="24"/>
    </w:rPr>
  </w:style>
  <w:style w:type="paragraph" w:customStyle="1" w:styleId="11">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cs="Times New Roman"/>
      <w:kern w:val="0"/>
      <w:sz w:val="16"/>
      <w:szCs w:val="16"/>
      <w:lang w:eastAsia="zh-TW"/>
    </w:rPr>
  </w:style>
  <w:style w:type="paragraph" w:styleId="12">
    <w:name w:val="Body Text Indent"/>
    <w:basedOn w:val="1"/>
    <w:link w:val="100"/>
    <w:unhideWhenUsed/>
    <w:qFormat/>
    <w:uiPriority w:val="0"/>
    <w:pPr>
      <w:spacing w:after="120"/>
      <w:ind w:left="420" w:leftChars="200"/>
      <w:jc w:val="left"/>
    </w:pPr>
    <w:rPr>
      <w:rFonts w:ascii="Calibri" w:hAnsi="Calibri"/>
      <w:kern w:val="0"/>
      <w:sz w:val="22"/>
      <w:szCs w:val="22"/>
      <w:lang w:eastAsia="en-US"/>
    </w:rPr>
  </w:style>
  <w:style w:type="paragraph" w:styleId="13">
    <w:name w:val="toc 5"/>
    <w:basedOn w:val="1"/>
    <w:next w:val="1"/>
    <w:unhideWhenUsed/>
    <w:qFormat/>
    <w:uiPriority w:val="39"/>
    <w:pPr>
      <w:ind w:left="1680" w:leftChars="800"/>
    </w:pPr>
    <w:rPr>
      <w:rFonts w:ascii="Calibri" w:hAnsi="Calibri"/>
      <w:szCs w:val="22"/>
    </w:rPr>
  </w:style>
  <w:style w:type="paragraph" w:styleId="14">
    <w:name w:val="toc 3"/>
    <w:basedOn w:val="1"/>
    <w:next w:val="1"/>
    <w:unhideWhenUsed/>
    <w:qFormat/>
    <w:uiPriority w:val="39"/>
    <w:pPr>
      <w:ind w:left="840" w:leftChars="400"/>
    </w:pPr>
    <w:rPr>
      <w:rFonts w:ascii="Calibri" w:hAnsi="Calibri"/>
      <w:szCs w:val="22"/>
    </w:rPr>
  </w:style>
  <w:style w:type="paragraph" w:styleId="15">
    <w:name w:val="Plain Text"/>
    <w:basedOn w:val="1"/>
    <w:link w:val="105"/>
    <w:qFormat/>
    <w:uiPriority w:val="99"/>
    <w:rPr>
      <w:rFonts w:ascii="宋体" w:hAnsi="Courier New"/>
      <w:szCs w:val="20"/>
    </w:rPr>
  </w:style>
  <w:style w:type="paragraph" w:styleId="16">
    <w:name w:val="toc 8"/>
    <w:basedOn w:val="1"/>
    <w:next w:val="1"/>
    <w:unhideWhenUsed/>
    <w:qFormat/>
    <w:uiPriority w:val="39"/>
    <w:pPr>
      <w:ind w:left="2940" w:leftChars="1400"/>
    </w:pPr>
    <w:rPr>
      <w:rFonts w:ascii="Calibri" w:hAnsi="Calibri"/>
      <w:szCs w:val="22"/>
    </w:rPr>
  </w:style>
  <w:style w:type="paragraph" w:styleId="17">
    <w:name w:val="Balloon Text"/>
    <w:basedOn w:val="1"/>
    <w:link w:val="69"/>
    <w:semiHidden/>
    <w:unhideWhenUsed/>
    <w:qFormat/>
    <w:uiPriority w:val="99"/>
    <w:rPr>
      <w:sz w:val="18"/>
      <w:szCs w:val="18"/>
    </w:rPr>
  </w:style>
  <w:style w:type="paragraph" w:styleId="18">
    <w:name w:val="footer"/>
    <w:basedOn w:val="1"/>
    <w:link w:val="66"/>
    <w:unhideWhenUsed/>
    <w:qFormat/>
    <w:uiPriority w:val="99"/>
    <w:pPr>
      <w:tabs>
        <w:tab w:val="center" w:pos="4153"/>
        <w:tab w:val="right" w:pos="8306"/>
      </w:tabs>
      <w:snapToGrid w:val="0"/>
      <w:jc w:val="left"/>
    </w:pPr>
    <w:rPr>
      <w:sz w:val="18"/>
      <w:szCs w:val="18"/>
    </w:rPr>
  </w:style>
  <w:style w:type="paragraph" w:styleId="19">
    <w:name w:val="header"/>
    <w:basedOn w:val="1"/>
    <w:link w:val="6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unhideWhenUsed/>
    <w:qFormat/>
    <w:uiPriority w:val="39"/>
    <w:pPr>
      <w:tabs>
        <w:tab w:val="right" w:leader="dot" w:pos="8296"/>
      </w:tabs>
      <w:spacing w:line="360" w:lineRule="auto"/>
    </w:pPr>
    <w:rPr>
      <w:b/>
      <w:bCs/>
      <w:sz w:val="24"/>
    </w:rPr>
  </w:style>
  <w:style w:type="paragraph" w:styleId="21">
    <w:name w:val="toc 4"/>
    <w:basedOn w:val="1"/>
    <w:next w:val="1"/>
    <w:unhideWhenUsed/>
    <w:qFormat/>
    <w:uiPriority w:val="39"/>
    <w:pPr>
      <w:ind w:left="1260" w:leftChars="600"/>
    </w:pPr>
    <w:rPr>
      <w:rFonts w:ascii="Calibri" w:hAnsi="Calibri"/>
      <w:szCs w:val="22"/>
    </w:rPr>
  </w:style>
  <w:style w:type="paragraph" w:styleId="22">
    <w:name w:val="List"/>
    <w:basedOn w:val="1"/>
    <w:qFormat/>
    <w:uiPriority w:val="99"/>
    <w:pPr>
      <w:ind w:left="200" w:hanging="200" w:hangingChars="200"/>
    </w:pPr>
    <w:rPr>
      <w:spacing w:val="-2"/>
      <w:kern w:val="0"/>
      <w:sz w:val="20"/>
      <w:szCs w:val="20"/>
    </w:rPr>
  </w:style>
  <w:style w:type="paragraph" w:styleId="23">
    <w:name w:val="toc 6"/>
    <w:basedOn w:val="1"/>
    <w:next w:val="1"/>
    <w:unhideWhenUsed/>
    <w:qFormat/>
    <w:uiPriority w:val="39"/>
    <w:pPr>
      <w:ind w:left="2100" w:leftChars="1000"/>
    </w:pPr>
    <w:rPr>
      <w:rFonts w:ascii="Calibri" w:hAnsi="Calibri"/>
      <w:szCs w:val="22"/>
    </w:rPr>
  </w:style>
  <w:style w:type="paragraph" w:styleId="24">
    <w:name w:val="toc 2"/>
    <w:basedOn w:val="1"/>
    <w:next w:val="1"/>
    <w:unhideWhenUsed/>
    <w:qFormat/>
    <w:uiPriority w:val="39"/>
    <w:pPr>
      <w:tabs>
        <w:tab w:val="right" w:leader="dot" w:pos="8296"/>
      </w:tabs>
      <w:spacing w:line="360" w:lineRule="auto"/>
      <w:ind w:firstLine="480" w:firstLineChars="200"/>
    </w:pPr>
    <w:rPr>
      <w:sz w:val="24"/>
    </w:rPr>
  </w:style>
  <w:style w:type="paragraph" w:styleId="25">
    <w:name w:val="toc 9"/>
    <w:basedOn w:val="1"/>
    <w:next w:val="1"/>
    <w:unhideWhenUsed/>
    <w:qFormat/>
    <w:uiPriority w:val="39"/>
    <w:pPr>
      <w:ind w:left="3360" w:leftChars="1600"/>
    </w:pPr>
    <w:rPr>
      <w:rFonts w:ascii="Calibri" w:hAnsi="Calibri"/>
      <w:szCs w:val="22"/>
    </w:rPr>
  </w:style>
  <w:style w:type="paragraph" w:styleId="26">
    <w:name w:val="Body Text 2"/>
    <w:basedOn w:val="1"/>
    <w:qFormat/>
    <w:uiPriority w:val="99"/>
    <w:pPr>
      <w:spacing w:after="120" w:line="480" w:lineRule="auto"/>
    </w:pPr>
  </w:style>
  <w:style w:type="paragraph" w:styleId="2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28">
    <w:name w:val="annotation subject"/>
    <w:basedOn w:val="8"/>
    <w:next w:val="8"/>
    <w:link w:val="103"/>
    <w:semiHidden/>
    <w:unhideWhenUsed/>
    <w:qFormat/>
    <w:uiPriority w:val="99"/>
    <w:rPr>
      <w:b/>
      <w:bCs/>
    </w:rPr>
  </w:style>
  <w:style w:type="paragraph" w:styleId="29">
    <w:name w:val="Body Text First Indent"/>
    <w:basedOn w:val="10"/>
    <w:qFormat/>
    <w:uiPriority w:val="0"/>
    <w:pPr>
      <w:ind w:firstLine="100" w:firstLineChars="100"/>
    </w:pPr>
  </w:style>
  <w:style w:type="paragraph" w:styleId="30">
    <w:name w:val="Body Text First Indent 2"/>
    <w:basedOn w:val="12"/>
    <w:qFormat/>
    <w:uiPriority w:val="99"/>
    <w:pPr>
      <w:ind w:firstLine="420"/>
    </w:pPr>
  </w:style>
  <w:style w:type="table" w:styleId="32">
    <w:name w:val="Table Grid"/>
    <w:basedOn w:val="31"/>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4">
    <w:name w:val="Hyperlink"/>
    <w:basedOn w:val="33"/>
    <w:unhideWhenUsed/>
    <w:qFormat/>
    <w:uiPriority w:val="99"/>
    <w:rPr>
      <w:color w:val="0000FF"/>
      <w:u w:val="single"/>
    </w:rPr>
  </w:style>
  <w:style w:type="character" w:styleId="35">
    <w:name w:val="annotation reference"/>
    <w:basedOn w:val="33"/>
    <w:semiHidden/>
    <w:unhideWhenUsed/>
    <w:qFormat/>
    <w:uiPriority w:val="99"/>
    <w:rPr>
      <w:sz w:val="21"/>
      <w:szCs w:val="21"/>
    </w:rPr>
  </w:style>
  <w:style w:type="paragraph" w:customStyle="1" w:styleId="36">
    <w:name w:val="Default"/>
    <w:basedOn w:val="37"/>
    <w:next w:val="38"/>
    <w:qFormat/>
    <w:uiPriority w:val="0"/>
    <w:pPr>
      <w:autoSpaceDE w:val="0"/>
      <w:autoSpaceDN w:val="0"/>
      <w:adjustRightInd w:val="0"/>
    </w:pPr>
    <w:rPr>
      <w:rFonts w:ascii="宋体" w:hAnsi="Calibri" w:cs="宋体"/>
      <w:color w:val="000000"/>
      <w:sz w:val="24"/>
    </w:rPr>
  </w:style>
  <w:style w:type="paragraph" w:customStyle="1" w:styleId="37">
    <w:name w:val="标题2"/>
    <w:basedOn w:val="1"/>
    <w:qFormat/>
    <w:uiPriority w:val="99"/>
    <w:pPr>
      <w:spacing w:line="360" w:lineRule="auto"/>
      <w:jc w:val="left"/>
    </w:pPr>
    <w:rPr>
      <w:b/>
      <w:sz w:val="28"/>
    </w:rPr>
  </w:style>
  <w:style w:type="paragraph" w:customStyle="1" w:styleId="38">
    <w:name w:val="样式35"/>
    <w:basedOn w:val="3"/>
    <w:qFormat/>
    <w:uiPriority w:val="0"/>
    <w:pPr>
      <w:spacing w:before="0" w:after="0" w:line="360" w:lineRule="auto"/>
      <w:ind w:firstLine="482" w:firstLineChars="200"/>
    </w:pPr>
    <w:rPr>
      <w:rFonts w:ascii="Times New Roman" w:hAnsi="Times New Roman"/>
      <w:b w:val="0"/>
      <w:sz w:val="24"/>
    </w:rPr>
  </w:style>
  <w:style w:type="paragraph" w:customStyle="1" w:styleId="39">
    <w:name w:val="纯文本1"/>
    <w:basedOn w:val="1"/>
    <w:qFormat/>
    <w:uiPriority w:val="0"/>
    <w:pPr>
      <w:adjustRightInd w:val="0"/>
    </w:pPr>
    <w:rPr>
      <w:rFonts w:ascii="宋体" w:hAnsi="Courier New"/>
    </w:rPr>
  </w:style>
  <w:style w:type="paragraph" w:customStyle="1" w:styleId="40">
    <w:name w:val="样式3"/>
    <w:basedOn w:val="1"/>
    <w:next w:val="41"/>
    <w:qFormat/>
    <w:uiPriority w:val="0"/>
    <w:pPr>
      <w:widowControl/>
      <w:spacing w:line="360" w:lineRule="auto"/>
      <w:ind w:firstLine="480" w:firstLineChars="200"/>
      <w:jc w:val="left"/>
    </w:pPr>
    <w:rPr>
      <w:kern w:val="0"/>
      <w:sz w:val="24"/>
    </w:rPr>
  </w:style>
  <w:style w:type="paragraph" w:customStyle="1" w:styleId="41">
    <w:name w:val="目录 53"/>
    <w:basedOn w:val="1"/>
    <w:next w:val="1"/>
    <w:qFormat/>
    <w:uiPriority w:val="0"/>
    <w:pPr>
      <w:ind w:left="840"/>
    </w:pPr>
    <w:rPr>
      <w:rFonts w:cs="宋体"/>
      <w:color w:val="000000"/>
    </w:rPr>
  </w:style>
  <w:style w:type="paragraph" w:customStyle="1" w:styleId="42">
    <w:name w:val="样式1"/>
    <w:basedOn w:val="3"/>
    <w:qFormat/>
    <w:uiPriority w:val="0"/>
    <w:pPr>
      <w:spacing w:line="360" w:lineRule="auto"/>
      <w:ind w:firstLine="562" w:firstLineChars="200"/>
    </w:pPr>
    <w:rPr>
      <w:rFonts w:ascii="Times New Roman" w:hAnsi="宋体"/>
      <w:color w:val="000000"/>
      <w:sz w:val="28"/>
      <w:szCs w:val="28"/>
    </w:rPr>
  </w:style>
  <w:style w:type="paragraph" w:customStyle="1" w:styleId="43">
    <w:name w:val="样式9"/>
    <w:basedOn w:val="3"/>
    <w:qFormat/>
    <w:uiPriority w:val="0"/>
    <w:pPr>
      <w:spacing w:before="0" w:after="0"/>
    </w:pPr>
    <w:rPr>
      <w:rFonts w:ascii="Times New Roman" w:hAnsi="Times New Roman"/>
      <w:b w:val="0"/>
      <w:sz w:val="24"/>
    </w:rPr>
  </w:style>
  <w:style w:type="paragraph" w:customStyle="1" w:styleId="44">
    <w:name w:val="样式10"/>
    <w:basedOn w:val="1"/>
    <w:qFormat/>
    <w:uiPriority w:val="0"/>
    <w:pPr>
      <w:spacing w:line="360" w:lineRule="auto"/>
      <w:jc w:val="left"/>
    </w:pPr>
    <w:rPr>
      <w:rFonts w:hAnsi="宋体"/>
      <w:sz w:val="24"/>
    </w:rPr>
  </w:style>
  <w:style w:type="paragraph" w:customStyle="1" w:styleId="45">
    <w:name w:val="样式12"/>
    <w:basedOn w:val="2"/>
    <w:next w:val="46"/>
    <w:qFormat/>
    <w:uiPriority w:val="0"/>
    <w:pPr>
      <w:spacing w:before="0" w:after="0"/>
    </w:pPr>
    <w:rPr>
      <w:rFonts w:hAnsi="宋体"/>
      <w:b w:val="0"/>
      <w:sz w:val="24"/>
      <w:szCs w:val="24"/>
    </w:rPr>
  </w:style>
  <w:style w:type="paragraph" w:customStyle="1" w:styleId="46">
    <w:name w:val="样式7"/>
    <w:basedOn w:val="47"/>
    <w:qFormat/>
    <w:uiPriority w:val="0"/>
    <w:rPr>
      <w:b w:val="0"/>
    </w:rPr>
  </w:style>
  <w:style w:type="paragraph" w:customStyle="1" w:styleId="47">
    <w:name w:val="样式6"/>
    <w:basedOn w:val="2"/>
    <w:qFormat/>
    <w:uiPriority w:val="0"/>
    <w:pPr>
      <w:spacing w:before="0" w:after="0"/>
      <w:jc w:val="center"/>
    </w:pPr>
    <w:rPr>
      <w:sz w:val="28"/>
      <w:szCs w:val="28"/>
    </w:rPr>
  </w:style>
  <w:style w:type="paragraph" w:customStyle="1" w:styleId="48">
    <w:name w:val="样式21"/>
    <w:basedOn w:val="2"/>
    <w:qFormat/>
    <w:uiPriority w:val="0"/>
    <w:pPr>
      <w:spacing w:before="0" w:after="0"/>
    </w:pPr>
    <w:rPr>
      <w:rFonts w:hAnsi="宋体"/>
      <w:b w:val="0"/>
      <w:bCs w:val="0"/>
      <w:sz w:val="24"/>
      <w:szCs w:val="24"/>
    </w:rPr>
  </w:style>
  <w:style w:type="paragraph" w:customStyle="1" w:styleId="49">
    <w:name w:val="样式29"/>
    <w:basedOn w:val="1"/>
    <w:qFormat/>
    <w:uiPriority w:val="0"/>
    <w:pPr>
      <w:spacing w:line="360" w:lineRule="auto"/>
      <w:ind w:firstLine="420"/>
    </w:pPr>
    <w:rPr>
      <w:rFonts w:ascii="宋体" w:hAnsi="宋体"/>
      <w:color w:val="000000"/>
      <w:sz w:val="24"/>
    </w:rPr>
  </w:style>
  <w:style w:type="paragraph" w:customStyle="1" w:styleId="50">
    <w:name w:val="样式8"/>
    <w:basedOn w:val="2"/>
    <w:qFormat/>
    <w:uiPriority w:val="0"/>
    <w:pPr>
      <w:spacing w:before="0" w:after="0" w:line="360" w:lineRule="auto"/>
      <w:jc w:val="center"/>
    </w:pPr>
    <w:rPr>
      <w:sz w:val="28"/>
      <w:szCs w:val="28"/>
    </w:rPr>
  </w:style>
  <w:style w:type="paragraph" w:customStyle="1" w:styleId="51">
    <w:name w:val="样式11"/>
    <w:basedOn w:val="2"/>
    <w:qFormat/>
    <w:uiPriority w:val="0"/>
    <w:pPr>
      <w:spacing w:before="0" w:after="0"/>
    </w:pPr>
    <w:rPr>
      <w:rFonts w:hAnsi="宋体"/>
      <w:b w:val="0"/>
      <w:bCs w:val="0"/>
      <w:sz w:val="24"/>
      <w:szCs w:val="24"/>
    </w:rPr>
  </w:style>
  <w:style w:type="paragraph" w:customStyle="1" w:styleId="52">
    <w:name w:val="样式2"/>
    <w:basedOn w:val="1"/>
    <w:qFormat/>
    <w:uiPriority w:val="0"/>
    <w:pPr>
      <w:snapToGrid w:val="0"/>
      <w:spacing w:line="480" w:lineRule="exact"/>
      <w:ind w:firstLine="470" w:firstLineChars="196"/>
    </w:pPr>
    <w:rPr>
      <w:sz w:val="24"/>
      <w:szCs w:val="20"/>
    </w:rPr>
  </w:style>
  <w:style w:type="character" w:customStyle="1" w:styleId="53">
    <w:name w:val="标题 2 Char"/>
    <w:basedOn w:val="33"/>
    <w:link w:val="3"/>
    <w:semiHidden/>
    <w:qFormat/>
    <w:uiPriority w:val="9"/>
    <w:rPr>
      <w:rFonts w:ascii="Cambria" w:hAnsi="Cambria" w:eastAsia="宋体" w:cs="Times New Roman"/>
      <w:b/>
      <w:bCs/>
      <w:kern w:val="2"/>
      <w:sz w:val="32"/>
      <w:szCs w:val="32"/>
    </w:rPr>
  </w:style>
  <w:style w:type="paragraph" w:customStyle="1" w:styleId="54">
    <w:name w:val="样式4"/>
    <w:basedOn w:val="1"/>
    <w:qFormat/>
    <w:uiPriority w:val="0"/>
    <w:pPr>
      <w:keepNext/>
      <w:keepLines/>
      <w:spacing w:line="360" w:lineRule="auto"/>
      <w:ind w:firstLine="200" w:firstLineChars="200"/>
      <w:outlineLvl w:val="1"/>
    </w:pPr>
    <w:rPr>
      <w:rFonts w:hAnsi="宋体"/>
      <w:bCs/>
      <w:color w:val="000000"/>
      <w:sz w:val="28"/>
      <w:szCs w:val="28"/>
    </w:rPr>
  </w:style>
  <w:style w:type="paragraph" w:customStyle="1" w:styleId="55">
    <w:name w:val="样式5"/>
    <w:basedOn w:val="1"/>
    <w:qFormat/>
    <w:uiPriority w:val="0"/>
    <w:pPr>
      <w:keepNext/>
      <w:keepLines/>
      <w:spacing w:before="120" w:after="120" w:line="416" w:lineRule="auto"/>
      <w:ind w:left="210" w:leftChars="100" w:right="100" w:rightChars="100"/>
      <w:outlineLvl w:val="1"/>
    </w:pPr>
    <w:rPr>
      <w:rFonts w:ascii="Cambria" w:hAnsi="Cambria"/>
      <w:bCs/>
      <w:sz w:val="28"/>
      <w:szCs w:val="28"/>
    </w:rPr>
  </w:style>
  <w:style w:type="character" w:customStyle="1" w:styleId="56">
    <w:name w:val="标题 1 Char"/>
    <w:basedOn w:val="33"/>
    <w:link w:val="2"/>
    <w:qFormat/>
    <w:uiPriority w:val="9"/>
    <w:rPr>
      <w:rFonts w:ascii="Times New Roman" w:hAnsi="Times New Roman"/>
      <w:b/>
      <w:bCs/>
      <w:kern w:val="44"/>
      <w:sz w:val="44"/>
      <w:szCs w:val="44"/>
    </w:rPr>
  </w:style>
  <w:style w:type="paragraph" w:customStyle="1" w:styleId="57">
    <w:name w:val="样式13"/>
    <w:basedOn w:val="2"/>
    <w:qFormat/>
    <w:uiPriority w:val="0"/>
    <w:pPr>
      <w:spacing w:before="0" w:after="0"/>
    </w:pPr>
    <w:rPr>
      <w:rFonts w:hAnsi="宋体"/>
      <w:b w:val="0"/>
      <w:bCs w:val="0"/>
      <w:sz w:val="24"/>
      <w:szCs w:val="24"/>
    </w:rPr>
  </w:style>
  <w:style w:type="paragraph" w:customStyle="1" w:styleId="58">
    <w:name w:val="样式15"/>
    <w:basedOn w:val="3"/>
    <w:qFormat/>
    <w:uiPriority w:val="0"/>
    <w:pPr>
      <w:spacing w:before="0" w:after="0"/>
    </w:pPr>
    <w:rPr>
      <w:rFonts w:ascii="Times New Roman" w:hAnsi="宋体"/>
      <w:bCs w:val="0"/>
      <w:sz w:val="24"/>
      <w:szCs w:val="24"/>
    </w:rPr>
  </w:style>
  <w:style w:type="paragraph" w:customStyle="1" w:styleId="59">
    <w:name w:val="样式16"/>
    <w:basedOn w:val="2"/>
    <w:qFormat/>
    <w:uiPriority w:val="0"/>
    <w:pPr>
      <w:spacing w:before="0" w:after="0"/>
    </w:pPr>
    <w:rPr>
      <w:rFonts w:hAnsi="宋体"/>
      <w:b w:val="0"/>
      <w:sz w:val="24"/>
      <w:szCs w:val="24"/>
    </w:rPr>
  </w:style>
  <w:style w:type="paragraph" w:customStyle="1" w:styleId="60">
    <w:name w:val="样式17"/>
    <w:basedOn w:val="2"/>
    <w:qFormat/>
    <w:uiPriority w:val="0"/>
    <w:pPr>
      <w:spacing w:before="0" w:after="0"/>
    </w:pPr>
    <w:rPr>
      <w:rFonts w:hAnsi="宋体"/>
      <w:b w:val="0"/>
      <w:sz w:val="24"/>
      <w:szCs w:val="24"/>
    </w:rPr>
  </w:style>
  <w:style w:type="paragraph" w:customStyle="1" w:styleId="61">
    <w:name w:val="样式18"/>
    <w:basedOn w:val="2"/>
    <w:qFormat/>
    <w:uiPriority w:val="0"/>
    <w:pPr>
      <w:spacing w:before="0" w:after="0"/>
    </w:pPr>
    <w:rPr>
      <w:rFonts w:hAnsi="宋体"/>
      <w:b w:val="0"/>
      <w:bCs w:val="0"/>
      <w:sz w:val="24"/>
      <w:szCs w:val="24"/>
    </w:rPr>
  </w:style>
  <w:style w:type="paragraph" w:customStyle="1" w:styleId="62">
    <w:name w:val="样式19"/>
    <w:basedOn w:val="2"/>
    <w:qFormat/>
    <w:uiPriority w:val="0"/>
    <w:pPr>
      <w:spacing w:before="0" w:after="0"/>
    </w:pPr>
    <w:rPr>
      <w:rFonts w:hAnsi="宋体"/>
      <w:b w:val="0"/>
      <w:bCs w:val="0"/>
      <w:sz w:val="24"/>
      <w:szCs w:val="24"/>
    </w:rPr>
  </w:style>
  <w:style w:type="paragraph" w:customStyle="1" w:styleId="63">
    <w:name w:val="样式20"/>
    <w:basedOn w:val="2"/>
    <w:qFormat/>
    <w:uiPriority w:val="0"/>
    <w:pPr>
      <w:spacing w:before="0" w:after="0"/>
    </w:pPr>
    <w:rPr>
      <w:rFonts w:hAnsi="宋体"/>
      <w:b w:val="0"/>
      <w:bCs w:val="0"/>
      <w:sz w:val="24"/>
      <w:szCs w:val="24"/>
    </w:rPr>
  </w:style>
  <w:style w:type="paragraph" w:customStyle="1" w:styleId="64">
    <w:name w:val="样式22"/>
    <w:basedOn w:val="2"/>
    <w:qFormat/>
    <w:uiPriority w:val="0"/>
    <w:pPr>
      <w:spacing w:before="0" w:after="0"/>
      <w:jc w:val="center"/>
    </w:pPr>
    <w:rPr>
      <w:rFonts w:hAnsi="宋体"/>
      <w:bCs w:val="0"/>
      <w:color w:val="000000"/>
      <w:sz w:val="24"/>
      <w:szCs w:val="24"/>
    </w:rPr>
  </w:style>
  <w:style w:type="character" w:customStyle="1" w:styleId="65">
    <w:name w:val="页眉 Char"/>
    <w:basedOn w:val="33"/>
    <w:link w:val="19"/>
    <w:semiHidden/>
    <w:qFormat/>
    <w:uiPriority w:val="99"/>
    <w:rPr>
      <w:rFonts w:ascii="Times New Roman" w:hAnsi="Times New Roman"/>
      <w:kern w:val="2"/>
      <w:sz w:val="18"/>
      <w:szCs w:val="18"/>
    </w:rPr>
  </w:style>
  <w:style w:type="character" w:customStyle="1" w:styleId="66">
    <w:name w:val="页脚 Char"/>
    <w:basedOn w:val="33"/>
    <w:link w:val="18"/>
    <w:qFormat/>
    <w:uiPriority w:val="99"/>
    <w:rPr>
      <w:rFonts w:ascii="Times New Roman" w:hAnsi="Times New Roman"/>
      <w:kern w:val="2"/>
      <w:sz w:val="18"/>
      <w:szCs w:val="18"/>
    </w:rPr>
  </w:style>
  <w:style w:type="character" w:customStyle="1" w:styleId="67">
    <w:name w:val="fontstyle01"/>
    <w:basedOn w:val="33"/>
    <w:qFormat/>
    <w:uiPriority w:val="0"/>
    <w:rPr>
      <w:rFonts w:hint="eastAsia" w:ascii="宋体" w:hAnsi="宋体" w:eastAsia="宋体"/>
      <w:color w:val="000000"/>
      <w:sz w:val="24"/>
      <w:szCs w:val="24"/>
    </w:rPr>
  </w:style>
  <w:style w:type="character" w:customStyle="1" w:styleId="68">
    <w:name w:val="fontstyle21"/>
    <w:basedOn w:val="33"/>
    <w:qFormat/>
    <w:uiPriority w:val="0"/>
    <w:rPr>
      <w:rFonts w:hint="default" w:ascii="TimesNewRomanPSMT" w:hAnsi="TimesNewRomanPSMT"/>
      <w:color w:val="000000"/>
      <w:sz w:val="24"/>
      <w:szCs w:val="24"/>
    </w:rPr>
  </w:style>
  <w:style w:type="character" w:customStyle="1" w:styleId="69">
    <w:name w:val="批注框文本 Char"/>
    <w:basedOn w:val="33"/>
    <w:link w:val="17"/>
    <w:semiHidden/>
    <w:qFormat/>
    <w:uiPriority w:val="99"/>
    <w:rPr>
      <w:rFonts w:ascii="Times New Roman" w:hAnsi="Times New Roman"/>
      <w:kern w:val="2"/>
      <w:sz w:val="18"/>
      <w:szCs w:val="18"/>
    </w:rPr>
  </w:style>
  <w:style w:type="character" w:customStyle="1" w:styleId="70">
    <w:name w:val="fontstyle11"/>
    <w:basedOn w:val="33"/>
    <w:qFormat/>
    <w:uiPriority w:val="0"/>
    <w:rPr>
      <w:rFonts w:hint="eastAsia" w:ascii="宋体" w:hAnsi="宋体" w:eastAsia="宋体"/>
      <w:color w:val="000000"/>
      <w:sz w:val="22"/>
      <w:szCs w:val="22"/>
    </w:rPr>
  </w:style>
  <w:style w:type="paragraph" w:customStyle="1" w:styleId="71">
    <w:name w:val="TOC 标题1"/>
    <w:basedOn w:val="2"/>
    <w:next w:val="1"/>
    <w:unhideWhenUsed/>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72">
    <w:name w:val="样式14"/>
    <w:basedOn w:val="3"/>
    <w:qFormat/>
    <w:uiPriority w:val="0"/>
    <w:pPr>
      <w:spacing w:before="0" w:after="0" w:line="360" w:lineRule="auto"/>
    </w:pPr>
    <w:rPr>
      <w:rFonts w:ascii="Times New Roman" w:hAnsi="Times New Roman"/>
      <w:b w:val="0"/>
      <w:sz w:val="24"/>
    </w:rPr>
  </w:style>
  <w:style w:type="paragraph" w:customStyle="1" w:styleId="73">
    <w:name w:val="样式23"/>
    <w:basedOn w:val="3"/>
    <w:qFormat/>
    <w:uiPriority w:val="0"/>
    <w:pPr>
      <w:spacing w:before="0" w:after="0"/>
    </w:pPr>
    <w:rPr>
      <w:rFonts w:ascii="Times New Roman" w:hAnsi="Times New Roman"/>
      <w:sz w:val="24"/>
    </w:rPr>
  </w:style>
  <w:style w:type="paragraph" w:customStyle="1" w:styleId="74">
    <w:name w:val="样式24"/>
    <w:basedOn w:val="73"/>
    <w:qFormat/>
    <w:uiPriority w:val="0"/>
  </w:style>
  <w:style w:type="paragraph" w:customStyle="1" w:styleId="75">
    <w:name w:val="样式25"/>
    <w:basedOn w:val="2"/>
    <w:qFormat/>
    <w:uiPriority w:val="0"/>
    <w:pPr>
      <w:spacing w:before="0" w:after="0"/>
    </w:pPr>
    <w:rPr>
      <w:sz w:val="28"/>
      <w:szCs w:val="28"/>
    </w:rPr>
  </w:style>
  <w:style w:type="paragraph" w:customStyle="1" w:styleId="76">
    <w:name w:val="样式26"/>
    <w:basedOn w:val="1"/>
    <w:qFormat/>
    <w:uiPriority w:val="0"/>
    <w:pPr>
      <w:spacing w:line="360" w:lineRule="auto"/>
      <w:ind w:firstLine="480" w:firstLineChars="200"/>
    </w:pPr>
    <w:rPr>
      <w:rFonts w:hAnsi="宋体"/>
      <w:bCs/>
      <w:sz w:val="24"/>
    </w:rPr>
  </w:style>
  <w:style w:type="paragraph" w:customStyle="1" w:styleId="77">
    <w:name w:val="样式27"/>
    <w:basedOn w:val="1"/>
    <w:qFormat/>
    <w:uiPriority w:val="0"/>
    <w:pPr>
      <w:spacing w:line="360" w:lineRule="auto"/>
      <w:ind w:firstLine="480" w:firstLineChars="200"/>
    </w:pPr>
    <w:rPr>
      <w:rFonts w:hAnsi="宋体"/>
      <w:bCs/>
      <w:sz w:val="24"/>
    </w:rPr>
  </w:style>
  <w:style w:type="paragraph" w:customStyle="1" w:styleId="78">
    <w:name w:val="样式28"/>
    <w:basedOn w:val="40"/>
    <w:qFormat/>
    <w:uiPriority w:val="0"/>
    <w:pPr>
      <w:ind w:firstLine="0" w:firstLineChars="0"/>
      <w:jc w:val="center"/>
      <w:outlineLvl w:val="0"/>
    </w:pPr>
    <w:rPr>
      <w:b/>
      <w:bCs/>
      <w:color w:val="000000"/>
      <w:sz w:val="28"/>
      <w:szCs w:val="28"/>
    </w:rPr>
  </w:style>
  <w:style w:type="paragraph" w:customStyle="1" w:styleId="79">
    <w:name w:val="样式30"/>
    <w:basedOn w:val="1"/>
    <w:qFormat/>
    <w:uiPriority w:val="0"/>
    <w:pPr>
      <w:spacing w:line="360" w:lineRule="auto"/>
      <w:ind w:firstLine="480" w:firstLineChars="200"/>
    </w:pPr>
    <w:rPr>
      <w:rFonts w:hAnsi="宋体"/>
      <w:sz w:val="24"/>
    </w:rPr>
  </w:style>
  <w:style w:type="paragraph" w:customStyle="1" w:styleId="80">
    <w:name w:val="样式31"/>
    <w:basedOn w:val="3"/>
    <w:qFormat/>
    <w:uiPriority w:val="0"/>
    <w:pPr>
      <w:spacing w:before="0" w:after="0"/>
    </w:pPr>
    <w:rPr>
      <w:rFonts w:ascii="Times New Roman" w:hAnsi="Times New Roman"/>
      <w:sz w:val="24"/>
    </w:rPr>
  </w:style>
  <w:style w:type="paragraph" w:customStyle="1" w:styleId="81">
    <w:name w:val="样式32"/>
    <w:basedOn w:val="3"/>
    <w:qFormat/>
    <w:uiPriority w:val="0"/>
    <w:pPr>
      <w:spacing w:before="0" w:after="0"/>
    </w:pPr>
    <w:rPr>
      <w:rFonts w:ascii="Times New Roman" w:hAnsi="Times New Roman"/>
      <w:sz w:val="24"/>
    </w:rPr>
  </w:style>
  <w:style w:type="paragraph" w:customStyle="1" w:styleId="82">
    <w:name w:val="样式33"/>
    <w:basedOn w:val="3"/>
    <w:qFormat/>
    <w:uiPriority w:val="0"/>
    <w:pPr>
      <w:spacing w:before="0" w:after="0"/>
    </w:pPr>
    <w:rPr>
      <w:rFonts w:ascii="Times New Roman" w:hAnsi="Times New Roman"/>
      <w:b w:val="0"/>
      <w:sz w:val="24"/>
    </w:rPr>
  </w:style>
  <w:style w:type="paragraph" w:customStyle="1" w:styleId="83">
    <w:name w:val="样式34"/>
    <w:basedOn w:val="2"/>
    <w:qFormat/>
    <w:uiPriority w:val="0"/>
    <w:pPr>
      <w:spacing w:before="0" w:after="0"/>
    </w:pPr>
    <w:rPr>
      <w:sz w:val="28"/>
      <w:szCs w:val="28"/>
    </w:rPr>
  </w:style>
  <w:style w:type="paragraph" w:customStyle="1" w:styleId="84">
    <w:name w:val="样式36"/>
    <w:basedOn w:val="3"/>
    <w:qFormat/>
    <w:uiPriority w:val="0"/>
    <w:pPr>
      <w:spacing w:before="0" w:after="0"/>
    </w:pPr>
    <w:rPr>
      <w:rFonts w:ascii="Times New Roman" w:hAnsi="Times New Roman"/>
      <w:b w:val="0"/>
      <w:sz w:val="24"/>
    </w:rPr>
  </w:style>
  <w:style w:type="paragraph" w:customStyle="1" w:styleId="85">
    <w:name w:val="样式37"/>
    <w:basedOn w:val="3"/>
    <w:qFormat/>
    <w:uiPriority w:val="0"/>
    <w:pPr>
      <w:spacing w:before="0" w:after="0"/>
    </w:pPr>
    <w:rPr>
      <w:rFonts w:ascii="Times New Roman" w:hAnsi="Times New Roman"/>
      <w:sz w:val="24"/>
    </w:rPr>
  </w:style>
  <w:style w:type="paragraph" w:customStyle="1" w:styleId="86">
    <w:name w:val="样式38"/>
    <w:basedOn w:val="40"/>
    <w:qFormat/>
    <w:uiPriority w:val="0"/>
    <w:pPr>
      <w:ind w:firstLine="0" w:firstLineChars="0"/>
      <w:jc w:val="center"/>
      <w:outlineLvl w:val="0"/>
    </w:pPr>
    <w:rPr>
      <w:color w:val="000000"/>
      <w:sz w:val="28"/>
      <w:szCs w:val="28"/>
    </w:rPr>
  </w:style>
  <w:style w:type="character" w:customStyle="1" w:styleId="87">
    <w:name w:val="标题 3 Char"/>
    <w:basedOn w:val="33"/>
    <w:link w:val="4"/>
    <w:semiHidden/>
    <w:qFormat/>
    <w:uiPriority w:val="9"/>
    <w:rPr>
      <w:rFonts w:ascii="Times New Roman" w:hAnsi="Times New Roman"/>
      <w:b/>
      <w:bCs/>
      <w:kern w:val="2"/>
      <w:sz w:val="32"/>
      <w:szCs w:val="32"/>
    </w:rPr>
  </w:style>
  <w:style w:type="paragraph" w:customStyle="1" w:styleId="88">
    <w:name w:val="样式39"/>
    <w:basedOn w:val="2"/>
    <w:qFormat/>
    <w:uiPriority w:val="0"/>
    <w:pPr>
      <w:spacing w:before="0" w:after="0"/>
      <w:jc w:val="center"/>
    </w:pPr>
    <w:rPr>
      <w:sz w:val="28"/>
      <w:szCs w:val="28"/>
    </w:rPr>
  </w:style>
  <w:style w:type="paragraph" w:customStyle="1" w:styleId="89">
    <w:name w:val="样式40"/>
    <w:basedOn w:val="2"/>
    <w:qFormat/>
    <w:uiPriority w:val="0"/>
    <w:pPr>
      <w:spacing w:before="0" w:after="0"/>
      <w:jc w:val="center"/>
    </w:pPr>
    <w:rPr>
      <w:color w:val="000000"/>
      <w:sz w:val="28"/>
      <w:szCs w:val="28"/>
    </w:rPr>
  </w:style>
  <w:style w:type="paragraph" w:customStyle="1" w:styleId="90">
    <w:name w:val="样式41"/>
    <w:basedOn w:val="2"/>
    <w:qFormat/>
    <w:uiPriority w:val="0"/>
    <w:pPr>
      <w:spacing w:before="0" w:after="0"/>
      <w:jc w:val="center"/>
    </w:pPr>
    <w:rPr>
      <w:sz w:val="28"/>
      <w:szCs w:val="28"/>
    </w:rPr>
  </w:style>
  <w:style w:type="paragraph" w:customStyle="1" w:styleId="91">
    <w:name w:val="样式42"/>
    <w:basedOn w:val="2"/>
    <w:qFormat/>
    <w:uiPriority w:val="0"/>
    <w:pPr>
      <w:spacing w:before="0" w:after="0"/>
      <w:jc w:val="left"/>
    </w:pPr>
    <w:rPr>
      <w:color w:val="000000"/>
      <w:sz w:val="28"/>
      <w:szCs w:val="28"/>
    </w:rPr>
  </w:style>
  <w:style w:type="paragraph" w:customStyle="1" w:styleId="92">
    <w:name w:val="样式43"/>
    <w:basedOn w:val="2"/>
    <w:qFormat/>
    <w:uiPriority w:val="0"/>
    <w:pPr>
      <w:spacing w:before="0" w:after="0"/>
      <w:jc w:val="center"/>
    </w:pPr>
    <w:rPr>
      <w:sz w:val="28"/>
      <w:szCs w:val="28"/>
    </w:rPr>
  </w:style>
  <w:style w:type="paragraph" w:customStyle="1" w:styleId="93">
    <w:name w:val="样式44"/>
    <w:basedOn w:val="2"/>
    <w:qFormat/>
    <w:uiPriority w:val="0"/>
    <w:pPr>
      <w:spacing w:before="0" w:after="0"/>
      <w:jc w:val="center"/>
    </w:pPr>
    <w:rPr>
      <w:color w:val="000000"/>
      <w:sz w:val="28"/>
      <w:szCs w:val="28"/>
    </w:rPr>
  </w:style>
  <w:style w:type="paragraph" w:customStyle="1" w:styleId="94">
    <w:name w:val="样式45"/>
    <w:basedOn w:val="2"/>
    <w:qFormat/>
    <w:uiPriority w:val="0"/>
    <w:pPr>
      <w:spacing w:before="0" w:after="0"/>
      <w:jc w:val="center"/>
    </w:pPr>
    <w:rPr>
      <w:sz w:val="28"/>
      <w:szCs w:val="28"/>
    </w:rPr>
  </w:style>
  <w:style w:type="paragraph" w:customStyle="1" w:styleId="95">
    <w:name w:val="样式46"/>
    <w:basedOn w:val="91"/>
    <w:qFormat/>
    <w:uiPriority w:val="0"/>
    <w:pPr>
      <w:jc w:val="center"/>
    </w:pPr>
  </w:style>
  <w:style w:type="character" w:customStyle="1" w:styleId="96">
    <w:name w:val="正文文本 Char"/>
    <w:basedOn w:val="33"/>
    <w:link w:val="10"/>
    <w:qFormat/>
    <w:uiPriority w:val="0"/>
    <w:rPr>
      <w:rFonts w:ascii="宋体" w:hAnsi="宋体" w:cs="宋体"/>
      <w:kern w:val="2"/>
      <w:sz w:val="24"/>
      <w:szCs w:val="24"/>
    </w:rPr>
  </w:style>
  <w:style w:type="character" w:customStyle="1" w:styleId="97">
    <w:name w:val="纯文本 Char2"/>
    <w:basedOn w:val="33"/>
    <w:link w:val="98"/>
    <w:qFormat/>
    <w:uiPriority w:val="0"/>
    <w:rPr>
      <w:rFonts w:ascii="仿宋_GB2312" w:hAnsi="Arial Black" w:eastAsia="仿宋_GB2312"/>
      <w:kern w:val="44"/>
      <w:sz w:val="24"/>
    </w:rPr>
  </w:style>
  <w:style w:type="paragraph" w:customStyle="1" w:styleId="98">
    <w:name w:val="表格文字"/>
    <w:basedOn w:val="1"/>
    <w:link w:val="97"/>
    <w:qFormat/>
    <w:uiPriority w:val="0"/>
    <w:pPr>
      <w:adjustRightInd w:val="0"/>
      <w:snapToGrid w:val="0"/>
      <w:jc w:val="center"/>
    </w:pPr>
    <w:rPr>
      <w:rFonts w:ascii="仿宋_GB2312" w:hAnsi="Arial Black" w:eastAsia="仿宋_GB2312"/>
      <w:kern w:val="44"/>
      <w:sz w:val="24"/>
      <w:szCs w:val="20"/>
    </w:rPr>
  </w:style>
  <w:style w:type="character" w:customStyle="1" w:styleId="99">
    <w:name w:val="正文文本缩进 Char"/>
    <w:basedOn w:val="33"/>
    <w:link w:val="12"/>
    <w:qFormat/>
    <w:uiPriority w:val="0"/>
    <w:rPr>
      <w:sz w:val="22"/>
      <w:szCs w:val="22"/>
      <w:lang w:eastAsia="en-US"/>
    </w:rPr>
  </w:style>
  <w:style w:type="character" w:customStyle="1" w:styleId="100">
    <w:name w:val="正文文本缩进 Char1"/>
    <w:basedOn w:val="33"/>
    <w:link w:val="12"/>
    <w:semiHidden/>
    <w:qFormat/>
    <w:uiPriority w:val="99"/>
    <w:rPr>
      <w:rFonts w:ascii="Times New Roman" w:hAnsi="Times New Roman"/>
      <w:kern w:val="2"/>
      <w:sz w:val="21"/>
      <w:szCs w:val="24"/>
    </w:rPr>
  </w:style>
  <w:style w:type="paragraph" w:customStyle="1" w:styleId="101">
    <w:name w:val="1正文段落"/>
    <w:basedOn w:val="1"/>
    <w:qFormat/>
    <w:uiPriority w:val="0"/>
    <w:pPr>
      <w:adjustRightInd w:val="0"/>
      <w:snapToGrid w:val="0"/>
      <w:spacing w:line="360" w:lineRule="auto"/>
      <w:ind w:firstLine="480" w:firstLineChars="200"/>
      <w:jc w:val="left"/>
    </w:pPr>
    <w:rPr>
      <w:snapToGrid w:val="0"/>
      <w:kern w:val="0"/>
      <w:szCs w:val="21"/>
    </w:rPr>
  </w:style>
  <w:style w:type="character" w:customStyle="1" w:styleId="102">
    <w:name w:val="批注文字 Char"/>
    <w:basedOn w:val="33"/>
    <w:link w:val="8"/>
    <w:semiHidden/>
    <w:qFormat/>
    <w:uiPriority w:val="99"/>
    <w:rPr>
      <w:rFonts w:ascii="Times New Roman" w:hAnsi="Times New Roman"/>
      <w:kern w:val="2"/>
      <w:sz w:val="21"/>
      <w:szCs w:val="24"/>
    </w:rPr>
  </w:style>
  <w:style w:type="character" w:customStyle="1" w:styleId="103">
    <w:name w:val="批注主题 Char"/>
    <w:basedOn w:val="102"/>
    <w:link w:val="28"/>
    <w:semiHidden/>
    <w:qFormat/>
    <w:uiPriority w:val="99"/>
    <w:rPr>
      <w:b/>
      <w:bCs/>
    </w:rPr>
  </w:style>
  <w:style w:type="character" w:customStyle="1" w:styleId="104">
    <w:name w:val="纯文本 Char"/>
    <w:link w:val="15"/>
    <w:qFormat/>
    <w:locked/>
    <w:uiPriority w:val="99"/>
    <w:rPr>
      <w:rFonts w:ascii="宋体" w:hAnsi="Courier New"/>
      <w:kern w:val="2"/>
      <w:sz w:val="21"/>
    </w:rPr>
  </w:style>
  <w:style w:type="character" w:customStyle="1" w:styleId="105">
    <w:name w:val="纯文本 Char1"/>
    <w:basedOn w:val="33"/>
    <w:link w:val="15"/>
    <w:semiHidden/>
    <w:qFormat/>
    <w:uiPriority w:val="99"/>
    <w:rPr>
      <w:rFonts w:ascii="宋体" w:hAnsi="Courier New" w:cs="Courier New"/>
      <w:kern w:val="2"/>
      <w:sz w:val="21"/>
      <w:szCs w:val="21"/>
    </w:rPr>
  </w:style>
  <w:style w:type="paragraph" w:customStyle="1" w:styleId="106">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107">
    <w:name w:val="标号正文"/>
    <w:basedOn w:val="1"/>
    <w:next w:val="1"/>
    <w:qFormat/>
    <w:uiPriority w:val="0"/>
    <w:pPr>
      <w:tabs>
        <w:tab w:val="left" w:pos="1540"/>
      </w:tabs>
      <w:overflowPunct w:val="0"/>
      <w:snapToGrid w:val="0"/>
      <w:spacing w:line="360" w:lineRule="auto"/>
      <w:ind w:firstLine="1040"/>
      <w:jc w:val="left"/>
    </w:pPr>
    <w:rPr>
      <w:rFonts w:ascii="Arial" w:hAnsi="Arial"/>
      <w:sz w:val="24"/>
      <w:szCs w:val="20"/>
    </w:rPr>
  </w:style>
  <w:style w:type="paragraph" w:customStyle="1" w:styleId="108">
    <w:name w:val="二级标题-gh"/>
    <w:basedOn w:val="1"/>
    <w:qFormat/>
    <w:uiPriority w:val="0"/>
    <w:pPr>
      <w:outlineLvl w:val="1"/>
    </w:pPr>
    <w:rPr>
      <w:b/>
      <w:snapToGrid w:val="0"/>
      <w:color w:val="000000"/>
      <w:kern w:val="0"/>
    </w:rPr>
  </w:style>
  <w:style w:type="paragraph" w:customStyle="1" w:styleId="109">
    <w:name w:val="Other|1"/>
    <w:basedOn w:val="1"/>
    <w:qFormat/>
    <w:uiPriority w:val="0"/>
    <w:rPr>
      <w:rFonts w:ascii="宋体" w:hAnsi="宋体" w:cs="宋体"/>
      <w:sz w:val="15"/>
      <w:szCs w:val="15"/>
      <w:lang w:val="zh-TW" w:eastAsia="zh-TW" w:bidi="zh-TW"/>
    </w:rPr>
  </w:style>
  <w:style w:type="paragraph" w:customStyle="1" w:styleId="110">
    <w:name w:val="Body text|1"/>
    <w:basedOn w:val="1"/>
    <w:qFormat/>
    <w:uiPriority w:val="0"/>
    <w:pPr>
      <w:spacing w:after="160"/>
    </w:pPr>
    <w:rPr>
      <w:rFonts w:ascii="宋体" w:hAnsi="宋体" w:cs="宋体"/>
      <w:lang w:val="zh-TW" w:eastAsia="zh-TW" w:bidi="zh-TW"/>
    </w:rPr>
  </w:style>
  <w:style w:type="paragraph" w:customStyle="1" w:styleId="111">
    <w:name w:val="WPSOffice手动目录 1"/>
    <w:qFormat/>
    <w:uiPriority w:val="0"/>
    <w:rPr>
      <w:rFonts w:ascii="Times New Roman" w:hAnsi="Times New Roman" w:eastAsia="宋体" w:cs="Times New Roman"/>
      <w:lang w:val="en-US" w:eastAsia="zh-CN" w:bidi="ar-SA"/>
    </w:rPr>
  </w:style>
  <w:style w:type="paragraph" w:customStyle="1" w:styleId="112">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113">
    <w:name w:val="Table Paragraph"/>
    <w:basedOn w:val="1"/>
    <w:qFormat/>
    <w:uiPriority w:val="1"/>
    <w:rPr>
      <w:rFonts w:ascii="宋体" w:hAnsi="宋体" w:eastAsia="宋体" w:cs="宋体"/>
      <w:lang w:val="zh-CN" w:eastAsia="zh-CN" w:bidi="zh-CN"/>
    </w:rPr>
  </w:style>
  <w:style w:type="paragraph" w:customStyle="1" w:styleId="114">
    <w:name w:val="表格"/>
    <w:basedOn w:val="1"/>
    <w:qFormat/>
    <w:uiPriority w:val="0"/>
    <w:pPr>
      <w:spacing w:line="360" w:lineRule="exact"/>
      <w:jc w:val="center"/>
    </w:pPr>
    <w:rPr>
      <w:kern w:val="0"/>
      <w:sz w:val="24"/>
    </w:rPr>
  </w:style>
  <w:style w:type="paragraph" w:customStyle="1" w:styleId="115">
    <w:name w:val="！ 正文"/>
    <w:basedOn w:val="1"/>
    <w:qFormat/>
    <w:uiPriority w:val="0"/>
    <w:pPr>
      <w:adjustRightInd w:val="0"/>
      <w:snapToGrid w:val="0"/>
      <w:spacing w:line="360" w:lineRule="auto"/>
      <w:ind w:firstLine="200" w:firstLineChars="200"/>
    </w:pPr>
    <w:rPr>
      <w:sz w:val="24"/>
    </w:rPr>
  </w:style>
  <w:style w:type="paragraph" w:customStyle="1" w:styleId="116">
    <w:name w:val="Table caption|1"/>
    <w:basedOn w:val="1"/>
    <w:qFormat/>
    <w:uiPriority w:val="0"/>
    <w:pPr>
      <w:widowControl w:val="0"/>
      <w:shd w:val="clear" w:color="auto" w:fill="auto"/>
    </w:pPr>
    <w:rPr>
      <w:rFonts w:ascii="宋体" w:hAnsi="宋体" w:eastAsia="宋体" w:cs="宋体"/>
      <w:u w:val="none"/>
      <w:shd w:val="clear" w:color="auto" w:fill="auto"/>
      <w:lang w:val="zh-TW" w:eastAsia="zh-TW" w:bidi="zh-TW"/>
    </w:rPr>
  </w:style>
  <w:style w:type="paragraph" w:customStyle="1" w:styleId="117">
    <w:name w:val="表格T.W"/>
    <w:basedOn w:val="118"/>
    <w:qFormat/>
    <w:uiPriority w:val="0"/>
    <w:pPr>
      <w:jc w:val="center"/>
    </w:pPr>
    <w:rPr>
      <w:rFonts w:eastAsia="楷体"/>
      <w:sz w:val="24"/>
    </w:rPr>
  </w:style>
  <w:style w:type="paragraph" w:customStyle="1" w:styleId="118">
    <w:name w:val="正文h"/>
    <w:basedOn w:val="1"/>
    <w:qFormat/>
    <w:uiPriority w:val="0"/>
    <w:rPr>
      <w:kern w:val="0"/>
    </w:rPr>
  </w:style>
  <w:style w:type="table" w:customStyle="1" w:styleId="119">
    <w:name w:val="Table Normal"/>
    <w:semiHidden/>
    <w:unhideWhenUsed/>
    <w:qFormat/>
    <w:uiPriority w:val="0"/>
    <w:tblPr>
      <w:tblCellMar>
        <w:top w:w="0" w:type="dxa"/>
        <w:left w:w="0" w:type="dxa"/>
        <w:bottom w:w="0" w:type="dxa"/>
        <w:right w:w="0" w:type="dxa"/>
      </w:tblCellMar>
    </w:tblPr>
  </w:style>
  <w:style w:type="paragraph" w:customStyle="1" w:styleId="120">
    <w:name w:val="文本"/>
    <w:basedOn w:val="1"/>
    <w:next w:val="1"/>
    <w:qFormat/>
    <w:uiPriority w:val="0"/>
    <w:pPr>
      <w:autoSpaceDE w:val="0"/>
      <w:autoSpaceDN w:val="0"/>
      <w:ind w:firstLine="480"/>
    </w:pPr>
    <w:rPr>
      <w:szCs w:val="24"/>
      <w:lang w:val="zh-CN"/>
    </w:rPr>
  </w:style>
  <w:style w:type="paragraph" w:customStyle="1" w:styleId="121">
    <w:name w:val="报告表正文"/>
    <w:basedOn w:val="1"/>
    <w:qFormat/>
    <w:uiPriority w:val="99"/>
    <w:pPr>
      <w:spacing w:line="360" w:lineRule="auto"/>
      <w:ind w:firstLine="200"/>
    </w:pPr>
    <w:rPr>
      <w:kern w:val="0"/>
      <w:sz w:val="20"/>
      <w:szCs w:val="20"/>
      <w:lang w:val="zh-CN"/>
    </w:rPr>
  </w:style>
  <w:style w:type="paragraph" w:customStyle="1" w:styleId="122">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123">
    <w:name w:val="0-1封面"/>
    <w:basedOn w:val="1"/>
    <w:qFormat/>
    <w:uiPriority w:val="0"/>
    <w:pPr>
      <w:spacing w:line="360" w:lineRule="auto"/>
      <w:jc w:val="center"/>
    </w:pPr>
    <w:rPr>
      <w:rFonts w:ascii="Times New Roman" w:hAnsi="Times New Roman" w:cs="Times New Roman"/>
      <w:b/>
      <w:sz w:val="48"/>
      <w:szCs w:val="4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5F6016-7501-428E-B2BF-F8C26E6813B3}">
  <ds:schemaRefs/>
</ds:datastoreItem>
</file>

<file path=docProps/app.xml><?xml version="1.0" encoding="utf-8"?>
<Properties xmlns="http://schemas.openxmlformats.org/officeDocument/2006/extended-properties" xmlns:vt="http://schemas.openxmlformats.org/officeDocument/2006/docPropsVTypes">
  <Template>Normal</Template>
  <Company>Www.SangSan.Cn</Company>
  <Pages>53</Pages>
  <Words>25875</Words>
  <Characters>33237</Characters>
  <Lines>77</Lines>
  <Paragraphs>64</Paragraphs>
  <TotalTime>1</TotalTime>
  <ScaleCrop>false</ScaleCrop>
  <LinksUpToDate>false</LinksUpToDate>
  <CharactersWithSpaces>34371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2018-04-03T03:21:00Z</dcterms:created>
  <dc:creator>桑三博客</dc:creator>
  <cp:lastModifiedBy>愿诚董心</cp:lastModifiedBy>
  <cp:lastPrinted>2022-01-12T08:10:00Z</cp:lastPrinted>
  <dcterms:modified xsi:type="dcterms:W3CDTF">2023-10-24T06:51:54Z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B7565EF34BB44B829A2441108790D22A_13</vt:lpwstr>
  </property>
</Properties>
</file>