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C2076B">
      <w:pPr>
        <w:spacing w:line="360" w:lineRule="auto"/>
        <w:jc w:val="center"/>
        <w:rPr>
          <w:rFonts w:hint="default" w:ascii="Times New Roman" w:hAnsi="Times New Roman" w:cs="Times New Roman"/>
          <w:b/>
          <w:sz w:val="40"/>
          <w:szCs w:val="40"/>
          <w:lang w:val="en-US" w:eastAsia="zh-CN"/>
        </w:rPr>
      </w:pPr>
      <w:r>
        <w:rPr>
          <w:rFonts w:hint="default" w:ascii="Times New Roman" w:hAnsi="Times New Roman" w:cs="Times New Roman"/>
          <w:b/>
          <w:sz w:val="40"/>
          <w:szCs w:val="40"/>
          <w:lang w:val="en-US" w:eastAsia="zh-CN"/>
        </w:rPr>
        <w:t>安徽得正新材料科技有限公司</w:t>
      </w:r>
    </w:p>
    <w:p w14:paraId="16C28E0F">
      <w:pPr>
        <w:spacing w:line="360" w:lineRule="auto"/>
        <w:jc w:val="center"/>
        <w:rPr>
          <w:rFonts w:hint="default" w:ascii="Times New Roman" w:hAnsi="Times New Roman" w:cs="Times New Roman"/>
          <w:b/>
          <w:sz w:val="40"/>
          <w:szCs w:val="40"/>
          <w:lang w:val="en-US" w:eastAsia="zh-CN"/>
        </w:rPr>
      </w:pPr>
      <w:r>
        <w:rPr>
          <w:rFonts w:hint="default" w:ascii="Times New Roman" w:hAnsi="Times New Roman" w:cs="Times New Roman"/>
          <w:b/>
          <w:sz w:val="40"/>
          <w:szCs w:val="40"/>
          <w:lang w:val="en-US" w:eastAsia="zh-CN"/>
        </w:rPr>
        <w:t>年产4万吨Bopp胶带项目（阶段性）</w:t>
      </w:r>
    </w:p>
    <w:p w14:paraId="2D29C7E6">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14:paraId="0C6DCE85">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14:paraId="5815DC84">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6</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30</w:t>
      </w:r>
      <w:r>
        <w:rPr>
          <w:rFonts w:hint="default" w:ascii="Times New Roman" w:hAnsi="Times New Roman" w:cs="Times New Roman"/>
          <w:bCs/>
          <w:color w:val="auto"/>
          <w:sz w:val="24"/>
          <w:lang w:eastAsia="zh-CN"/>
        </w:rPr>
        <w:t>日，</w:t>
      </w:r>
      <w:r>
        <w:rPr>
          <w:rFonts w:hint="default" w:ascii="Times New Roman" w:hAnsi="Times New Roman" w:cs="Times New Roman"/>
          <w:bCs/>
          <w:color w:val="auto"/>
          <w:sz w:val="24"/>
          <w:lang w:val="en-US" w:eastAsia="zh-CN"/>
        </w:rPr>
        <w:t>安徽得正新材料科技有限公司</w:t>
      </w:r>
      <w:r>
        <w:rPr>
          <w:rFonts w:hint="eastAsia" w:ascii="Times New Roman" w:hAnsi="Times New Roman" w:cs="Times New Roman"/>
          <w:bCs/>
          <w:sz w:val="24"/>
          <w:lang w:eastAsia="zh-CN"/>
        </w:rPr>
        <w:t>组织召开了</w:t>
      </w:r>
      <w:r>
        <w:rPr>
          <w:rFonts w:hint="eastAsia" w:ascii="Times New Roman" w:hAnsi="Times New Roman" w:cs="Times New Roman"/>
          <w:bCs/>
          <w:sz w:val="24"/>
          <w:lang w:val="en-US" w:eastAsia="zh-CN"/>
        </w:rPr>
        <w:t>年产4万吨Bopp胶带项目（阶段性）</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w:t>
      </w:r>
      <w:r>
        <w:rPr>
          <w:rFonts w:hint="eastAsia" w:ascii="Times New Roman" w:hAnsi="Times New Roman" w:cs="Times New Roman"/>
          <w:bCs/>
          <w:sz w:val="24"/>
          <w:lang w:val="en-US" w:eastAsia="zh-CN"/>
        </w:rPr>
        <w:t>国环检测技术</w:t>
      </w:r>
      <w:r>
        <w:rPr>
          <w:rFonts w:hint="eastAsia" w:ascii="Times New Roman" w:hAnsi="Times New Roman" w:cs="Times New Roman"/>
          <w:bCs/>
          <w:sz w:val="24"/>
          <w:lang w:eastAsia="zh-CN"/>
        </w:rPr>
        <w:t>有限公司、</w:t>
      </w:r>
      <w:r>
        <w:rPr>
          <w:rFonts w:hint="eastAsia" w:ascii="Times New Roman" w:hAnsi="Times New Roman" w:cs="Times New Roman"/>
          <w:bCs/>
          <w:sz w:val="24"/>
          <w:lang w:val="en-US" w:eastAsia="zh-CN"/>
        </w:rPr>
        <w:t>安徽锦环环境科技有限公司</w:t>
      </w:r>
      <w:r>
        <w:rPr>
          <w:rFonts w:hint="eastAsia" w:ascii="Times New Roman" w:hAnsi="Times New Roman" w:cs="Times New Roman"/>
          <w:bCs/>
          <w:sz w:val="24"/>
          <w:lang w:eastAsia="zh-CN"/>
        </w:rPr>
        <w:t>及邀请的</w:t>
      </w:r>
      <w:r>
        <w:rPr>
          <w:rFonts w:hint="eastAsia" w:ascii="Times New Roman" w:hAnsi="Times New Roman" w:cs="Times New Roman"/>
          <w:bCs/>
          <w:sz w:val="24"/>
          <w:lang w:val="en-US" w:eastAsia="zh-CN"/>
        </w:rPr>
        <w:t>3位专家，与会者踏勘了项目现场，听取了建设单位关于项目建设情况的报告和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14:paraId="63B2C72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14:paraId="3910080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14:paraId="39A5A3C0">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2"/>
          <w:sz w:val="24"/>
          <w:szCs w:val="24"/>
          <w:lang w:val="en-US" w:eastAsia="zh-CN" w:bidi="ar-SA"/>
        </w:rPr>
      </w:pPr>
      <w:r>
        <w:rPr>
          <w:rFonts w:hint="default" w:ascii="Times New Roman" w:hAnsi="Times New Roman" w:cs="Times New Roman"/>
          <w:color w:val="auto"/>
          <w:sz w:val="24"/>
          <w:lang w:val="en-US" w:eastAsia="zh-CN"/>
        </w:rPr>
        <w:t>安徽得正新材料科技有限公司租赁六安市得利新型建材有限公司厂房建设本项目，租赁面积为22026m</w:t>
      </w:r>
      <w:r>
        <w:rPr>
          <w:rFonts w:hint="default" w:ascii="Times New Roman" w:hAnsi="Times New Roman" w:cs="Times New Roman"/>
          <w:color w:val="auto"/>
          <w:sz w:val="24"/>
          <w:vertAlign w:val="superscript"/>
          <w:lang w:val="en-US" w:eastAsia="zh-CN"/>
        </w:rPr>
        <w:t>2</w:t>
      </w:r>
      <w:r>
        <w:rPr>
          <w:rFonts w:hint="default" w:ascii="Times New Roman" w:hAnsi="Times New Roman" w:cs="Times New Roman"/>
          <w:color w:val="auto"/>
          <w:sz w:val="24"/>
          <w:lang w:val="en-US" w:eastAsia="zh-CN"/>
        </w:rPr>
        <w:t>，利用租赁企业现有2栋厂房和1栋综合楼，已新建3栋厂房。1#厂房已设置2条1300mm、1条1600mm涂布生产线，4#、5#厂房作为成品仓库，可形成年产Bopp胶带15000吨的产能</w:t>
      </w:r>
      <w:r>
        <w:rPr>
          <w:rFonts w:hint="default" w:ascii="Times New Roman" w:hAnsi="Times New Roman" w:cs="Times New Roman"/>
          <w:color w:val="auto"/>
          <w:kern w:val="2"/>
          <w:sz w:val="24"/>
          <w:szCs w:val="24"/>
          <w:lang w:val="en-US" w:eastAsia="zh-CN" w:bidi="ar-SA"/>
        </w:rPr>
        <w:t>。</w:t>
      </w:r>
    </w:p>
    <w:p w14:paraId="240B9F3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14:paraId="5993CDB7">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b w:val="0"/>
          <w:bCs w:val="0"/>
          <w:spacing w:val="-3"/>
          <w:sz w:val="24"/>
          <w:szCs w:val="24"/>
          <w:lang w:val="en-US" w:eastAsia="zh-CN"/>
        </w:rPr>
      </w:pPr>
      <w:r>
        <w:rPr>
          <w:rFonts w:hint="default" w:ascii="Times New Roman" w:hAnsi="Times New Roman" w:cs="Times New Roman"/>
          <w:sz w:val="24"/>
          <w:szCs w:val="24"/>
          <w:lang w:val="en-US" w:eastAsia="zh-CN"/>
        </w:rPr>
        <w:t>2022年2月，</w:t>
      </w:r>
      <w:r>
        <w:rPr>
          <w:rFonts w:hint="default" w:ascii="Times New Roman" w:hAnsi="Times New Roman" w:cs="Times New Roman"/>
          <w:b w:val="0"/>
          <w:bCs w:val="0"/>
          <w:spacing w:val="-3"/>
          <w:sz w:val="24"/>
          <w:szCs w:val="24"/>
          <w:lang w:val="en-US" w:eastAsia="zh-CN"/>
        </w:rPr>
        <w:t>委托</w:t>
      </w:r>
      <w:r>
        <w:rPr>
          <w:rFonts w:hint="default" w:ascii="Times New Roman" w:hAnsi="Times New Roman" w:eastAsia="宋体" w:cs="Times New Roman"/>
          <w:snapToGrid w:val="0"/>
          <w:color w:val="000000"/>
          <w:spacing w:val="0"/>
          <w:kern w:val="0"/>
          <w:sz w:val="24"/>
          <w:szCs w:val="24"/>
          <w:lang w:eastAsia="zh-CN"/>
        </w:rPr>
        <w:t>安徽晋杰环境工程有限公司</w:t>
      </w:r>
      <w:r>
        <w:rPr>
          <w:rFonts w:hint="default" w:ascii="Times New Roman" w:hAnsi="Times New Roman" w:cs="Times New Roman"/>
          <w:b w:val="0"/>
          <w:bCs w:val="0"/>
          <w:spacing w:val="-3"/>
          <w:sz w:val="24"/>
          <w:szCs w:val="24"/>
          <w:lang w:eastAsia="zh-CN"/>
        </w:rPr>
        <w:t>编制</w:t>
      </w:r>
      <w:r>
        <w:rPr>
          <w:rFonts w:hint="default" w:ascii="Times New Roman" w:hAnsi="Times New Roman" w:eastAsia="宋体" w:cs="Times New Roman"/>
          <w:snapToGrid w:val="0"/>
          <w:color w:val="000000"/>
          <w:spacing w:val="0"/>
          <w:kern w:val="0"/>
          <w:sz w:val="24"/>
          <w:szCs w:val="24"/>
        </w:rPr>
        <w:t>《安徽</w:t>
      </w:r>
      <w:r>
        <w:rPr>
          <w:rFonts w:hint="default"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default" w:ascii="Times New Roman" w:hAnsi="Times New Roman" w:eastAsia="宋体" w:cs="Times New Roman"/>
          <w:snapToGrid w:val="0"/>
          <w:color w:val="000000"/>
          <w:spacing w:val="0"/>
          <w:kern w:val="0"/>
          <w:sz w:val="24"/>
          <w:szCs w:val="24"/>
          <w:lang w:eastAsia="zh-CN"/>
        </w:rPr>
        <w:t>年产</w:t>
      </w:r>
      <w:r>
        <w:rPr>
          <w:rFonts w:hint="default" w:ascii="Times New Roman" w:hAnsi="Times New Roman" w:eastAsia="宋体" w:cs="Times New Roman"/>
          <w:snapToGrid w:val="0"/>
          <w:color w:val="000000"/>
          <w:spacing w:val="0"/>
          <w:kern w:val="0"/>
          <w:sz w:val="24"/>
          <w:szCs w:val="24"/>
          <w:lang w:val="en-US" w:eastAsia="zh-CN"/>
        </w:rPr>
        <w:t>4万吨Bopp胶带项目环境影响报告表</w:t>
      </w:r>
      <w:r>
        <w:rPr>
          <w:rFonts w:hint="default" w:ascii="Times New Roman" w:hAnsi="Times New Roman" w:eastAsia="宋体" w:cs="Times New Roman"/>
          <w:snapToGrid w:val="0"/>
          <w:color w:val="000000"/>
          <w:spacing w:val="0"/>
          <w:kern w:val="0"/>
          <w:sz w:val="24"/>
          <w:szCs w:val="24"/>
        </w:rPr>
        <w:t>》</w:t>
      </w:r>
      <w:r>
        <w:rPr>
          <w:rFonts w:hint="default" w:ascii="Times New Roman" w:hAnsi="Times New Roman" w:cs="Times New Roman"/>
          <w:b w:val="0"/>
          <w:bCs w:val="0"/>
          <w:spacing w:val="-3"/>
          <w:sz w:val="24"/>
          <w:szCs w:val="24"/>
          <w:lang w:eastAsia="zh-CN"/>
        </w:rPr>
        <w:t>，并于</w:t>
      </w:r>
      <w:r>
        <w:rPr>
          <w:rFonts w:hint="default" w:ascii="Times New Roman" w:hAnsi="Times New Roman" w:cs="Times New Roman"/>
          <w:sz w:val="24"/>
          <w:szCs w:val="24"/>
          <w:lang w:val="en-US" w:eastAsia="zh-CN"/>
        </w:rPr>
        <w:t>2022年9月2</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lang w:val="en-US" w:eastAsia="zh-CN"/>
        </w:rPr>
        <w:t>日</w:t>
      </w:r>
      <w:r>
        <w:rPr>
          <w:rFonts w:hint="default" w:ascii="Times New Roman" w:hAnsi="Times New Roman" w:cs="Times New Roman"/>
          <w:b w:val="0"/>
          <w:bCs w:val="0"/>
          <w:spacing w:val="-3"/>
          <w:sz w:val="24"/>
          <w:szCs w:val="24"/>
        </w:rPr>
        <w:t>取得</w:t>
      </w:r>
      <w:r>
        <w:rPr>
          <w:rFonts w:hint="default" w:ascii="Times New Roman" w:hAnsi="Times New Roman" w:eastAsia="宋体" w:cs="Times New Roman"/>
          <w:snapToGrid w:val="0"/>
          <w:color w:val="000000"/>
          <w:spacing w:val="0"/>
          <w:kern w:val="0"/>
          <w:sz w:val="24"/>
          <w:szCs w:val="24"/>
        </w:rPr>
        <w:t>六安市</w:t>
      </w:r>
      <w:r>
        <w:rPr>
          <w:rFonts w:hint="default" w:ascii="Times New Roman" w:hAnsi="Times New Roman" w:eastAsia="宋体" w:cs="Times New Roman"/>
          <w:snapToGrid w:val="0"/>
          <w:color w:val="000000"/>
          <w:spacing w:val="0"/>
          <w:kern w:val="0"/>
          <w:sz w:val="24"/>
          <w:szCs w:val="24"/>
          <w:lang w:eastAsia="zh-CN"/>
        </w:rPr>
        <w:t>金安区</w:t>
      </w:r>
      <w:r>
        <w:rPr>
          <w:rFonts w:hint="default" w:ascii="Times New Roman" w:hAnsi="Times New Roman" w:eastAsia="宋体" w:cs="Times New Roman"/>
          <w:snapToGrid w:val="0"/>
          <w:color w:val="000000"/>
          <w:spacing w:val="0"/>
          <w:kern w:val="0"/>
          <w:sz w:val="24"/>
          <w:szCs w:val="24"/>
        </w:rPr>
        <w:t>生态环境分局《</w:t>
      </w:r>
      <w:r>
        <w:rPr>
          <w:rFonts w:hint="default" w:ascii="Times New Roman" w:hAnsi="Times New Roman" w:eastAsia="宋体" w:cs="Times New Roman"/>
          <w:snapToGrid w:val="0"/>
          <w:color w:val="000000"/>
          <w:spacing w:val="0"/>
          <w:kern w:val="0"/>
          <w:sz w:val="24"/>
          <w:szCs w:val="24"/>
          <w:lang w:val="en-US" w:eastAsia="zh-CN"/>
        </w:rPr>
        <w:t>安徽得正新材料科技有限公司年产4万吨Bopp胶带项目环境影响报告表</w:t>
      </w:r>
      <w:r>
        <w:rPr>
          <w:rFonts w:hint="default" w:ascii="Times New Roman" w:hAnsi="Times New Roman" w:eastAsia="宋体" w:cs="Times New Roman"/>
          <w:snapToGrid w:val="0"/>
          <w:color w:val="000000"/>
          <w:spacing w:val="0"/>
          <w:kern w:val="0"/>
          <w:sz w:val="24"/>
          <w:szCs w:val="24"/>
        </w:rPr>
        <w:t>的批复》</w:t>
      </w:r>
      <w:r>
        <w:rPr>
          <w:rFonts w:hint="default" w:ascii="Times New Roman" w:hAnsi="Times New Roman" w:eastAsia="宋体" w:cs="Times New Roman"/>
          <w:snapToGrid w:val="0"/>
          <w:color w:val="000000"/>
          <w:spacing w:val="0"/>
          <w:kern w:val="0"/>
          <w:sz w:val="24"/>
          <w:szCs w:val="24"/>
          <w:lang w:eastAsia="zh-CN"/>
        </w:rPr>
        <w:t>（金环管</w:t>
      </w:r>
      <w:r>
        <w:rPr>
          <w:rFonts w:hint="default" w:ascii="Times New Roman" w:hAnsi="Times New Roman" w:eastAsia="宋体" w:cs="Times New Roman"/>
          <w:b w:val="0"/>
          <w:bCs/>
          <w:color w:val="auto"/>
          <w:kern w:val="2"/>
          <w:sz w:val="24"/>
          <w:szCs w:val="24"/>
          <w:lang w:val="en-US" w:eastAsia="zh-CN" w:bidi="ar-SA"/>
        </w:rPr>
        <w:t>〔2022〕</w:t>
      </w:r>
      <w:r>
        <w:rPr>
          <w:rFonts w:hint="default" w:ascii="Times New Roman" w:hAnsi="Times New Roman" w:eastAsia="宋体" w:cs="Times New Roman"/>
          <w:snapToGrid w:val="0"/>
          <w:color w:val="000000"/>
          <w:spacing w:val="0"/>
          <w:kern w:val="0"/>
          <w:sz w:val="24"/>
          <w:szCs w:val="24"/>
          <w:lang w:val="en-US" w:eastAsia="zh-CN"/>
        </w:rPr>
        <w:t>37</w:t>
      </w:r>
      <w:r>
        <w:rPr>
          <w:rFonts w:hint="default" w:ascii="Times New Roman" w:hAnsi="Times New Roman" w:eastAsia="宋体" w:cs="Times New Roman"/>
          <w:snapToGrid w:val="0"/>
          <w:color w:val="000000"/>
          <w:spacing w:val="0"/>
          <w:kern w:val="0"/>
          <w:sz w:val="24"/>
          <w:szCs w:val="24"/>
        </w:rPr>
        <w:t>号</w:t>
      </w:r>
      <w:r>
        <w:rPr>
          <w:rFonts w:hint="default" w:ascii="Times New Roman" w:hAnsi="Times New Roman" w:eastAsia="宋体" w:cs="Times New Roman"/>
          <w:snapToGrid w:val="0"/>
          <w:color w:val="000000"/>
          <w:spacing w:val="0"/>
          <w:kern w:val="0"/>
          <w:sz w:val="24"/>
          <w:szCs w:val="24"/>
          <w:lang w:eastAsia="zh-CN"/>
        </w:rPr>
        <w:t>）</w:t>
      </w:r>
      <w:r>
        <w:rPr>
          <w:rFonts w:hint="default" w:ascii="Times New Roman" w:hAnsi="Times New Roman" w:cs="Times New Roman"/>
          <w:b w:val="0"/>
          <w:bCs w:val="0"/>
          <w:spacing w:val="-3"/>
          <w:sz w:val="24"/>
          <w:szCs w:val="24"/>
          <w:lang w:eastAsia="zh-CN"/>
        </w:rPr>
        <w:t>。</w:t>
      </w:r>
      <w:r>
        <w:rPr>
          <w:rFonts w:hint="default" w:ascii="Times New Roman" w:hAnsi="Times New Roman" w:cs="Times New Roman"/>
          <w:b w:val="0"/>
          <w:bCs w:val="0"/>
          <w:spacing w:val="-3"/>
          <w:sz w:val="24"/>
          <w:szCs w:val="24"/>
          <w:lang w:val="en-US" w:eastAsia="zh-CN"/>
        </w:rPr>
        <w:t>2022年10月开工，于2024年4月开始调试。</w:t>
      </w:r>
    </w:p>
    <w:p w14:paraId="5E95F017">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14:paraId="1017792B">
      <w:pPr>
        <w:keepNext w:val="0"/>
        <w:keepLines w:val="0"/>
        <w:pageBreakBefore w:val="0"/>
        <w:widowControl/>
        <w:kinsoku/>
        <w:wordWrap/>
        <w:overflowPunct/>
        <w:topLinePunct w:val="0"/>
        <w:autoSpaceDE/>
        <w:autoSpaceDN/>
        <w:bidi w:val="0"/>
        <w:adjustRightInd/>
        <w:snapToGrid/>
        <w:spacing w:line="360" w:lineRule="auto"/>
        <w:ind w:firstLine="468" w:firstLineChars="200"/>
        <w:jc w:val="both"/>
        <w:textAlignment w:val="auto"/>
        <w:rPr>
          <w:rFonts w:hint="default" w:ascii="Times New Roman" w:hAnsi="Times New Roman" w:eastAsia="宋体" w:cs="Times New Roman"/>
          <w:b w:val="0"/>
          <w:bCs/>
          <w:color w:val="000000"/>
          <w:sz w:val="24"/>
          <w:szCs w:val="24"/>
        </w:rPr>
      </w:pPr>
      <w:r>
        <w:rPr>
          <w:rFonts w:hint="eastAsia" w:ascii="Times New Roman" w:hAnsi="Times New Roman" w:cs="Times New Roman"/>
          <w:b w:val="0"/>
          <w:bCs w:val="0"/>
          <w:spacing w:val="-3"/>
          <w:sz w:val="24"/>
          <w:lang w:eastAsia="zh-CN"/>
        </w:rPr>
        <w:t>总投资</w:t>
      </w:r>
      <w:r>
        <w:rPr>
          <w:rFonts w:hint="eastAsia" w:ascii="Times New Roman" w:hAnsi="Times New Roman" w:cs="Times New Roman"/>
          <w:b w:val="0"/>
          <w:bCs w:val="0"/>
          <w:spacing w:val="-3"/>
          <w:sz w:val="24"/>
          <w:lang w:val="en-US" w:eastAsia="zh-CN"/>
        </w:rPr>
        <w:t>6000</w:t>
      </w:r>
      <w:r>
        <w:rPr>
          <w:rFonts w:hint="eastAsia" w:ascii="Times New Roman" w:hAnsi="Times New Roman" w:cs="Times New Roman"/>
          <w:b w:val="0"/>
          <w:bCs w:val="0"/>
          <w:spacing w:val="-3"/>
          <w:sz w:val="24"/>
          <w:lang w:eastAsia="zh-CN"/>
        </w:rPr>
        <w:t>万元，环保投资</w:t>
      </w:r>
      <w:r>
        <w:rPr>
          <w:rFonts w:hint="eastAsia" w:ascii="Times New Roman" w:hAnsi="Times New Roman" w:cs="Times New Roman"/>
          <w:b w:val="0"/>
          <w:bCs w:val="0"/>
          <w:spacing w:val="-3"/>
          <w:sz w:val="24"/>
          <w:lang w:val="en-US" w:eastAsia="zh-CN"/>
        </w:rPr>
        <w:t>175万元</w:t>
      </w:r>
      <w:r>
        <w:rPr>
          <w:rFonts w:hint="default" w:ascii="Times New Roman" w:hAnsi="Times New Roman" w:cs="Times New Roman"/>
          <w:b w:val="0"/>
          <w:bCs w:val="0"/>
          <w:spacing w:val="-3"/>
          <w:sz w:val="24"/>
        </w:rPr>
        <w:t>，占总投资的</w:t>
      </w:r>
      <w:r>
        <w:rPr>
          <w:rFonts w:hint="eastAsia" w:ascii="Times New Roman" w:hAnsi="Times New Roman" w:cs="Times New Roman"/>
          <w:b w:val="0"/>
          <w:bCs w:val="0"/>
          <w:spacing w:val="-3"/>
          <w:sz w:val="24"/>
          <w:lang w:val="en-US" w:eastAsia="zh-CN"/>
        </w:rPr>
        <w:t>2.92</w:t>
      </w:r>
      <w:r>
        <w:rPr>
          <w:rFonts w:hint="default" w:ascii="Times New Roman" w:hAnsi="Times New Roman" w:cs="Times New Roman"/>
          <w:b w:val="0"/>
          <w:bCs w:val="0"/>
          <w:spacing w:val="-3"/>
          <w:sz w:val="24"/>
        </w:rPr>
        <w:t>%。</w:t>
      </w:r>
    </w:p>
    <w:p w14:paraId="57A405B1">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14:paraId="374882D1">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sz w:val="24"/>
          <w:szCs w:val="24"/>
          <w:lang w:val="en-US" w:eastAsia="zh-CN"/>
        </w:rPr>
      </w:pPr>
      <w:r>
        <w:rPr>
          <w:rFonts w:hint="eastAsia" w:ascii="Times New Roman" w:hAnsi="Times New Roman"/>
          <w:sz w:val="24"/>
          <w:szCs w:val="24"/>
          <w:lang w:val="en-US" w:eastAsia="zh-CN"/>
        </w:rPr>
        <w:t>环评要求：</w:t>
      </w:r>
      <w:r>
        <w:rPr>
          <w:rFonts w:hint="eastAsia" w:ascii="宋体" w:hAnsi="宋体" w:eastAsia="宋体" w:cs="宋体"/>
          <w:color w:val="000000"/>
          <w:kern w:val="0"/>
          <w:sz w:val="24"/>
          <w:szCs w:val="24"/>
          <w:lang w:val="en-US" w:eastAsia="zh-CN" w:bidi="ar"/>
        </w:rPr>
        <w:t>污水中废气冷凝水、废气处理废水、地面保洁废水、印刷清洗废水（絮凝沉淀预处理后）经厂区污水处理站处理，生活废水经化粪池预处理后与蒸汽冷凝水、纯水制备浓水一同接入市政污水管网，经东部新城污水处理厂处理达到后排入淠河。污水处理站处理工艺：</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格栅</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调节池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混凝沉淀池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缺氧池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好氧池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二沉池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清水池</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，处理规模：</w:t>
      </w:r>
      <w:r>
        <w:rPr>
          <w:rFonts w:hint="default" w:ascii="Times New Roman" w:hAnsi="Times New Roman" w:eastAsia="宋体" w:cs="Times New Roman"/>
          <w:color w:val="000000"/>
          <w:kern w:val="0"/>
          <w:sz w:val="24"/>
          <w:szCs w:val="24"/>
          <w:lang w:val="en-US" w:eastAsia="zh-CN" w:bidi="ar"/>
        </w:rPr>
        <w:t>20m</w:t>
      </w:r>
      <w:r>
        <w:rPr>
          <w:rFonts w:hint="eastAsia"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w:t>
      </w:r>
      <w:r>
        <w:rPr>
          <w:rFonts w:hint="eastAsia" w:ascii="Times New Roman" w:hAnsi="Times New Roman" w:cs="Times New Roman"/>
          <w:color w:val="000000"/>
          <w:kern w:val="0"/>
          <w:sz w:val="24"/>
          <w:szCs w:val="24"/>
          <w:lang w:val="en-US" w:eastAsia="zh-CN" w:bidi="ar"/>
        </w:rPr>
        <w:t>。</w:t>
      </w:r>
    </w:p>
    <w:p w14:paraId="7A16C8B4">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lang w:val="en-US" w:eastAsia="zh-CN"/>
        </w:rPr>
      </w:pPr>
      <w:r>
        <w:rPr>
          <w:rFonts w:hint="eastAsia" w:ascii="Times New Roman" w:hAnsi="Times New Roman"/>
          <w:sz w:val="24"/>
          <w:szCs w:val="24"/>
          <w:lang w:val="en-US" w:eastAsia="zh-CN"/>
        </w:rPr>
        <w:t>实际情况：水喷淋塔水循环使用，定期补充，不外排；地面保洁采用保洁车，保洁用水全部挥发，无保洁废水产生；纯水制备浓水、蒸汽冷凝水直接排放至污水管网；现场无生产废水产生，故无须建设污水处理站；生活污水经厂区化粪池处理后接入污水管网，排入东部新城污水处理厂。</w:t>
      </w:r>
    </w:p>
    <w:p w14:paraId="144A39EB">
      <w:pPr>
        <w:pStyle w:val="6"/>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eastAsia" w:ascii="Times New Roman" w:hAnsi="Times New Roman" w:cs="Times New Roman"/>
          <w:color w:val="auto"/>
          <w:sz w:val="24"/>
          <w:szCs w:val="24"/>
          <w:lang w:val="en-US" w:eastAsia="zh-CN"/>
        </w:rPr>
        <w:t>本项目不存在重大项目变动，</w:t>
      </w:r>
      <w:r>
        <w:rPr>
          <w:rFonts w:hint="default" w:ascii="Times New Roman" w:hAnsi="Times New Roman" w:eastAsia="宋体" w:cs="Times New Roman"/>
          <w:color w:val="auto"/>
          <w:sz w:val="24"/>
          <w:szCs w:val="24"/>
        </w:rPr>
        <w:t>根据《建设项目环境保护管理条例》本项目满足验收条件。</w:t>
      </w:r>
    </w:p>
    <w:p w14:paraId="177E8DF8">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14:paraId="6B4A86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14:paraId="66F25A05">
      <w:pPr>
        <w:keepNext w:val="0"/>
        <w:keepLines w:val="0"/>
        <w:pageBreakBefore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eastAsia="宋体"/>
          <w:sz w:val="24"/>
          <w:szCs w:val="24"/>
          <w:lang w:val="en-US" w:eastAsia="zh-CN"/>
        </w:rPr>
      </w:pPr>
      <w:r>
        <w:rPr>
          <w:b w:val="0"/>
          <w:bCs/>
          <w:sz w:val="24"/>
          <w:szCs w:val="24"/>
        </w:rPr>
        <w:t>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rFonts w:hint="eastAsia"/>
          <w:b w:val="0"/>
          <w:bCs/>
          <w:sz w:val="24"/>
          <w:szCs w:val="24"/>
          <w:lang w:val="en-US" w:eastAsia="zh-CN"/>
        </w:rPr>
        <w:t>水喷淋塔水循环使用，定期补充，不外排；地面保洁采用保洁车，保洁用水全部挥发，无保洁废水产生；纯水制备浓水、蒸汽冷凝水直接排放至污水管网；现场无生产废水产生，故无须建设污水处理站；生活污水经厂区化粪池处理后接入污水管网，排入东部新城污水处理厂</w:t>
      </w:r>
      <w:r>
        <w:rPr>
          <w:rFonts w:hint="eastAsia" w:ascii="Times New Roman" w:hAnsi="Times New Roman" w:eastAsia="宋体" w:cs="Times New Roman"/>
          <w:color w:val="auto"/>
          <w:sz w:val="24"/>
          <w:lang w:eastAsia="zh-CN"/>
        </w:rPr>
        <w:t>。</w:t>
      </w:r>
    </w:p>
    <w:p w14:paraId="49B69B09">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14:paraId="52CB97D5">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000000"/>
          <w:kern w:val="0"/>
          <w:sz w:val="24"/>
          <w:szCs w:val="24"/>
          <w:lang w:val="en-US" w:eastAsia="zh-CN" w:bidi="ar"/>
        </w:rPr>
      </w:pPr>
      <w:r>
        <w:rPr>
          <w:rFonts w:hint="default" w:ascii="Times New Roman" w:hAnsi="Times New Roman" w:eastAsia="宋体" w:cs="Times New Roman"/>
          <w:b w:val="0"/>
          <w:bCs/>
          <w:color w:val="000000"/>
          <w:kern w:val="0"/>
          <w:sz w:val="24"/>
          <w:szCs w:val="24"/>
          <w:lang w:val="en-US" w:eastAsia="zh-CN" w:bidi="ar"/>
        </w:rPr>
        <w:t>废气主要为胶水制备废气</w:t>
      </w:r>
      <w:r>
        <w:rPr>
          <w:rFonts w:hint="default" w:ascii="Times New Roman" w:hAnsi="Times New Roman" w:cs="Times New Roman"/>
          <w:b w:val="0"/>
          <w:bCs/>
          <w:color w:val="000000"/>
          <w:kern w:val="0"/>
          <w:sz w:val="24"/>
          <w:szCs w:val="24"/>
          <w:lang w:val="en-US" w:eastAsia="zh-CN" w:bidi="ar"/>
        </w:rPr>
        <w:t>和涂布废气</w:t>
      </w:r>
      <w:r>
        <w:rPr>
          <w:rFonts w:hint="default" w:ascii="Times New Roman" w:hAnsi="Times New Roman" w:eastAsia="宋体" w:cs="Times New Roman"/>
          <w:b w:val="0"/>
          <w:bCs/>
          <w:color w:val="000000"/>
          <w:kern w:val="0"/>
          <w:sz w:val="24"/>
          <w:szCs w:val="24"/>
          <w:lang w:val="en-US" w:eastAsia="zh-CN" w:bidi="ar"/>
        </w:rPr>
        <w:t>。胶水制备废气冷凝后，通过集气罩收集与经集气罩收集后涂布废气、烘干废气经密闭收集后引入1套“水喷淋+除雾器+两级活性炭吸附”处理后经15m高的排气筒DA001排放；</w:t>
      </w:r>
    </w:p>
    <w:p w14:paraId="17C507C2">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14:paraId="75DD7714">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14:paraId="14BD2A1A">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14:paraId="5B163965">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cs="Times New Roman"/>
          <w:color w:val="000000"/>
          <w:sz w:val="24"/>
          <w:szCs w:val="24"/>
          <w:highlight w:val="none"/>
          <w:lang w:val="en-US" w:eastAsia="zh-CN"/>
        </w:rPr>
        <w:t>已设置一般工业固体废物暂存间，建筑面积约20m</w:t>
      </w:r>
      <w:r>
        <w:rPr>
          <w:rFonts w:hint="default" w:ascii="Times New Roman" w:hAnsi="Times New Roman" w:cs="Times New Roman"/>
          <w:color w:val="000000"/>
          <w:sz w:val="24"/>
          <w:szCs w:val="24"/>
          <w:highlight w:val="none"/>
          <w:vertAlign w:val="superscript"/>
          <w:lang w:val="en-US" w:eastAsia="zh-CN"/>
        </w:rPr>
        <w:t>2</w:t>
      </w:r>
      <w:r>
        <w:rPr>
          <w:rFonts w:hint="default" w:ascii="Times New Roman" w:hAnsi="Times New Roman" w:cs="Times New Roman"/>
          <w:color w:val="000000"/>
          <w:sz w:val="24"/>
          <w:szCs w:val="24"/>
          <w:highlight w:val="none"/>
          <w:lang w:val="en-US" w:eastAsia="zh-CN"/>
        </w:rPr>
        <w:t>，位于罐区北侧，</w:t>
      </w:r>
      <w:r>
        <w:rPr>
          <w:rFonts w:hint="default" w:ascii="Times New Roman" w:hAnsi="Times New Roman" w:eastAsia="宋体" w:cs="Times New Roman"/>
          <w:color w:val="000000"/>
          <w:kern w:val="0"/>
          <w:sz w:val="24"/>
          <w:szCs w:val="24"/>
          <w:lang w:val="en-US" w:eastAsia="zh-CN" w:bidi="ar"/>
        </w:rPr>
        <w:t>一般废包装材料、废边角料外售处置；</w:t>
      </w:r>
      <w:r>
        <w:rPr>
          <w:rFonts w:hint="default" w:ascii="Times New Roman" w:hAnsi="Times New Roman" w:cs="Times New Roman"/>
          <w:sz w:val="24"/>
          <w:szCs w:val="24"/>
          <w:lang w:val="en-US" w:eastAsia="zh-CN"/>
        </w:rPr>
        <w:t>已设置危废暂存间，位于罐区北侧，建筑面积约20m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w:t>
      </w:r>
      <w:r>
        <w:rPr>
          <w:rFonts w:hint="default" w:ascii="Times New Roman" w:hAnsi="Times New Roman" w:eastAsia="宋体" w:cs="Times New Roman"/>
          <w:color w:val="000000"/>
          <w:kern w:val="0"/>
          <w:sz w:val="24"/>
          <w:szCs w:val="24"/>
          <w:lang w:val="en-US" w:eastAsia="zh-CN" w:bidi="ar"/>
        </w:rPr>
        <w:t>消泡剂包装桶、危险化学品包装桶、过滤残渣、废活性炭、废润滑油在危险废物暂存间暂存，定期交由有资质单位处置，并于安徽日不落环境科技有限公司签订协议。</w:t>
      </w:r>
    </w:p>
    <w:p w14:paraId="4458698D">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eastAsia="宋体"/>
          <w:b/>
          <w:bCs/>
          <w:sz w:val="24"/>
          <w:szCs w:val="24"/>
        </w:rPr>
      </w:pPr>
      <w:r>
        <w:rPr>
          <w:rFonts w:hint="default" w:eastAsia="宋体"/>
          <w:b/>
          <w:bCs/>
          <w:sz w:val="24"/>
          <w:szCs w:val="24"/>
          <w:lang w:eastAsia="zh-CN"/>
        </w:rPr>
        <w:t>四</w:t>
      </w:r>
      <w:r>
        <w:rPr>
          <w:rFonts w:hint="default" w:eastAsia="宋体"/>
          <w:b/>
          <w:bCs/>
          <w:sz w:val="24"/>
          <w:szCs w:val="24"/>
        </w:rPr>
        <w:t>、环境保护设施调试效果</w:t>
      </w:r>
    </w:p>
    <w:p w14:paraId="035742A9">
      <w:pPr>
        <w:keepNext w:val="0"/>
        <w:keepLines w:val="0"/>
        <w:pageBreakBefore w:val="0"/>
        <w:kinsoku/>
        <w:wordWrap/>
        <w:overflowPunct/>
        <w:topLinePunct w:val="0"/>
        <w:bidi w:val="0"/>
        <w:snapToGrid/>
        <w:spacing w:line="440" w:lineRule="exact"/>
        <w:ind w:firstLine="480" w:firstLineChars="200"/>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cs="Times New Roman"/>
          <w:bCs/>
          <w:sz w:val="24"/>
          <w:szCs w:val="24"/>
        </w:rPr>
        <w:t>1、废气：</w:t>
      </w:r>
      <w:r>
        <w:rPr>
          <w:rFonts w:hint="default" w:ascii="Times New Roman" w:hAnsi="Times New Roman" w:cs="Times New Roman"/>
          <w:sz w:val="24"/>
          <w:szCs w:val="24"/>
          <w:lang w:eastAsia="zh-CN"/>
        </w:rPr>
        <w:t>根据检测报告可知，</w:t>
      </w:r>
      <w:r>
        <w:rPr>
          <w:rFonts w:hint="default" w:ascii="Times New Roman" w:hAnsi="Times New Roman" w:cs="Times New Roman"/>
          <w:sz w:val="24"/>
          <w:szCs w:val="24"/>
        </w:rPr>
        <w:t>在验收监测期间，非甲烷总烃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default" w:ascii="Times New Roman" w:hAnsi="Times New Roman" w:cs="Times New Roman"/>
          <w:sz w:val="24"/>
          <w:szCs w:val="24"/>
          <w:lang w:val="en-US" w:eastAsia="zh-CN"/>
        </w:rPr>
        <w:t>9.32</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出口平均排放速率为1.21</w:t>
      </w:r>
      <w:r>
        <w:rPr>
          <w:rStyle w:val="40"/>
          <w:rFonts w:hint="default" w:ascii="Times New Roman" w:hAnsi="Times New Roman" w:cs="Times New Roman"/>
          <w:sz w:val="24"/>
          <w:szCs w:val="24"/>
          <w:lang w:val="en-US" w:eastAsia="zh-CN" w:bidi="ar"/>
        </w:rPr>
        <w:t>×10</w:t>
      </w:r>
      <w:r>
        <w:rPr>
          <w:rStyle w:val="40"/>
          <w:rFonts w:hint="default" w:ascii="Times New Roman" w:hAnsi="Times New Roman" w:cs="Times New Roman"/>
          <w:sz w:val="24"/>
          <w:szCs w:val="24"/>
          <w:vertAlign w:val="superscript"/>
          <w:lang w:val="en-US" w:eastAsia="zh-CN" w:bidi="ar"/>
        </w:rPr>
        <w:t>-1</w:t>
      </w:r>
      <w:r>
        <w:rPr>
          <w:rStyle w:val="40"/>
          <w:rFonts w:hint="default" w:ascii="Times New Roman" w:hAnsi="Times New Roman" w:cs="Times New Roman"/>
          <w:sz w:val="24"/>
          <w:szCs w:val="24"/>
          <w:vertAlign w:val="baseline"/>
          <w:lang w:val="en-US" w:eastAsia="zh-CN" w:bidi="ar"/>
        </w:rPr>
        <w:t>kg/h、平均处理效率为82.87%，</w:t>
      </w:r>
      <w:r>
        <w:rPr>
          <w:rFonts w:hint="default" w:ascii="Times New Roman" w:hAnsi="Times New Roman" w:cs="Times New Roman"/>
          <w:sz w:val="24"/>
          <w:szCs w:val="24"/>
          <w:lang w:val="en-US" w:eastAsia="zh-CN"/>
        </w:rPr>
        <w:t>满足</w:t>
      </w:r>
      <w:r>
        <w:rPr>
          <w:rFonts w:hint="default" w:ascii="Times New Roman" w:hAnsi="Times New Roman" w:eastAsia="宋体" w:cs="Times New Roman"/>
          <w:color w:val="000000"/>
          <w:kern w:val="0"/>
          <w:sz w:val="24"/>
          <w:szCs w:val="24"/>
          <w:lang w:val="en-US" w:eastAsia="zh-CN" w:bidi="ar"/>
        </w:rPr>
        <w:t>《涂料、油墨及胶粘剂工业大气污染物排放标准》（GB 37824—2019）表2中特别排放限值要求；</w:t>
      </w:r>
      <w:r>
        <w:rPr>
          <w:rFonts w:hint="default" w:ascii="Times New Roman" w:hAnsi="Times New Roman" w:cs="Times New Roman"/>
          <w:sz w:val="24"/>
          <w:szCs w:val="24"/>
        </w:rPr>
        <w:t>非甲烷总烃无组织排放</w:t>
      </w:r>
      <w:r>
        <w:rPr>
          <w:rFonts w:hint="default" w:ascii="Times New Roman" w:hAnsi="Times New Roman" w:cs="Times New Roman"/>
          <w:sz w:val="24"/>
          <w:szCs w:val="24"/>
          <w:lang w:eastAsia="zh-CN"/>
        </w:rPr>
        <w:t>场</w:t>
      </w:r>
      <w:r>
        <w:rPr>
          <w:rFonts w:hint="default" w:ascii="Times New Roman" w:hAnsi="Times New Roman" w:cs="Times New Roman"/>
          <w:sz w:val="24"/>
          <w:szCs w:val="24"/>
        </w:rPr>
        <w:t>界最大浓度值为：</w:t>
      </w:r>
      <w:r>
        <w:rPr>
          <w:rFonts w:hint="default" w:ascii="Times New Roman" w:hAnsi="Times New Roman" w:cs="Times New Roman"/>
          <w:sz w:val="24"/>
          <w:szCs w:val="24"/>
          <w:lang w:val="en-US" w:eastAsia="zh-CN"/>
        </w:rPr>
        <w:t>0.68</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vertAlign w:val="baseline"/>
          <w:lang w:eastAsia="zh-CN"/>
        </w:rPr>
        <w:t>，</w:t>
      </w:r>
      <w:r>
        <w:rPr>
          <w:rFonts w:hint="default" w:ascii="Times New Roman" w:hAnsi="Times New Roman" w:cs="Times New Roman"/>
          <w:sz w:val="24"/>
          <w:szCs w:val="24"/>
          <w:vertAlign w:val="baseline"/>
          <w:lang w:val="en-US" w:eastAsia="zh-CN"/>
        </w:rPr>
        <w:t>满足《大气污染物综合排放标准》（GB16297-1996）表2中无组织废气控制要求</w:t>
      </w:r>
      <w:r>
        <w:rPr>
          <w:rFonts w:hint="default" w:ascii="Times New Roman" w:hAnsi="Times New Roman" w:cs="Times New Roman"/>
          <w:sz w:val="24"/>
          <w:szCs w:val="24"/>
          <w:lang w:eastAsia="zh-CN"/>
        </w:rPr>
        <w:t>；厂区内非甲烷总烃排放</w:t>
      </w:r>
      <w:r>
        <w:rPr>
          <w:rFonts w:hint="default" w:ascii="Times New Roman" w:hAnsi="Times New Roman" w:cs="Times New Roman"/>
          <w:sz w:val="24"/>
          <w:szCs w:val="24"/>
        </w:rPr>
        <w:t>最大浓度值为：</w:t>
      </w:r>
      <w:r>
        <w:rPr>
          <w:rFonts w:hint="default" w:ascii="Times New Roman" w:hAnsi="Times New Roman" w:cs="Times New Roman"/>
          <w:sz w:val="24"/>
          <w:szCs w:val="24"/>
          <w:lang w:val="en-US" w:eastAsia="zh-CN"/>
        </w:rPr>
        <w:t>0.88</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，满足</w:t>
      </w:r>
      <w:r>
        <w:rPr>
          <w:rFonts w:hint="default" w:ascii="Times New Roman" w:hAnsi="Times New Roman" w:cs="Times New Roman"/>
          <w:color w:val="000000"/>
          <w:sz w:val="24"/>
          <w:szCs w:val="24"/>
        </w:rPr>
        <w:t>《挥发性有机物无组织排放控制标准》（GB37822-2019中相关控制要求）</w:t>
      </w:r>
      <w:r>
        <w:rPr>
          <w:rFonts w:hint="default" w:ascii="Times New Roman" w:hAnsi="Times New Roman" w:cs="Times New Roman"/>
          <w:sz w:val="24"/>
          <w:szCs w:val="24"/>
          <w:lang w:eastAsia="zh-CN"/>
        </w:rPr>
        <w:t>；</w:t>
      </w:r>
      <w:r>
        <w:rPr>
          <w:rFonts w:hint="default" w:ascii="Times New Roman" w:hAnsi="Times New Roman" w:cs="Times New Roman"/>
          <w:sz w:val="24"/>
          <w:szCs w:val="24"/>
        </w:rPr>
        <w:t>故本项目非甲烷总烃无组织排放达标</w:t>
      </w:r>
      <w:r>
        <w:rPr>
          <w:rFonts w:hint="default" w:ascii="Times New Roman" w:hAnsi="Times New Roman" w:eastAsia="宋体" w:cs="Times New Roman"/>
          <w:sz w:val="24"/>
          <w:szCs w:val="24"/>
          <w:lang w:eastAsia="zh-CN"/>
        </w:rPr>
        <w:t>。</w:t>
      </w:r>
    </w:p>
    <w:p w14:paraId="4FE44BA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2、噪声：</w:t>
      </w:r>
      <w:r>
        <w:rPr>
          <w:rFonts w:hint="default" w:ascii="Times New Roman" w:hAnsi="Times New Roman" w:eastAsia="宋体" w:cs="Times New Roman"/>
          <w:bCs/>
          <w:kern w:val="0"/>
          <w:sz w:val="24"/>
          <w:szCs w:val="24"/>
          <w:lang w:val="en-US" w:eastAsia="zh-CN" w:bidi="ar-SA"/>
        </w:rPr>
        <w:t>项目四至厂界昼间噪声在61dB（A）-63dB（A）之间，夜间噪声在50.0dB（A）-54.0dB（A）之间。敏感点昼间噪声在51.8dB（A）-52.6dB（A）之间，夜间噪声在41.8dB（A）-46.0dB（A）之间，满足</w:t>
      </w:r>
      <w:r>
        <w:rPr>
          <w:rFonts w:hint="default" w:ascii="Times New Roman" w:hAnsi="Times New Roman" w:cs="Times New Roman"/>
          <w:sz w:val="24"/>
          <w:szCs w:val="24"/>
          <w:lang w:val="en-US" w:eastAsia="zh-CN"/>
        </w:rPr>
        <w:t>《声环境质量标准》（GB3096-2008）中2类区标准。</w:t>
      </w:r>
    </w:p>
    <w:p w14:paraId="20CAE659">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0C0C0C"/>
          <w:sz w:val="24"/>
          <w:szCs w:val="24"/>
        </w:rPr>
      </w:pPr>
      <w:r>
        <w:rPr>
          <w:rFonts w:hint="eastAsia" w:ascii="Times New Roman" w:hAnsi="Times New Roman" w:eastAsia="宋体" w:cs="Times New Roman"/>
          <w:bCs/>
          <w:kern w:val="2"/>
          <w:sz w:val="24"/>
          <w:szCs w:val="24"/>
          <w:lang w:val="en-US" w:eastAsia="zh-CN" w:bidi="ar-SA"/>
        </w:rPr>
        <w:t>3、废水：</w:t>
      </w:r>
      <w:r>
        <w:rPr>
          <w:rFonts w:hint="default" w:ascii="Times New Roman" w:hAnsi="Times New Roman" w:eastAsia="宋体" w:cs="Times New Roman"/>
          <w:color w:val="0C0C0C"/>
          <w:sz w:val="24"/>
          <w:szCs w:val="24"/>
          <w:lang w:val="en-US" w:eastAsia="zh-CN"/>
        </w:rPr>
        <w:t>污水总排口废水</w:t>
      </w:r>
      <w:r>
        <w:rPr>
          <w:rFonts w:hint="default" w:ascii="Times New Roman" w:hAnsi="Times New Roman" w:cs="Times New Roman"/>
          <w:sz w:val="24"/>
          <w:szCs w:val="24"/>
          <w:lang w:val="en-US" w:eastAsia="zh-CN"/>
        </w:rPr>
        <w:t>pH平均排放浓度为7.3（无量纲）、化学需氧量平均排放浓度为45.5mg/L、五日生化需氧量平均排放浓度为16.5mg/L、氨氮平均排放浓度为3.42mg/L、总磷平均排放浓度为0.15mg/L、悬浮物平均排放浓度为7.5mg/L，满足东部新城污水处理厂接管标准</w:t>
      </w:r>
      <w:r>
        <w:rPr>
          <w:rFonts w:hint="default" w:ascii="Times New Roman" w:hAnsi="Times New Roman" w:eastAsia="宋体" w:cs="Times New Roman"/>
          <w:kern w:val="0"/>
          <w:sz w:val="24"/>
          <w:szCs w:val="24"/>
          <w:lang w:val="en-US" w:eastAsia="zh-CN" w:bidi="ar-SA"/>
        </w:rPr>
        <w:t>。</w:t>
      </w:r>
    </w:p>
    <w:p w14:paraId="29103CC6">
      <w:pPr>
        <w:keepNext w:val="0"/>
        <w:keepLines w:val="0"/>
        <w:pageBreakBefore w:val="0"/>
        <w:kinsoku/>
        <w:wordWrap/>
        <w:overflowPunct/>
        <w:topLinePunct w:val="0"/>
        <w:bidi w:val="0"/>
        <w:snapToGrid/>
        <w:spacing w:line="440" w:lineRule="exact"/>
        <w:ind w:firstLine="480" w:firstLineChars="200"/>
        <w:textAlignment w:val="auto"/>
        <w:rPr>
          <w:rFonts w:hint="default" w:ascii="Times New Roman" w:hAnsi="Times New Roman" w:eastAsia="宋体" w:cs="Times New Roman"/>
          <w:bCs/>
          <w:color w:val="0000FF"/>
          <w:kern w:val="0"/>
          <w:sz w:val="24"/>
          <w:szCs w:val="24"/>
          <w:lang w:val="en-US" w:eastAsia="zh-CN" w:bidi="ar-SA"/>
        </w:rPr>
      </w:pPr>
      <w:r>
        <w:rPr>
          <w:rFonts w:hint="eastAsia" w:ascii="Times New Roman" w:hAnsi="Times New Roman" w:cs="Times New Roman"/>
          <w:bCs/>
          <w:kern w:val="2"/>
          <w:sz w:val="24"/>
          <w:szCs w:val="24"/>
          <w:lang w:val="en-US" w:eastAsia="zh-CN" w:bidi="ar-SA"/>
        </w:rPr>
        <w:t>4、固废：</w:t>
      </w:r>
      <w:bookmarkStart w:id="0" w:name="_Toc16263"/>
      <w:bookmarkStart w:id="1" w:name="_Toc512519602"/>
      <w:bookmarkStart w:id="2" w:name="_Toc6969"/>
      <w:r>
        <w:rPr>
          <w:rFonts w:hint="default" w:ascii="Times New Roman" w:hAnsi="Times New Roman" w:cs="Times New Roman"/>
          <w:color w:val="000000"/>
          <w:sz w:val="24"/>
          <w:szCs w:val="24"/>
          <w:highlight w:val="none"/>
          <w:lang w:val="en-US" w:eastAsia="zh-CN"/>
        </w:rPr>
        <w:t>已设置一般工业固体废物暂存间，建筑面积约20m</w:t>
      </w:r>
      <w:r>
        <w:rPr>
          <w:rFonts w:hint="default" w:ascii="Times New Roman" w:hAnsi="Times New Roman" w:cs="Times New Roman"/>
          <w:color w:val="000000"/>
          <w:sz w:val="24"/>
          <w:szCs w:val="24"/>
          <w:highlight w:val="none"/>
          <w:vertAlign w:val="superscript"/>
          <w:lang w:val="en-US" w:eastAsia="zh-CN"/>
        </w:rPr>
        <w:t>2</w:t>
      </w:r>
      <w:r>
        <w:rPr>
          <w:rFonts w:hint="default" w:ascii="Times New Roman" w:hAnsi="Times New Roman" w:cs="Times New Roman"/>
          <w:color w:val="000000"/>
          <w:sz w:val="24"/>
          <w:szCs w:val="24"/>
          <w:highlight w:val="none"/>
          <w:lang w:val="en-US" w:eastAsia="zh-CN"/>
        </w:rPr>
        <w:t>，位于罐区北侧，</w:t>
      </w:r>
      <w:r>
        <w:rPr>
          <w:rFonts w:hint="default" w:ascii="Times New Roman" w:hAnsi="Times New Roman" w:eastAsia="宋体" w:cs="Times New Roman"/>
          <w:color w:val="000000"/>
          <w:kern w:val="0"/>
          <w:sz w:val="24"/>
          <w:szCs w:val="24"/>
          <w:lang w:val="en-US" w:eastAsia="zh-CN" w:bidi="ar"/>
        </w:rPr>
        <w:t>一般废包装材料、废边角料外售处置</w:t>
      </w:r>
      <w:r>
        <w:rPr>
          <w:rFonts w:hint="eastAsia" w:ascii="Times New Roman" w:hAnsi="Times New Roman"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纯水制备使用的反渗透膜交由厂家回收再利用</w:t>
      </w:r>
      <w:r>
        <w:rPr>
          <w:rFonts w:hint="eastAsia" w:ascii="Times New Roman" w:hAnsi="Times New Roman" w:cs="Times New Roman"/>
          <w:color w:val="000000"/>
          <w:kern w:val="0"/>
          <w:sz w:val="24"/>
          <w:szCs w:val="24"/>
          <w:lang w:val="en-US" w:eastAsia="zh-CN" w:bidi="ar"/>
        </w:rPr>
        <w:t>；</w:t>
      </w:r>
      <w:r>
        <w:rPr>
          <w:rFonts w:hint="default" w:ascii="Times New Roman" w:hAnsi="Times New Roman" w:cs="Times New Roman"/>
          <w:sz w:val="24"/>
          <w:szCs w:val="24"/>
          <w:lang w:val="en-US" w:eastAsia="zh-CN"/>
        </w:rPr>
        <w:t>已设置</w:t>
      </w:r>
      <w:r>
        <w:rPr>
          <w:rFonts w:hint="eastAsia" w:ascii="Times New Roman" w:hAnsi="Times New Roman" w:cs="Times New Roman"/>
          <w:sz w:val="24"/>
          <w:szCs w:val="24"/>
          <w:lang w:val="en-US" w:eastAsia="zh-CN"/>
        </w:rPr>
        <w:t>危险废物贮存库</w:t>
      </w:r>
      <w:r>
        <w:rPr>
          <w:rFonts w:hint="default" w:ascii="Times New Roman" w:hAnsi="Times New Roman" w:cs="Times New Roman"/>
          <w:sz w:val="24"/>
          <w:szCs w:val="24"/>
          <w:lang w:val="en-US" w:eastAsia="zh-CN"/>
        </w:rPr>
        <w:t>，位于罐区北侧，建筑面积约20m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w:t>
      </w:r>
      <w:r>
        <w:rPr>
          <w:rFonts w:hint="default" w:ascii="Times New Roman" w:hAnsi="Times New Roman" w:eastAsia="宋体" w:cs="Times New Roman"/>
          <w:color w:val="000000"/>
          <w:kern w:val="0"/>
          <w:sz w:val="24"/>
          <w:szCs w:val="24"/>
          <w:lang w:val="en-US" w:eastAsia="zh-CN" w:bidi="ar"/>
        </w:rPr>
        <w:t>消泡剂包装桶、危险化学品包装桶、过滤残渣、废活性炭、废润滑油在危险废物暂存间暂存，定期交由有资质单位处置，并于</w:t>
      </w:r>
      <w:bookmarkStart w:id="3" w:name="_GoBack"/>
      <w:bookmarkEnd w:id="3"/>
      <w:r>
        <w:rPr>
          <w:rFonts w:hint="default" w:ascii="Times New Roman" w:hAnsi="Times New Roman" w:eastAsia="宋体" w:cs="Times New Roman"/>
          <w:color w:val="000000"/>
          <w:kern w:val="0"/>
          <w:sz w:val="24"/>
          <w:szCs w:val="24"/>
          <w:lang w:val="en-US" w:eastAsia="zh-CN" w:bidi="ar"/>
        </w:rPr>
        <w:t>安徽日不落环境科技有限公司签订协议。</w:t>
      </w:r>
    </w:p>
    <w:bookmarkEnd w:id="0"/>
    <w:bookmarkEnd w:id="1"/>
    <w:bookmarkEnd w:id="2"/>
    <w:p w14:paraId="17D9CDF0">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14:paraId="40D78C18">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，具备了竣工环保验收条件，建议通过竣工环境保护验收。</w:t>
      </w:r>
    </w:p>
    <w:p w14:paraId="7C6D487E">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14:paraId="22C2F658">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14:paraId="5B5922E9">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14:paraId="42F9CFB4">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14:paraId="1D6255D1">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14:paraId="0DB818EE">
      <w:pPr>
        <w:pStyle w:val="6"/>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cs="Times New Roman"/>
          <w:b/>
          <w:bCs/>
          <w:color w:val="auto"/>
          <w:kern w:val="2"/>
          <w:sz w:val="24"/>
          <w:szCs w:val="24"/>
          <w:lang w:val="en-US" w:eastAsia="zh-CN" w:bidi="ar-SA"/>
        </w:rPr>
        <w:t>4</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cs="Times New Roman"/>
          <w:b/>
          <w:bCs/>
          <w:color w:val="auto"/>
          <w:kern w:val="2"/>
          <w:sz w:val="24"/>
          <w:szCs w:val="24"/>
          <w:lang w:val="en-US" w:eastAsia="zh-CN" w:bidi="ar-SA"/>
        </w:rPr>
        <w:t>6</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cs="Times New Roman"/>
          <w:b/>
          <w:bCs/>
          <w:color w:val="auto"/>
          <w:kern w:val="2"/>
          <w:sz w:val="24"/>
          <w:szCs w:val="24"/>
          <w:lang w:val="en-US" w:eastAsia="zh-CN" w:bidi="ar-SA"/>
        </w:rPr>
        <w:t>30</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gyYmJkYTJiMjhjZDFmMDRkYWVjN2NkMzY5MT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31713E0"/>
    <w:rsid w:val="031E5B85"/>
    <w:rsid w:val="032558AB"/>
    <w:rsid w:val="033779AE"/>
    <w:rsid w:val="03457CFC"/>
    <w:rsid w:val="03787B69"/>
    <w:rsid w:val="03895AA0"/>
    <w:rsid w:val="04922339"/>
    <w:rsid w:val="05C328E7"/>
    <w:rsid w:val="05FF6A0E"/>
    <w:rsid w:val="060C4A98"/>
    <w:rsid w:val="06157824"/>
    <w:rsid w:val="06424590"/>
    <w:rsid w:val="06894973"/>
    <w:rsid w:val="06C9653E"/>
    <w:rsid w:val="080C71B4"/>
    <w:rsid w:val="0869623A"/>
    <w:rsid w:val="08B86BF8"/>
    <w:rsid w:val="08CD5DC8"/>
    <w:rsid w:val="090F55D9"/>
    <w:rsid w:val="093435D3"/>
    <w:rsid w:val="09C47E9B"/>
    <w:rsid w:val="0A044FB6"/>
    <w:rsid w:val="0A4F0835"/>
    <w:rsid w:val="0A611B1E"/>
    <w:rsid w:val="0A6838A3"/>
    <w:rsid w:val="0A8A0DEC"/>
    <w:rsid w:val="0AFF3525"/>
    <w:rsid w:val="0B0643BC"/>
    <w:rsid w:val="0BEC4461"/>
    <w:rsid w:val="0C9E08CB"/>
    <w:rsid w:val="0CAD4977"/>
    <w:rsid w:val="0D9A4A13"/>
    <w:rsid w:val="0DFC255F"/>
    <w:rsid w:val="0F010B87"/>
    <w:rsid w:val="0F2521BC"/>
    <w:rsid w:val="0F5F081A"/>
    <w:rsid w:val="10053432"/>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0E0E2A"/>
    <w:rsid w:val="142371A4"/>
    <w:rsid w:val="147E307A"/>
    <w:rsid w:val="14AC792B"/>
    <w:rsid w:val="16F53EA8"/>
    <w:rsid w:val="16F60F71"/>
    <w:rsid w:val="17765C17"/>
    <w:rsid w:val="17895171"/>
    <w:rsid w:val="17D47670"/>
    <w:rsid w:val="19594B59"/>
    <w:rsid w:val="19642DC0"/>
    <w:rsid w:val="1996317F"/>
    <w:rsid w:val="19B763C8"/>
    <w:rsid w:val="1AE84B1D"/>
    <w:rsid w:val="1B07755E"/>
    <w:rsid w:val="1B476717"/>
    <w:rsid w:val="1B9A360D"/>
    <w:rsid w:val="1BC40536"/>
    <w:rsid w:val="1BDB1132"/>
    <w:rsid w:val="1C2A7637"/>
    <w:rsid w:val="1C9E4741"/>
    <w:rsid w:val="1D1A28C3"/>
    <w:rsid w:val="1E2527AC"/>
    <w:rsid w:val="1E5135A1"/>
    <w:rsid w:val="1E6606D1"/>
    <w:rsid w:val="1EBC5A5B"/>
    <w:rsid w:val="1F114ADE"/>
    <w:rsid w:val="1F275F95"/>
    <w:rsid w:val="1F497C89"/>
    <w:rsid w:val="1F767F4B"/>
    <w:rsid w:val="1F980D5B"/>
    <w:rsid w:val="1FA53BA4"/>
    <w:rsid w:val="1FB64BEF"/>
    <w:rsid w:val="1FE04C1E"/>
    <w:rsid w:val="200729BF"/>
    <w:rsid w:val="20607ACB"/>
    <w:rsid w:val="209D0D1F"/>
    <w:rsid w:val="20A248B9"/>
    <w:rsid w:val="20F07544"/>
    <w:rsid w:val="21475E11"/>
    <w:rsid w:val="21655669"/>
    <w:rsid w:val="217F0425"/>
    <w:rsid w:val="226912D5"/>
    <w:rsid w:val="22D622C7"/>
    <w:rsid w:val="23067EE5"/>
    <w:rsid w:val="23E91323"/>
    <w:rsid w:val="252C4420"/>
    <w:rsid w:val="25575222"/>
    <w:rsid w:val="26054E2E"/>
    <w:rsid w:val="261134F9"/>
    <w:rsid w:val="261C0B0A"/>
    <w:rsid w:val="26324060"/>
    <w:rsid w:val="264E03C6"/>
    <w:rsid w:val="268C56AC"/>
    <w:rsid w:val="26CE113B"/>
    <w:rsid w:val="285F68BA"/>
    <w:rsid w:val="287D03CF"/>
    <w:rsid w:val="2892534E"/>
    <w:rsid w:val="2898565F"/>
    <w:rsid w:val="28E55011"/>
    <w:rsid w:val="299B6D2E"/>
    <w:rsid w:val="29B46415"/>
    <w:rsid w:val="2A5323BB"/>
    <w:rsid w:val="2A620CCA"/>
    <w:rsid w:val="2A92112B"/>
    <w:rsid w:val="2B362C3B"/>
    <w:rsid w:val="2B416155"/>
    <w:rsid w:val="2B613280"/>
    <w:rsid w:val="2C623EF3"/>
    <w:rsid w:val="2C7B60D8"/>
    <w:rsid w:val="2CF72479"/>
    <w:rsid w:val="2D2C1294"/>
    <w:rsid w:val="2DA04B7C"/>
    <w:rsid w:val="2DC93154"/>
    <w:rsid w:val="2E065E02"/>
    <w:rsid w:val="2E3B6E31"/>
    <w:rsid w:val="2E606381"/>
    <w:rsid w:val="2EC16732"/>
    <w:rsid w:val="2EFB5E58"/>
    <w:rsid w:val="2F4B28BF"/>
    <w:rsid w:val="2FC36797"/>
    <w:rsid w:val="2FDC4776"/>
    <w:rsid w:val="30421686"/>
    <w:rsid w:val="308C6879"/>
    <w:rsid w:val="30BE17B3"/>
    <w:rsid w:val="31FF0257"/>
    <w:rsid w:val="32D05605"/>
    <w:rsid w:val="32E0127A"/>
    <w:rsid w:val="339A10EE"/>
    <w:rsid w:val="33E252B2"/>
    <w:rsid w:val="33E91AED"/>
    <w:rsid w:val="346D73B8"/>
    <w:rsid w:val="34B76208"/>
    <w:rsid w:val="34CC3529"/>
    <w:rsid w:val="355D45F6"/>
    <w:rsid w:val="355E6EF4"/>
    <w:rsid w:val="35763E42"/>
    <w:rsid w:val="3664694B"/>
    <w:rsid w:val="36743E79"/>
    <w:rsid w:val="36B96138"/>
    <w:rsid w:val="36D3294D"/>
    <w:rsid w:val="37757563"/>
    <w:rsid w:val="37B409D1"/>
    <w:rsid w:val="37DE02EF"/>
    <w:rsid w:val="38136CAE"/>
    <w:rsid w:val="3817416F"/>
    <w:rsid w:val="38763ED8"/>
    <w:rsid w:val="38F2184B"/>
    <w:rsid w:val="3A1206B9"/>
    <w:rsid w:val="3A5E5D9F"/>
    <w:rsid w:val="3A5F71A4"/>
    <w:rsid w:val="3A7F31F0"/>
    <w:rsid w:val="3ACC7DDF"/>
    <w:rsid w:val="3B5B5798"/>
    <w:rsid w:val="3C1232C6"/>
    <w:rsid w:val="3C4452B0"/>
    <w:rsid w:val="3C482453"/>
    <w:rsid w:val="3C5D38AD"/>
    <w:rsid w:val="3C9B5F7C"/>
    <w:rsid w:val="3CFF6827"/>
    <w:rsid w:val="3D2E3D5A"/>
    <w:rsid w:val="3D3721EF"/>
    <w:rsid w:val="3D927F30"/>
    <w:rsid w:val="3DC444BC"/>
    <w:rsid w:val="3DD118A2"/>
    <w:rsid w:val="3E5F25B6"/>
    <w:rsid w:val="3E7D1E9E"/>
    <w:rsid w:val="3E9151AC"/>
    <w:rsid w:val="3F092784"/>
    <w:rsid w:val="3F172905"/>
    <w:rsid w:val="3F83347A"/>
    <w:rsid w:val="3FB46E4E"/>
    <w:rsid w:val="3FE44883"/>
    <w:rsid w:val="3FFC14BE"/>
    <w:rsid w:val="40122AC2"/>
    <w:rsid w:val="40222505"/>
    <w:rsid w:val="408C42EA"/>
    <w:rsid w:val="40C54D99"/>
    <w:rsid w:val="40D44522"/>
    <w:rsid w:val="41BD2F8C"/>
    <w:rsid w:val="4209276A"/>
    <w:rsid w:val="420D38F4"/>
    <w:rsid w:val="425F3C2F"/>
    <w:rsid w:val="42904AAE"/>
    <w:rsid w:val="42B55273"/>
    <w:rsid w:val="43095D37"/>
    <w:rsid w:val="432D2FB8"/>
    <w:rsid w:val="4333000A"/>
    <w:rsid w:val="43543068"/>
    <w:rsid w:val="43D67F21"/>
    <w:rsid w:val="44DD642E"/>
    <w:rsid w:val="45873703"/>
    <w:rsid w:val="463C2A54"/>
    <w:rsid w:val="464A3491"/>
    <w:rsid w:val="46C94F06"/>
    <w:rsid w:val="47124390"/>
    <w:rsid w:val="471D66D3"/>
    <w:rsid w:val="477B1FC1"/>
    <w:rsid w:val="47DE1718"/>
    <w:rsid w:val="498922CE"/>
    <w:rsid w:val="49FD0845"/>
    <w:rsid w:val="4A813F97"/>
    <w:rsid w:val="4AFA7526"/>
    <w:rsid w:val="4B871B00"/>
    <w:rsid w:val="4BB625B4"/>
    <w:rsid w:val="4BCC6B77"/>
    <w:rsid w:val="4C2832E3"/>
    <w:rsid w:val="4C2F5207"/>
    <w:rsid w:val="4C5D7429"/>
    <w:rsid w:val="4C8F2F63"/>
    <w:rsid w:val="4C920C60"/>
    <w:rsid w:val="4CC06A43"/>
    <w:rsid w:val="4CF907DC"/>
    <w:rsid w:val="4D2447BE"/>
    <w:rsid w:val="4E397509"/>
    <w:rsid w:val="4E9F49D3"/>
    <w:rsid w:val="4EA01217"/>
    <w:rsid w:val="4EFC7C45"/>
    <w:rsid w:val="4F35739C"/>
    <w:rsid w:val="4F491B27"/>
    <w:rsid w:val="4FBA6A23"/>
    <w:rsid w:val="50163C6A"/>
    <w:rsid w:val="504C446E"/>
    <w:rsid w:val="513F0D1B"/>
    <w:rsid w:val="514F05E5"/>
    <w:rsid w:val="5164167E"/>
    <w:rsid w:val="51B17D02"/>
    <w:rsid w:val="51BF74C3"/>
    <w:rsid w:val="52565645"/>
    <w:rsid w:val="526112FD"/>
    <w:rsid w:val="527C7EE5"/>
    <w:rsid w:val="52832F44"/>
    <w:rsid w:val="52F64C90"/>
    <w:rsid w:val="52F7756C"/>
    <w:rsid w:val="53C25F60"/>
    <w:rsid w:val="540911E9"/>
    <w:rsid w:val="55592AD2"/>
    <w:rsid w:val="55775FE8"/>
    <w:rsid w:val="5587107B"/>
    <w:rsid w:val="55932B8E"/>
    <w:rsid w:val="55A358F2"/>
    <w:rsid w:val="55B5023A"/>
    <w:rsid w:val="55E93965"/>
    <w:rsid w:val="567C174B"/>
    <w:rsid w:val="570E6DB7"/>
    <w:rsid w:val="57294CE6"/>
    <w:rsid w:val="572E3008"/>
    <w:rsid w:val="57714D3B"/>
    <w:rsid w:val="57AD2BD4"/>
    <w:rsid w:val="57C417B3"/>
    <w:rsid w:val="588A41F7"/>
    <w:rsid w:val="58A75590"/>
    <w:rsid w:val="58AD0256"/>
    <w:rsid w:val="58BC051F"/>
    <w:rsid w:val="58C506B2"/>
    <w:rsid w:val="59022082"/>
    <w:rsid w:val="593E548E"/>
    <w:rsid w:val="59BD4B1E"/>
    <w:rsid w:val="59BE2633"/>
    <w:rsid w:val="5A0D7886"/>
    <w:rsid w:val="5AD3266C"/>
    <w:rsid w:val="5B456234"/>
    <w:rsid w:val="5BF40D7F"/>
    <w:rsid w:val="5C0F3166"/>
    <w:rsid w:val="5C212534"/>
    <w:rsid w:val="5CCA2E60"/>
    <w:rsid w:val="5DDB6767"/>
    <w:rsid w:val="5E455327"/>
    <w:rsid w:val="5EAD4DFB"/>
    <w:rsid w:val="5FE432E2"/>
    <w:rsid w:val="5FEE12AD"/>
    <w:rsid w:val="600A183A"/>
    <w:rsid w:val="600D4872"/>
    <w:rsid w:val="60D04B86"/>
    <w:rsid w:val="60D55C14"/>
    <w:rsid w:val="615F033C"/>
    <w:rsid w:val="61665FE8"/>
    <w:rsid w:val="61867D84"/>
    <w:rsid w:val="619743F4"/>
    <w:rsid w:val="61EB13C1"/>
    <w:rsid w:val="621526C4"/>
    <w:rsid w:val="631D5D54"/>
    <w:rsid w:val="63372B78"/>
    <w:rsid w:val="63954224"/>
    <w:rsid w:val="63BD2610"/>
    <w:rsid w:val="63E43657"/>
    <w:rsid w:val="64140B31"/>
    <w:rsid w:val="645857B2"/>
    <w:rsid w:val="64A76966"/>
    <w:rsid w:val="64E41A84"/>
    <w:rsid w:val="64FF302C"/>
    <w:rsid w:val="651D2E9D"/>
    <w:rsid w:val="65AA43C0"/>
    <w:rsid w:val="65CD2ADA"/>
    <w:rsid w:val="66361340"/>
    <w:rsid w:val="66775637"/>
    <w:rsid w:val="6692162D"/>
    <w:rsid w:val="670A426C"/>
    <w:rsid w:val="67443D5C"/>
    <w:rsid w:val="689F673B"/>
    <w:rsid w:val="69465AD2"/>
    <w:rsid w:val="69611BE9"/>
    <w:rsid w:val="6ABF6769"/>
    <w:rsid w:val="6ADB1E90"/>
    <w:rsid w:val="6B466C79"/>
    <w:rsid w:val="6B96571C"/>
    <w:rsid w:val="6C2D05E5"/>
    <w:rsid w:val="6C8F043D"/>
    <w:rsid w:val="6C9E6DBD"/>
    <w:rsid w:val="6CAB20ED"/>
    <w:rsid w:val="6D07312B"/>
    <w:rsid w:val="6D61711B"/>
    <w:rsid w:val="6D837F22"/>
    <w:rsid w:val="6DD514EF"/>
    <w:rsid w:val="6E48658E"/>
    <w:rsid w:val="6EF93177"/>
    <w:rsid w:val="6F4D508F"/>
    <w:rsid w:val="6F7D2EAC"/>
    <w:rsid w:val="702C2621"/>
    <w:rsid w:val="70365780"/>
    <w:rsid w:val="70904FD7"/>
    <w:rsid w:val="70AE2C81"/>
    <w:rsid w:val="70F84783"/>
    <w:rsid w:val="71040869"/>
    <w:rsid w:val="71821C71"/>
    <w:rsid w:val="728272C5"/>
    <w:rsid w:val="72E50494"/>
    <w:rsid w:val="72E66380"/>
    <w:rsid w:val="72F01B21"/>
    <w:rsid w:val="73003007"/>
    <w:rsid w:val="731D4975"/>
    <w:rsid w:val="73300A89"/>
    <w:rsid w:val="734F0943"/>
    <w:rsid w:val="73781BAB"/>
    <w:rsid w:val="737C6E6A"/>
    <w:rsid w:val="741D5387"/>
    <w:rsid w:val="74B033BE"/>
    <w:rsid w:val="74EB663F"/>
    <w:rsid w:val="750C4CA1"/>
    <w:rsid w:val="754F1A4D"/>
    <w:rsid w:val="75E24F72"/>
    <w:rsid w:val="770B11F1"/>
    <w:rsid w:val="7733241D"/>
    <w:rsid w:val="775A7F45"/>
    <w:rsid w:val="77F20C9D"/>
    <w:rsid w:val="78393FFF"/>
    <w:rsid w:val="788201F0"/>
    <w:rsid w:val="78C902B9"/>
    <w:rsid w:val="79053354"/>
    <w:rsid w:val="7956473D"/>
    <w:rsid w:val="795A0303"/>
    <w:rsid w:val="795E2818"/>
    <w:rsid w:val="799331F3"/>
    <w:rsid w:val="7A005AB3"/>
    <w:rsid w:val="7B027357"/>
    <w:rsid w:val="7BF87D2D"/>
    <w:rsid w:val="7D0F46CE"/>
    <w:rsid w:val="7D523727"/>
    <w:rsid w:val="7DC600E3"/>
    <w:rsid w:val="7DFE4DAE"/>
    <w:rsid w:val="7E867872"/>
    <w:rsid w:val="7E8A6BE4"/>
    <w:rsid w:val="7EB56CC1"/>
    <w:rsid w:val="7F462E74"/>
    <w:rsid w:val="7F553869"/>
    <w:rsid w:val="7F631961"/>
    <w:rsid w:val="7F6C37E1"/>
    <w:rsid w:val="7F8E4C30"/>
    <w:rsid w:val="7FC251D3"/>
    <w:rsid w:val="7FE700C5"/>
    <w:rsid w:val="7FFF5B2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99"/>
  </w:style>
  <w:style w:type="paragraph" w:styleId="4">
    <w:name w:val="Body Text Indent 2"/>
    <w:basedOn w:val="1"/>
    <w:next w:val="2"/>
    <w:qFormat/>
    <w:uiPriority w:val="0"/>
    <w:pPr>
      <w:spacing w:line="500" w:lineRule="exact"/>
      <w:ind w:firstLine="573"/>
    </w:pPr>
    <w:rPr>
      <w:sz w:val="28"/>
    </w:rPr>
  </w:style>
  <w:style w:type="paragraph" w:styleId="5">
    <w:name w:val="Document Map"/>
    <w:basedOn w:val="1"/>
    <w:link w:val="32"/>
    <w:unhideWhenUsed/>
    <w:qFormat/>
    <w:uiPriority w:val="99"/>
    <w:rPr>
      <w:rFonts w:ascii="宋体"/>
      <w:sz w:val="18"/>
      <w:szCs w:val="18"/>
    </w:rPr>
  </w:style>
  <w:style w:type="paragraph" w:styleId="6">
    <w:name w:val="Body Text"/>
    <w:basedOn w:val="1"/>
    <w:next w:val="7"/>
    <w:link w:val="28"/>
    <w:qFormat/>
    <w:uiPriority w:val="99"/>
    <w:rPr>
      <w:sz w:val="24"/>
      <w:szCs w:val="24"/>
    </w:rPr>
  </w:style>
  <w:style w:type="paragraph" w:customStyle="1" w:styleId="7">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8">
    <w:name w:val="Date"/>
    <w:basedOn w:val="1"/>
    <w:next w:val="1"/>
    <w:link w:val="33"/>
    <w:unhideWhenUsed/>
    <w:qFormat/>
    <w:uiPriority w:val="99"/>
    <w:pPr>
      <w:ind w:left="100" w:leftChars="2500"/>
    </w:pPr>
  </w:style>
  <w:style w:type="paragraph" w:styleId="9">
    <w:name w:val="Balloon Text"/>
    <w:basedOn w:val="1"/>
    <w:link w:val="29"/>
    <w:semiHidden/>
    <w:qFormat/>
    <w:uiPriority w:val="99"/>
    <w:rPr>
      <w:sz w:val="18"/>
      <w:szCs w:val="18"/>
    </w:rPr>
  </w:style>
  <w:style w:type="paragraph" w:styleId="10">
    <w:name w:val="footer"/>
    <w:basedOn w:val="1"/>
    <w:link w:val="31"/>
    <w:qFormat/>
    <w:uiPriority w:val="99"/>
    <w:pPr>
      <w:tabs>
        <w:tab w:val="center" w:pos="4153"/>
        <w:tab w:val="right" w:pos="8306"/>
      </w:tabs>
      <w:snapToGrid w:val="0"/>
      <w:jc w:val="left"/>
    </w:pPr>
    <w:rPr>
      <w:sz w:val="18"/>
      <w:szCs w:val="18"/>
    </w:rPr>
  </w:style>
  <w:style w:type="paragraph" w:styleId="11">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bCs/>
    </w:rPr>
  </w:style>
  <w:style w:type="character" w:styleId="17">
    <w:name w:val="page number"/>
    <w:basedOn w:val="15"/>
    <w:qFormat/>
    <w:uiPriority w:val="99"/>
  </w:style>
  <w:style w:type="character" w:styleId="18">
    <w:name w:val="Hyperlink"/>
    <w:basedOn w:val="15"/>
    <w:qFormat/>
    <w:uiPriority w:val="99"/>
    <w:rPr>
      <w:color w:val="0000FF"/>
      <w:u w:val="single"/>
    </w:rPr>
  </w:style>
  <w:style w:type="character" w:styleId="19">
    <w:name w:val="annotation reference"/>
    <w:basedOn w:val="15"/>
    <w:qFormat/>
    <w:uiPriority w:val="0"/>
    <w:rPr>
      <w:sz w:val="21"/>
      <w:szCs w:val="21"/>
    </w:rPr>
  </w:style>
  <w:style w:type="paragraph" w:customStyle="1" w:styleId="20">
    <w:name w:val="Default"/>
    <w:basedOn w:val="21"/>
    <w:next w:val="10"/>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文本"/>
    <w:basedOn w:val="1"/>
    <w:next w:val="1"/>
    <w:qFormat/>
    <w:uiPriority w:val="0"/>
    <w:pPr>
      <w:autoSpaceDE w:val="0"/>
      <w:autoSpaceDN w:val="0"/>
      <w:ind w:firstLine="480"/>
    </w:pPr>
    <w:rPr>
      <w:szCs w:val="24"/>
      <w:lang w:val="zh-CN"/>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1"/>
    <w:qFormat/>
    <w:uiPriority w:val="0"/>
    <w:pPr>
      <w:adjustRightInd w:val="0"/>
      <w:spacing w:line="312" w:lineRule="auto"/>
      <w:ind w:firstLine="567"/>
    </w:pPr>
    <w:rPr>
      <w:rFonts w:ascii="宋体"/>
      <w:kern w:val="0"/>
      <w:sz w:val="28"/>
    </w:rPr>
  </w:style>
  <w:style w:type="paragraph" w:customStyle="1" w:styleId="24">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5">
    <w:name w:val="正文01"/>
    <w:basedOn w:val="1"/>
    <w:qFormat/>
    <w:uiPriority w:val="99"/>
    <w:pPr>
      <w:spacing w:before="60" w:line="460" w:lineRule="exact"/>
      <w:ind w:firstLine="200" w:firstLineChars="200"/>
    </w:pPr>
    <w:rPr>
      <w:sz w:val="24"/>
      <w:szCs w:val="24"/>
    </w:rPr>
  </w:style>
  <w:style w:type="paragraph" w:customStyle="1" w:styleId="26">
    <w:name w:val="普通(网站)1"/>
    <w:basedOn w:val="1"/>
    <w:qFormat/>
    <w:uiPriority w:val="0"/>
    <w:pPr>
      <w:spacing w:beforeAutospacing="1" w:afterAutospacing="1"/>
    </w:pPr>
    <w:rPr>
      <w:rFonts w:ascii="宋体" w:hAnsi="宋体" w:cs="宋体"/>
      <w:sz w:val="24"/>
      <w:szCs w:val="24"/>
    </w:rPr>
  </w:style>
  <w:style w:type="paragraph" w:customStyle="1" w:styleId="27">
    <w:name w:val="p0"/>
    <w:qFormat/>
    <w:uiPriority w:val="0"/>
    <w:rPr>
      <w:rFonts w:ascii="Times New Roman" w:hAnsi="Times New Roman" w:eastAsia="宋体" w:cs="Times New Roman"/>
      <w:szCs w:val="21"/>
      <w:lang w:val="en-US" w:eastAsia="zh-CN" w:bidi="ar-SA"/>
    </w:rPr>
  </w:style>
  <w:style w:type="character" w:customStyle="1" w:styleId="28">
    <w:name w:val="正文文本 Char"/>
    <w:basedOn w:val="15"/>
    <w:link w:val="6"/>
    <w:semiHidden/>
    <w:qFormat/>
    <w:locked/>
    <w:uiPriority w:val="99"/>
    <w:rPr>
      <w:rFonts w:ascii="Calibri" w:hAnsi="Calibri" w:cs="Calibri"/>
      <w:sz w:val="21"/>
      <w:szCs w:val="21"/>
    </w:rPr>
  </w:style>
  <w:style w:type="character" w:customStyle="1" w:styleId="29">
    <w:name w:val="批注框文本 Char"/>
    <w:basedOn w:val="15"/>
    <w:link w:val="9"/>
    <w:semiHidden/>
    <w:qFormat/>
    <w:locked/>
    <w:uiPriority w:val="99"/>
    <w:rPr>
      <w:sz w:val="18"/>
      <w:szCs w:val="18"/>
    </w:rPr>
  </w:style>
  <w:style w:type="character" w:customStyle="1" w:styleId="30">
    <w:name w:val="页眉 Char"/>
    <w:basedOn w:val="15"/>
    <w:link w:val="11"/>
    <w:qFormat/>
    <w:locked/>
    <w:uiPriority w:val="99"/>
    <w:rPr>
      <w:rFonts w:ascii="Calibri" w:hAnsi="Calibri" w:cs="Calibri"/>
      <w:kern w:val="2"/>
      <w:sz w:val="18"/>
      <w:szCs w:val="18"/>
    </w:rPr>
  </w:style>
  <w:style w:type="character" w:customStyle="1" w:styleId="31">
    <w:name w:val="页脚 Char"/>
    <w:basedOn w:val="15"/>
    <w:link w:val="10"/>
    <w:qFormat/>
    <w:locked/>
    <w:uiPriority w:val="99"/>
    <w:rPr>
      <w:rFonts w:ascii="Calibri" w:hAnsi="Calibri" w:cs="Calibri"/>
      <w:kern w:val="2"/>
      <w:sz w:val="18"/>
      <w:szCs w:val="18"/>
    </w:rPr>
  </w:style>
  <w:style w:type="character" w:customStyle="1" w:styleId="32">
    <w:name w:val="文档结构图 Char"/>
    <w:basedOn w:val="15"/>
    <w:link w:val="5"/>
    <w:semiHidden/>
    <w:qFormat/>
    <w:uiPriority w:val="99"/>
    <w:rPr>
      <w:rFonts w:ascii="宋体" w:hAnsi="Calibri" w:cs="Calibri"/>
      <w:kern w:val="2"/>
      <w:sz w:val="18"/>
      <w:szCs w:val="18"/>
    </w:rPr>
  </w:style>
  <w:style w:type="character" w:customStyle="1" w:styleId="33">
    <w:name w:val="日期 Char"/>
    <w:basedOn w:val="15"/>
    <w:link w:val="8"/>
    <w:semiHidden/>
    <w:qFormat/>
    <w:uiPriority w:val="99"/>
    <w:rPr>
      <w:rFonts w:ascii="Calibri" w:hAnsi="Calibri" w:cs="Calibri"/>
      <w:kern w:val="2"/>
      <w:sz w:val="21"/>
      <w:szCs w:val="21"/>
    </w:rPr>
  </w:style>
  <w:style w:type="paragraph" w:styleId="34">
    <w:name w:val="List Paragraph"/>
    <w:basedOn w:val="1"/>
    <w:unhideWhenUsed/>
    <w:qFormat/>
    <w:uiPriority w:val="99"/>
    <w:pPr>
      <w:ind w:firstLine="420" w:firstLineChars="200"/>
    </w:pPr>
  </w:style>
  <w:style w:type="paragraph" w:customStyle="1" w:styleId="35">
    <w:name w:val="报告表正文"/>
    <w:basedOn w:val="1"/>
    <w:qFormat/>
    <w:uiPriority w:val="99"/>
    <w:pPr>
      <w:spacing w:line="360" w:lineRule="auto"/>
      <w:ind w:firstLine="200"/>
    </w:pPr>
    <w:rPr>
      <w:szCs w:val="20"/>
      <w:lang w:val="zh-CN"/>
    </w:rPr>
  </w:style>
  <w:style w:type="paragraph" w:customStyle="1" w:styleId="3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7">
    <w:name w:val="fontstyle01"/>
    <w:basedOn w:val="15"/>
    <w:qFormat/>
    <w:uiPriority w:val="0"/>
    <w:rPr>
      <w:rFonts w:hint="eastAsia" w:ascii="宋体" w:hAnsi="宋体" w:eastAsia="宋体"/>
      <w:color w:val="000000"/>
      <w:sz w:val="24"/>
      <w:szCs w:val="24"/>
    </w:rPr>
  </w:style>
  <w:style w:type="paragraph" w:customStyle="1" w:styleId="38">
    <w:name w:val="样式3"/>
    <w:basedOn w:val="1"/>
    <w:qFormat/>
    <w:uiPriority w:val="0"/>
    <w:pPr>
      <w:widowControl/>
      <w:spacing w:line="360" w:lineRule="auto"/>
      <w:ind w:firstLine="480" w:firstLineChars="200"/>
      <w:jc w:val="left"/>
    </w:pPr>
    <w:rPr>
      <w:kern w:val="0"/>
      <w:sz w:val="24"/>
    </w:rPr>
  </w:style>
  <w:style w:type="paragraph" w:customStyle="1" w:styleId="39">
    <w:name w:val="Table Paragraph"/>
    <w:basedOn w:val="1"/>
    <w:qFormat/>
    <w:uiPriority w:val="1"/>
    <w:pPr>
      <w:jc w:val="center"/>
    </w:pPr>
    <w:rPr>
      <w:rFonts w:ascii="宋体" w:hAnsi="宋体" w:eastAsia="宋体" w:cs="宋体"/>
      <w:lang w:val="zh-CN" w:eastAsia="zh-CN" w:bidi="zh-CN"/>
    </w:rPr>
  </w:style>
  <w:style w:type="character" w:customStyle="1" w:styleId="40">
    <w:name w:val="font21"/>
    <w:basedOn w:val="15"/>
    <w:autoRedefine/>
    <w:qFormat/>
    <w:uiPriority w:val="0"/>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2094</Words>
  <Characters>2353</Characters>
  <Lines>10</Lines>
  <Paragraphs>2</Paragraphs>
  <TotalTime>10</TotalTime>
  <ScaleCrop>false</ScaleCrop>
  <LinksUpToDate>false</LinksUpToDate>
  <CharactersWithSpaces>2354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愿诚董心</cp:lastModifiedBy>
  <cp:lastPrinted>2021-07-21T02:20:00Z</cp:lastPrinted>
  <dcterms:modified xsi:type="dcterms:W3CDTF">2024-07-03T02:17:26Z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5F4824CAEB8241FBB081B33254EFB6C6</vt:lpwstr>
  </property>
</Properties>
</file>