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D65FAC">
      <w:pPr>
        <w:spacing w:line="360" w:lineRule="auto"/>
        <w:jc w:val="center"/>
        <w:rPr>
          <w:rFonts w:hint="default" w:ascii="Times New Roman" w:hAnsi="Times New Roman" w:cs="Times New Roman" w:eastAsiaTheme="minorEastAsia"/>
          <w:color w:val="auto"/>
          <w:sz w:val="28"/>
        </w:rPr>
      </w:pPr>
    </w:p>
    <w:p w14:paraId="6AA2C512">
      <w:pPr>
        <w:spacing w:line="360" w:lineRule="auto"/>
        <w:jc w:val="center"/>
        <w:rPr>
          <w:rFonts w:hint="default" w:ascii="Times New Roman" w:hAnsi="Times New Roman" w:cs="Times New Roman" w:eastAsiaTheme="minorEastAsia"/>
          <w:color w:val="auto"/>
          <w:sz w:val="28"/>
        </w:rPr>
      </w:pPr>
    </w:p>
    <w:p w14:paraId="41CF1361">
      <w:pPr>
        <w:spacing w:line="360" w:lineRule="auto"/>
        <w:jc w:val="center"/>
        <w:rPr>
          <w:rFonts w:hint="default" w:ascii="Times New Roman" w:hAnsi="Times New Roman" w:cs="Times New Roman" w:eastAsiaTheme="minorEastAsia"/>
          <w:color w:val="auto"/>
          <w:sz w:val="28"/>
        </w:rPr>
      </w:pPr>
    </w:p>
    <w:p w14:paraId="1CAB69BA">
      <w:pPr>
        <w:spacing w:line="360" w:lineRule="auto"/>
        <w:jc w:val="center"/>
        <w:rPr>
          <w:rFonts w:hint="default" w:ascii="Times New Roman" w:hAnsi="Times New Roman" w:cs="Times New Roman" w:eastAsiaTheme="minorEastAsia"/>
          <w:color w:val="auto"/>
          <w:sz w:val="36"/>
          <w:szCs w:val="36"/>
        </w:rPr>
      </w:pPr>
    </w:p>
    <w:p w14:paraId="7133FEAF">
      <w:pPr>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u w:val="none"/>
          <w:lang w:eastAsia="zh-CN"/>
        </w:rPr>
        <w:t>舒城润昇门业有限公司</w:t>
      </w:r>
      <w:r>
        <w:rPr>
          <w:rFonts w:hint="eastAsia" w:ascii="宋体" w:hAnsi="宋体" w:eastAsia="宋体" w:cs="宋体"/>
          <w:b/>
          <w:bCs/>
          <w:color w:val="auto"/>
          <w:sz w:val="36"/>
          <w:szCs w:val="36"/>
        </w:rPr>
        <w:t>钢制非标门加工制造项目</w:t>
      </w:r>
    </w:p>
    <w:p w14:paraId="392C3F1B">
      <w:pPr>
        <w:spacing w:line="360" w:lineRule="auto"/>
        <w:jc w:val="center"/>
        <w:rPr>
          <w:rFonts w:hint="eastAsia" w:ascii="宋体" w:hAnsi="宋体" w:eastAsia="宋体" w:cs="宋体"/>
          <w:color w:val="auto"/>
          <w:sz w:val="48"/>
          <w:szCs w:val="48"/>
          <w:lang w:eastAsia="zh-CN"/>
        </w:rPr>
      </w:pPr>
      <w:r>
        <w:rPr>
          <w:rFonts w:hint="eastAsia" w:ascii="宋体" w:hAnsi="宋体" w:eastAsia="宋体" w:cs="宋体"/>
          <w:b/>
          <w:color w:val="auto"/>
          <w:sz w:val="48"/>
          <w:szCs w:val="48"/>
        </w:rPr>
        <w:t>竣工</w:t>
      </w:r>
      <w:r>
        <w:rPr>
          <w:rFonts w:hint="eastAsia" w:ascii="宋体" w:hAnsi="宋体" w:eastAsia="宋体" w:cs="宋体"/>
          <w:b/>
          <w:bCs w:val="0"/>
          <w:color w:val="auto"/>
          <w:sz w:val="48"/>
          <w:szCs w:val="48"/>
        </w:rPr>
        <w:t>环境保护验收</w:t>
      </w:r>
      <w:r>
        <w:rPr>
          <w:rFonts w:hint="eastAsia" w:ascii="宋体" w:hAnsi="宋体" w:cs="宋体"/>
          <w:b/>
          <w:bCs w:val="0"/>
          <w:color w:val="auto"/>
          <w:sz w:val="48"/>
          <w:szCs w:val="48"/>
          <w:lang w:eastAsia="zh-CN"/>
        </w:rPr>
        <w:t>监测</w:t>
      </w:r>
      <w:r>
        <w:rPr>
          <w:rFonts w:hint="eastAsia" w:ascii="宋体" w:hAnsi="宋体" w:eastAsia="宋体" w:cs="宋体"/>
          <w:b/>
          <w:bCs w:val="0"/>
          <w:color w:val="auto"/>
          <w:sz w:val="48"/>
          <w:szCs w:val="48"/>
        </w:rPr>
        <w:t>报告</w:t>
      </w:r>
      <w:r>
        <w:rPr>
          <w:rFonts w:hint="eastAsia"/>
          <w:b/>
          <w:bCs w:val="0"/>
          <w:sz w:val="48"/>
          <w:szCs w:val="48"/>
          <w:lang w:eastAsia="zh-CN"/>
        </w:rPr>
        <w:t>表</w:t>
      </w:r>
    </w:p>
    <w:p w14:paraId="620E2B61">
      <w:pPr>
        <w:spacing w:line="360" w:lineRule="auto"/>
        <w:jc w:val="center"/>
        <w:rPr>
          <w:rFonts w:hint="default" w:ascii="Times New Roman" w:hAnsi="Times New Roman" w:cs="Times New Roman" w:eastAsiaTheme="minorEastAsia"/>
          <w:color w:val="auto"/>
          <w:sz w:val="28"/>
        </w:rPr>
      </w:pPr>
    </w:p>
    <w:p w14:paraId="27C173F1">
      <w:pPr>
        <w:jc w:val="center"/>
        <w:rPr>
          <w:rFonts w:hint="default" w:ascii="Times New Roman" w:hAnsi="Times New Roman" w:cs="Times New Roman" w:eastAsiaTheme="minorEastAsia"/>
          <w:color w:val="auto"/>
          <w:sz w:val="28"/>
        </w:rPr>
      </w:pPr>
    </w:p>
    <w:p w14:paraId="604B3357">
      <w:pPr>
        <w:jc w:val="center"/>
        <w:rPr>
          <w:rFonts w:hint="default" w:ascii="Times New Roman" w:hAnsi="Times New Roman" w:cs="Times New Roman" w:eastAsiaTheme="minorEastAsia"/>
          <w:color w:val="auto"/>
          <w:sz w:val="28"/>
        </w:rPr>
      </w:pPr>
    </w:p>
    <w:p w14:paraId="4E1AAF67">
      <w:pPr>
        <w:jc w:val="center"/>
        <w:rPr>
          <w:rFonts w:hint="default" w:ascii="Times New Roman" w:hAnsi="Times New Roman" w:cs="Times New Roman" w:eastAsiaTheme="minorEastAsia"/>
          <w:color w:val="auto"/>
          <w:sz w:val="28"/>
        </w:rPr>
      </w:pPr>
    </w:p>
    <w:p w14:paraId="3C254A41">
      <w:pPr>
        <w:jc w:val="center"/>
        <w:rPr>
          <w:rFonts w:hint="default" w:ascii="Times New Roman" w:hAnsi="Times New Roman" w:cs="Times New Roman" w:eastAsiaTheme="minorEastAsia"/>
          <w:color w:val="auto"/>
          <w:sz w:val="28"/>
        </w:rPr>
      </w:pPr>
    </w:p>
    <w:p w14:paraId="5183DD40">
      <w:pPr>
        <w:rPr>
          <w:rFonts w:hint="default" w:ascii="Times New Roman" w:hAnsi="Times New Roman" w:cs="Times New Roman" w:eastAsiaTheme="minorEastAsia"/>
          <w:color w:val="auto"/>
          <w:sz w:val="28"/>
        </w:rPr>
      </w:pPr>
    </w:p>
    <w:p w14:paraId="0BE1D3EE">
      <w:pPr>
        <w:rPr>
          <w:rFonts w:hint="eastAsia" w:ascii="Times New Roman" w:hAnsi="Times New Roman" w:cs="Times New Roman" w:eastAsiaTheme="minorEastAsia"/>
          <w:color w:val="auto"/>
          <w:sz w:val="28"/>
          <w:lang w:val="en-US" w:eastAsia="zh-CN"/>
        </w:rPr>
      </w:pPr>
      <w:r>
        <w:rPr>
          <w:rFonts w:hint="default" w:ascii="Times New Roman" w:hAnsi="Times New Roman" w:cs="Times New Roman" w:eastAsiaTheme="minorEastAsia"/>
          <w:color w:val="auto"/>
          <w:sz w:val="28"/>
        </w:rPr>
        <w:tab/>
      </w:r>
      <w:r>
        <w:rPr>
          <w:rFonts w:hint="eastAsia" w:ascii="Times New Roman" w:hAnsi="Times New Roman" w:cs="Times New Roman" w:eastAsiaTheme="minorEastAsia"/>
          <w:color w:val="auto"/>
          <w:sz w:val="28"/>
          <w:lang w:val="en-US" w:eastAsia="zh-CN"/>
        </w:rPr>
        <w:t xml:space="preserve"> </w:t>
      </w:r>
    </w:p>
    <w:p w14:paraId="70E0ECA4">
      <w:pPr>
        <w:pStyle w:val="13"/>
        <w:rPr>
          <w:rFonts w:hint="eastAsia" w:ascii="Times New Roman" w:hAnsi="Times New Roman" w:cs="Times New Roman" w:eastAsiaTheme="minorEastAsia"/>
          <w:color w:val="auto"/>
          <w:sz w:val="28"/>
          <w:lang w:val="en-US" w:eastAsia="zh-CN"/>
        </w:rPr>
      </w:pPr>
    </w:p>
    <w:p w14:paraId="34FA9A83">
      <w:pPr>
        <w:rPr>
          <w:rFonts w:hint="eastAsia" w:ascii="Times New Roman" w:hAnsi="Times New Roman" w:cs="Times New Roman" w:eastAsiaTheme="minorEastAsia"/>
          <w:color w:val="auto"/>
          <w:sz w:val="28"/>
          <w:lang w:val="en-US" w:eastAsia="zh-CN"/>
        </w:rPr>
      </w:pPr>
    </w:p>
    <w:p w14:paraId="18CA1AF7">
      <w:pPr>
        <w:rPr>
          <w:rFonts w:hint="eastAsia"/>
          <w:color w:val="auto"/>
          <w:lang w:val="en-US" w:eastAsia="zh-CN"/>
        </w:rPr>
      </w:pPr>
    </w:p>
    <w:p w14:paraId="0EFDCD21">
      <w:pPr>
        <w:ind w:firstLine="840" w:firstLineChars="300"/>
        <w:rPr>
          <w:rFonts w:hint="default" w:ascii="Times New Roman" w:hAnsi="Times New Roman" w:cs="Times New Roman" w:eastAsiaTheme="minorEastAsia"/>
          <w:color w:val="auto"/>
          <w:sz w:val="28"/>
          <w:szCs w:val="28"/>
        </w:rPr>
      </w:pPr>
    </w:p>
    <w:p w14:paraId="3A93BA9C">
      <w:pPr>
        <w:ind w:firstLine="840" w:firstLineChars="300"/>
        <w:rPr>
          <w:rFonts w:hint="default" w:ascii="Times New Roman" w:hAnsi="Times New Roman" w:cs="Times New Roman" w:eastAsiaTheme="minorEastAsia"/>
          <w:color w:val="auto"/>
          <w:sz w:val="28"/>
          <w:szCs w:val="28"/>
        </w:rPr>
      </w:pPr>
    </w:p>
    <w:p w14:paraId="6C32FD0C">
      <w:pPr>
        <w:rPr>
          <w:rFonts w:hint="default" w:ascii="Times New Roman" w:hAnsi="Times New Roman" w:cs="Times New Roman" w:eastAsiaTheme="minorEastAsia"/>
          <w:color w:val="auto"/>
          <w:sz w:val="28"/>
          <w:szCs w:val="28"/>
        </w:rPr>
      </w:pPr>
    </w:p>
    <w:p w14:paraId="75CD0088">
      <w:pPr>
        <w:rPr>
          <w:rFonts w:hint="default" w:ascii="Times New Roman" w:hAnsi="Times New Roman" w:cs="Times New Roman" w:eastAsiaTheme="minorEastAsia"/>
          <w:color w:val="auto"/>
          <w:sz w:val="28"/>
          <w:szCs w:val="28"/>
        </w:rPr>
      </w:pPr>
    </w:p>
    <w:p w14:paraId="543B04E9">
      <w:pPr>
        <w:rPr>
          <w:rFonts w:hint="default" w:ascii="Times New Roman" w:hAnsi="Times New Roman" w:cs="Times New Roman" w:eastAsiaTheme="minorEastAsia"/>
          <w:color w:val="auto"/>
          <w:sz w:val="28"/>
          <w:szCs w:val="28"/>
        </w:rPr>
      </w:pPr>
    </w:p>
    <w:p w14:paraId="46857009">
      <w:pPr>
        <w:pStyle w:val="13"/>
        <w:rPr>
          <w:rFonts w:hint="default" w:ascii="Times New Roman" w:hAnsi="Times New Roman" w:cs="Times New Roman" w:eastAsiaTheme="minorEastAsia"/>
          <w:color w:val="auto"/>
          <w:sz w:val="28"/>
          <w:szCs w:val="28"/>
        </w:rPr>
      </w:pPr>
    </w:p>
    <w:p w14:paraId="5C29F4B1">
      <w:pPr>
        <w:rPr>
          <w:rFonts w:hint="default"/>
          <w:color w:val="auto"/>
        </w:rPr>
      </w:pPr>
    </w:p>
    <w:p w14:paraId="7122BD99">
      <w:pPr>
        <w:jc w:val="center"/>
        <w:rPr>
          <w:rFonts w:hint="default" w:ascii="宋体" w:hAnsi="宋体" w:cs="宋体"/>
          <w:b/>
          <w:bCs/>
          <w:color w:val="auto"/>
          <w:sz w:val="28"/>
          <w:szCs w:val="28"/>
          <w:u w:val="none"/>
          <w:lang w:val="en-US" w:eastAsia="zh-CN"/>
        </w:rPr>
      </w:pPr>
      <w:r>
        <w:rPr>
          <w:rFonts w:hint="default" w:ascii="Times New Roman" w:hAnsi="Times New Roman" w:cs="Times New Roman" w:eastAsiaTheme="minorEastAsia"/>
          <w:b/>
          <w:bCs/>
          <w:color w:val="auto"/>
          <w:sz w:val="28"/>
          <w:szCs w:val="28"/>
        </w:rPr>
        <w:t>建设单位</w:t>
      </w:r>
      <w:r>
        <w:rPr>
          <w:rFonts w:hint="eastAsia" w:cs="Times New Roman" w:eastAsiaTheme="minorEastAsia"/>
          <w:b/>
          <w:bCs/>
          <w:color w:val="auto"/>
          <w:sz w:val="28"/>
          <w:szCs w:val="28"/>
          <w:lang w:eastAsia="zh-CN"/>
        </w:rPr>
        <w:t>：</w:t>
      </w:r>
      <w:r>
        <w:rPr>
          <w:rFonts w:hint="eastAsia" w:ascii="宋体" w:hAnsi="宋体" w:cs="宋体"/>
          <w:b/>
          <w:bCs/>
          <w:color w:val="auto"/>
          <w:sz w:val="28"/>
          <w:szCs w:val="28"/>
          <w:u w:val="none"/>
          <w:lang w:eastAsia="zh-CN"/>
        </w:rPr>
        <w:t>舒城润昇门业有限公司</w:t>
      </w:r>
      <w:r>
        <w:rPr>
          <w:rFonts w:hint="eastAsia" w:ascii="宋体" w:hAnsi="宋体" w:cs="宋体"/>
          <w:b/>
          <w:bCs/>
          <w:color w:val="auto"/>
          <w:sz w:val="28"/>
          <w:szCs w:val="28"/>
          <w:u w:val="none"/>
          <w:lang w:val="en-US" w:eastAsia="zh-CN"/>
        </w:rPr>
        <w:t xml:space="preserve">    </w:t>
      </w:r>
    </w:p>
    <w:p w14:paraId="67D92FAA">
      <w:pPr>
        <w:jc w:val="center"/>
        <w:rPr>
          <w:rFonts w:hint="eastAsia" w:ascii="宋体" w:hAnsi="宋体" w:eastAsia="宋体" w:cs="宋体"/>
          <w:b/>
          <w:bCs/>
          <w:color w:val="auto"/>
          <w:sz w:val="28"/>
          <w:szCs w:val="28"/>
          <w:u w:val="none"/>
          <w:lang w:val="en-US" w:eastAsia="zh-CN"/>
        </w:rPr>
      </w:pPr>
      <w:r>
        <w:rPr>
          <w:rFonts w:hint="eastAsia" w:ascii="宋体" w:hAnsi="宋体" w:cs="宋体"/>
          <w:b/>
          <w:bCs/>
          <w:color w:val="auto"/>
          <w:sz w:val="28"/>
          <w:szCs w:val="28"/>
          <w:u w:val="none"/>
          <w:lang w:val="en-US" w:eastAsia="zh-CN"/>
        </w:rPr>
        <w:t>编制单位：安徽锦环环境科技有限公司</w:t>
      </w:r>
    </w:p>
    <w:p w14:paraId="09E6E6B9">
      <w:pPr>
        <w:jc w:val="center"/>
        <w:rPr>
          <w:rFonts w:hint="default" w:ascii="Times New Roman" w:hAnsi="Times New Roman" w:cs="Times New Roman" w:eastAsiaTheme="minorEastAsia"/>
          <w:color w:val="auto"/>
          <w:sz w:val="28"/>
          <w:szCs w:val="28"/>
        </w:rPr>
      </w:pPr>
      <w:r>
        <w:rPr>
          <w:rFonts w:hint="eastAsia" w:ascii="Times New Roman" w:hAnsi="Times New Roman" w:cs="Times New Roman" w:eastAsiaTheme="minorEastAsia"/>
          <w:b/>
          <w:color w:val="auto"/>
          <w:sz w:val="28"/>
          <w:szCs w:val="28"/>
          <w:lang w:val="en-US" w:eastAsia="zh-CN"/>
        </w:rPr>
        <w:t>2024</w:t>
      </w:r>
      <w:r>
        <w:rPr>
          <w:rFonts w:hint="default" w:ascii="Times New Roman" w:hAnsi="Times New Roman" w:cs="Times New Roman" w:eastAsiaTheme="minorEastAsia"/>
          <w:b/>
          <w:bCs/>
          <w:color w:val="auto"/>
          <w:sz w:val="28"/>
          <w:szCs w:val="28"/>
        </w:rPr>
        <w:t>年</w:t>
      </w:r>
      <w:r>
        <w:rPr>
          <w:rFonts w:hint="eastAsia" w:cs="Times New Roman" w:eastAsiaTheme="minorEastAsia"/>
          <w:b/>
          <w:bCs/>
          <w:color w:val="auto"/>
          <w:sz w:val="28"/>
          <w:szCs w:val="28"/>
          <w:lang w:val="en-US" w:eastAsia="zh-CN"/>
        </w:rPr>
        <w:t>8</w:t>
      </w:r>
      <w:r>
        <w:rPr>
          <w:rFonts w:hint="default" w:ascii="Times New Roman" w:hAnsi="Times New Roman" w:cs="Times New Roman" w:eastAsiaTheme="minorEastAsia"/>
          <w:b/>
          <w:bCs/>
          <w:color w:val="auto"/>
          <w:sz w:val="28"/>
          <w:szCs w:val="28"/>
        </w:rPr>
        <w:t>月</w:t>
      </w:r>
    </w:p>
    <w:p w14:paraId="51684437">
      <w:pPr>
        <w:rPr>
          <w:rFonts w:hint="eastAsia" w:ascii="宋体" w:hAnsi="宋体" w:eastAsia="宋体" w:cs="宋体"/>
          <w:color w:val="auto"/>
          <w:sz w:val="28"/>
          <w:szCs w:val="28"/>
        </w:rPr>
      </w:pPr>
    </w:p>
    <w:p w14:paraId="02389DDC">
      <w:pPr>
        <w:keepNext w:val="0"/>
        <w:keepLines w:val="0"/>
        <w:pageBreakBefore w:val="0"/>
        <w:widowControl/>
        <w:kinsoku/>
        <w:wordWrap/>
        <w:overflowPunct/>
        <w:topLinePunct w:val="0"/>
        <w:autoSpaceDE/>
        <w:autoSpaceDN/>
        <w:bidi w:val="0"/>
        <w:adjustRightInd w:val="0"/>
        <w:snapToGrid w:val="0"/>
        <w:ind w:firstLine="562" w:firstLineChars="200"/>
        <w:textAlignment w:val="auto"/>
        <w:rPr>
          <w:rFonts w:hint="eastAsia"/>
          <w:b/>
          <w:bCs/>
          <w:color w:val="auto"/>
          <w:sz w:val="28"/>
          <w:szCs w:val="28"/>
        </w:rPr>
      </w:pPr>
    </w:p>
    <w:p w14:paraId="7BB98192">
      <w:pPr>
        <w:keepNext w:val="0"/>
        <w:keepLines w:val="0"/>
        <w:pageBreakBefore w:val="0"/>
        <w:widowControl/>
        <w:kinsoku/>
        <w:wordWrap/>
        <w:overflowPunct/>
        <w:topLinePunct w:val="0"/>
        <w:autoSpaceDE/>
        <w:autoSpaceDN/>
        <w:bidi w:val="0"/>
        <w:adjustRightInd w:val="0"/>
        <w:snapToGrid w:val="0"/>
        <w:ind w:firstLine="482" w:firstLineChars="200"/>
        <w:textAlignment w:val="auto"/>
        <w:rPr>
          <w:rFonts w:hint="eastAsia"/>
          <w:b/>
          <w:bCs/>
          <w:color w:val="auto"/>
          <w:sz w:val="24"/>
          <w:szCs w:val="24"/>
        </w:rPr>
      </w:pPr>
      <w:r>
        <w:rPr>
          <w:rFonts w:hint="eastAsia"/>
          <w:b/>
          <w:bCs/>
          <w:color w:val="auto"/>
          <w:sz w:val="24"/>
          <w:szCs w:val="24"/>
        </w:rPr>
        <w:t>建设单位</w:t>
      </w:r>
      <w:r>
        <w:rPr>
          <w:rFonts w:hint="eastAsia"/>
          <w:b/>
          <w:bCs/>
          <w:color w:val="auto"/>
          <w:sz w:val="24"/>
          <w:szCs w:val="24"/>
          <w:lang w:eastAsia="zh-CN"/>
        </w:rPr>
        <w:t>：</w:t>
      </w:r>
      <w:r>
        <w:rPr>
          <w:rFonts w:hint="eastAsia" w:ascii="宋体" w:hAnsi="宋体" w:cs="宋体"/>
          <w:color w:val="auto"/>
          <w:sz w:val="24"/>
          <w:szCs w:val="24"/>
          <w:u w:val="none"/>
          <w:lang w:eastAsia="zh-CN"/>
        </w:rPr>
        <w:t>舒城润昇门业有限公司</w:t>
      </w:r>
    </w:p>
    <w:p w14:paraId="57964B23">
      <w:pPr>
        <w:keepNext w:val="0"/>
        <w:keepLines w:val="0"/>
        <w:pageBreakBefore w:val="0"/>
        <w:widowControl/>
        <w:kinsoku/>
        <w:wordWrap/>
        <w:overflowPunct/>
        <w:topLinePunct w:val="0"/>
        <w:autoSpaceDE/>
        <w:autoSpaceDN/>
        <w:bidi w:val="0"/>
        <w:adjustRightInd w:val="0"/>
        <w:snapToGrid w:val="0"/>
        <w:ind w:firstLine="482" w:firstLineChars="200"/>
        <w:textAlignment w:val="auto"/>
        <w:rPr>
          <w:rFonts w:hint="eastAsia"/>
          <w:b w:val="0"/>
          <w:bCs w:val="0"/>
          <w:color w:val="auto"/>
          <w:sz w:val="24"/>
          <w:szCs w:val="24"/>
          <w:lang w:eastAsia="zh-CN"/>
        </w:rPr>
      </w:pPr>
      <w:r>
        <w:rPr>
          <w:rFonts w:hint="eastAsia"/>
          <w:b/>
          <w:bCs/>
          <w:color w:val="auto"/>
          <w:sz w:val="24"/>
          <w:szCs w:val="24"/>
          <w:lang w:eastAsia="zh-CN"/>
        </w:rPr>
        <w:t>法人代表：</w:t>
      </w:r>
      <w:r>
        <w:rPr>
          <w:rFonts w:hint="eastAsia"/>
          <w:b w:val="0"/>
          <w:bCs w:val="0"/>
          <w:color w:val="auto"/>
          <w:sz w:val="24"/>
          <w:szCs w:val="24"/>
          <w:lang w:eastAsia="zh-CN"/>
        </w:rPr>
        <w:t>王润生</w:t>
      </w:r>
    </w:p>
    <w:p w14:paraId="13184EB2">
      <w:pPr>
        <w:keepNext w:val="0"/>
        <w:keepLines w:val="0"/>
        <w:pageBreakBefore w:val="0"/>
        <w:widowControl/>
        <w:kinsoku/>
        <w:wordWrap/>
        <w:overflowPunct/>
        <w:topLinePunct w:val="0"/>
        <w:autoSpaceDE/>
        <w:autoSpaceDN/>
        <w:bidi w:val="0"/>
        <w:adjustRightInd w:val="0"/>
        <w:snapToGrid w:val="0"/>
        <w:ind w:firstLine="482" w:firstLineChars="200"/>
        <w:textAlignment w:val="auto"/>
        <w:rPr>
          <w:rFonts w:hint="default" w:eastAsia="宋体"/>
          <w:b/>
          <w:bCs/>
          <w:color w:val="auto"/>
          <w:sz w:val="24"/>
          <w:szCs w:val="24"/>
          <w:lang w:val="en-US" w:eastAsia="zh-CN"/>
        </w:rPr>
      </w:pPr>
      <w:r>
        <w:rPr>
          <w:rFonts w:hint="eastAsia"/>
          <w:b/>
          <w:bCs/>
          <w:color w:val="auto"/>
          <w:sz w:val="24"/>
          <w:szCs w:val="24"/>
          <w:lang w:eastAsia="zh-CN"/>
        </w:rPr>
        <w:t>联系方式</w:t>
      </w:r>
      <w:r>
        <w:rPr>
          <w:rFonts w:hint="eastAsia"/>
          <w:b/>
          <w:bCs/>
          <w:color w:val="auto"/>
          <w:sz w:val="24"/>
          <w:szCs w:val="24"/>
        </w:rPr>
        <w:t>：</w:t>
      </w:r>
      <w:r>
        <w:rPr>
          <w:rFonts w:hint="eastAsia"/>
          <w:b w:val="0"/>
          <w:bCs w:val="0"/>
          <w:color w:val="auto"/>
          <w:sz w:val="24"/>
          <w:szCs w:val="24"/>
          <w:lang w:val="en-US" w:eastAsia="zh-CN"/>
        </w:rPr>
        <w:t>13505640949</w:t>
      </w:r>
    </w:p>
    <w:p w14:paraId="47EE36DF">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ab/>
      </w:r>
    </w:p>
    <w:p w14:paraId="5C926096">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p>
    <w:p w14:paraId="61D9C0ED">
      <w:pPr>
        <w:keepNext w:val="0"/>
        <w:keepLines w:val="0"/>
        <w:pageBreakBefore w:val="0"/>
        <w:widowControl/>
        <w:tabs>
          <w:tab w:val="left" w:pos="984"/>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ab/>
      </w:r>
    </w:p>
    <w:p w14:paraId="739C5BFD">
      <w:pPr>
        <w:keepNext w:val="0"/>
        <w:keepLines w:val="0"/>
        <w:pageBreakBefore w:val="0"/>
        <w:widowControl/>
        <w:tabs>
          <w:tab w:val="left" w:pos="984"/>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p>
    <w:p w14:paraId="1C67CF4E">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p>
    <w:p w14:paraId="38FD6625">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p>
    <w:p w14:paraId="5371909F">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p>
    <w:p w14:paraId="0562768B">
      <w:pPr>
        <w:pStyle w:val="13"/>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szCs w:val="28"/>
        </w:rPr>
      </w:pPr>
    </w:p>
    <w:p w14:paraId="3A7EC7FD">
      <w:pPr>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szCs w:val="28"/>
        </w:rPr>
      </w:pPr>
    </w:p>
    <w:p w14:paraId="7616E389">
      <w:pPr>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szCs w:val="28"/>
        </w:rPr>
      </w:pPr>
    </w:p>
    <w:p w14:paraId="63ED01B5">
      <w:pPr>
        <w:pStyle w:val="13"/>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szCs w:val="28"/>
        </w:rPr>
      </w:pPr>
    </w:p>
    <w:p w14:paraId="508F45FC">
      <w:pPr>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szCs w:val="28"/>
        </w:rPr>
      </w:pPr>
    </w:p>
    <w:p w14:paraId="014CE874">
      <w:pPr>
        <w:pStyle w:val="13"/>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szCs w:val="28"/>
        </w:rPr>
      </w:pPr>
    </w:p>
    <w:p w14:paraId="36AF747D">
      <w:pPr>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szCs w:val="28"/>
        </w:rPr>
      </w:pPr>
    </w:p>
    <w:p w14:paraId="5B920F0F">
      <w:pPr>
        <w:keepNext w:val="0"/>
        <w:keepLines w:val="0"/>
        <w:pageBreakBefore w:val="0"/>
        <w:widowControl/>
        <w:kinsoku/>
        <w:overflowPunct/>
        <w:autoSpaceDE/>
        <w:autoSpaceDN/>
        <w:bidi w:val="0"/>
        <w:adjustRightInd w:val="0"/>
        <w:snapToGrid w:val="0"/>
        <w:ind w:firstLine="560" w:firstLineChars="200"/>
        <w:textAlignment w:val="auto"/>
        <w:rPr>
          <w:rFonts w:hint="default"/>
          <w:color w:val="auto"/>
          <w:sz w:val="28"/>
          <w:szCs w:val="28"/>
        </w:rPr>
      </w:pPr>
    </w:p>
    <w:p w14:paraId="57E0ABDD">
      <w:pPr>
        <w:pStyle w:val="13"/>
        <w:keepNext w:val="0"/>
        <w:keepLines w:val="0"/>
        <w:pageBreakBefore w:val="0"/>
        <w:widowControl/>
        <w:kinsoku/>
        <w:wordWrap/>
        <w:overflowPunct/>
        <w:topLinePunct w:val="0"/>
        <w:autoSpaceDE/>
        <w:autoSpaceDN/>
        <w:bidi w:val="0"/>
        <w:adjustRightInd w:val="0"/>
        <w:snapToGrid w:val="0"/>
        <w:ind w:firstLine="560" w:firstLineChars="200"/>
        <w:textAlignment w:val="auto"/>
        <w:rPr>
          <w:rFonts w:hint="default"/>
          <w:color w:val="auto"/>
          <w:sz w:val="28"/>
          <w:szCs w:val="28"/>
        </w:rPr>
      </w:pPr>
    </w:p>
    <w:p w14:paraId="0C1B9F18">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p>
    <w:p w14:paraId="6D6DB0EF">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 w:val="28"/>
          <w:szCs w:val="28"/>
        </w:rPr>
      </w:pPr>
    </w:p>
    <w:p w14:paraId="3C710DD7">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b/>
          <w:bCs/>
          <w:color w:val="auto"/>
          <w:sz w:val="24"/>
          <w:szCs w:val="24"/>
        </w:rPr>
        <w:t>建设单位</w:t>
      </w:r>
      <w:r>
        <w:rPr>
          <w:rFonts w:hint="eastAsia" w:ascii="Times New Roman" w:hAnsi="Times New Roman" w:cs="Times New Roman" w:eastAsiaTheme="minorEastAsia"/>
          <w:b/>
          <w:bCs/>
          <w:color w:val="auto"/>
          <w:sz w:val="24"/>
          <w:szCs w:val="24"/>
          <w:lang w:eastAsia="zh-CN"/>
        </w:rPr>
        <w:t>：</w:t>
      </w:r>
      <w:r>
        <w:rPr>
          <w:rFonts w:hint="eastAsia" w:ascii="Times New Roman" w:hAnsi="Times New Roman" w:cs="Times New Roman" w:eastAsiaTheme="minorEastAsia"/>
          <w:color w:val="auto"/>
          <w:sz w:val="24"/>
          <w:szCs w:val="24"/>
          <w:lang w:val="en-US" w:eastAsia="zh-CN"/>
        </w:rPr>
        <w:t xml:space="preserve">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rPr>
        <w:t xml:space="preserve">（盖章）   </w:t>
      </w:r>
      <w:r>
        <w:rPr>
          <w:rFonts w:hint="eastAsia" w:ascii="Times New Roman" w:hAnsi="Times New Roman" w:cs="Times New Roman" w:eastAsiaTheme="minorEastAsia"/>
          <w:color w:val="auto"/>
          <w:sz w:val="24"/>
          <w:szCs w:val="24"/>
          <w:lang w:val="en-US" w:eastAsia="zh-CN"/>
        </w:rPr>
        <w:t xml:space="preserve">   </w:t>
      </w:r>
      <w:r>
        <w:rPr>
          <w:rFonts w:hint="eastAsia" w:cs="Times New Roman" w:eastAsiaTheme="minorEastAsia"/>
          <w:color w:val="auto"/>
          <w:sz w:val="24"/>
          <w:szCs w:val="24"/>
          <w:lang w:val="en-US" w:eastAsia="zh-CN"/>
        </w:rPr>
        <w:t xml:space="preserve">        </w:t>
      </w:r>
      <w:r>
        <w:rPr>
          <w:rFonts w:hint="eastAsia" w:cs="Times New Roman" w:eastAsiaTheme="minorEastAsia"/>
          <w:b/>
          <w:bCs/>
          <w:color w:val="auto"/>
          <w:sz w:val="24"/>
          <w:szCs w:val="24"/>
          <w:lang w:val="en-US" w:eastAsia="zh-CN"/>
        </w:rPr>
        <w:t>编制单位</w:t>
      </w:r>
      <w:r>
        <w:rPr>
          <w:rFonts w:hint="eastAsia" w:cs="Times New Roman" w:eastAsiaTheme="minorEastAsia"/>
          <w:color w:val="auto"/>
          <w:sz w:val="24"/>
          <w:szCs w:val="24"/>
          <w:lang w:val="en-US" w:eastAsia="zh-CN"/>
        </w:rPr>
        <w:t>：</w:t>
      </w:r>
      <w:r>
        <w:rPr>
          <w:rFonts w:hint="eastAsia" w:ascii="Times New Roman" w:hAnsi="Times New Roman" w:cs="Times New Roman" w:eastAsiaTheme="minorEastAsia"/>
          <w:color w:val="auto"/>
          <w:sz w:val="24"/>
          <w:szCs w:val="24"/>
          <w:lang w:val="en-US" w:eastAsia="zh-CN"/>
        </w:rPr>
        <w:t xml:space="preserve">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rPr>
        <w:t>（盖章）</w:t>
      </w:r>
      <w:r>
        <w:rPr>
          <w:rFonts w:hint="eastAsia" w:cs="Times New Roman" w:eastAsiaTheme="minorEastAsia"/>
          <w:color w:val="auto"/>
          <w:sz w:val="24"/>
          <w:szCs w:val="24"/>
          <w:lang w:val="en-US" w:eastAsia="zh-CN"/>
        </w:rPr>
        <w:t xml:space="preserve"> </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rPr>
        <w:t xml:space="preserve"> </w:t>
      </w:r>
    </w:p>
    <w:p w14:paraId="3DD23A2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b/>
          <w:bCs/>
          <w:color w:val="auto"/>
          <w:sz w:val="24"/>
          <w:szCs w:val="24"/>
        </w:rPr>
        <w:t>电</w:t>
      </w:r>
      <w:r>
        <w:rPr>
          <w:rFonts w:hint="eastAsia" w:cs="Times New Roman" w:eastAsiaTheme="minorEastAsia"/>
          <w:b/>
          <w:bCs/>
          <w:color w:val="auto"/>
          <w:sz w:val="24"/>
          <w:szCs w:val="24"/>
          <w:lang w:val="en-US" w:eastAsia="zh-CN"/>
        </w:rPr>
        <w:t xml:space="preserve">    </w:t>
      </w:r>
      <w:r>
        <w:rPr>
          <w:rFonts w:hint="default" w:ascii="Times New Roman" w:hAnsi="Times New Roman" w:cs="Times New Roman" w:eastAsiaTheme="minorEastAsia"/>
          <w:b/>
          <w:bCs/>
          <w:color w:val="auto"/>
          <w:sz w:val="24"/>
          <w:szCs w:val="24"/>
        </w:rPr>
        <w:t>话</w:t>
      </w:r>
      <w:r>
        <w:rPr>
          <w:rFonts w:hint="eastAsia" w:cs="Times New Roman" w:eastAsiaTheme="minorEastAsia"/>
          <w:b/>
          <w:bCs/>
          <w:color w:val="auto"/>
          <w:sz w:val="24"/>
          <w:szCs w:val="24"/>
          <w:lang w:eastAsia="zh-CN"/>
        </w:rPr>
        <w:t>：</w:t>
      </w:r>
      <w:r>
        <w:rPr>
          <w:rFonts w:hint="eastAsia"/>
          <w:b w:val="0"/>
          <w:bCs w:val="0"/>
          <w:color w:val="auto"/>
          <w:sz w:val="24"/>
          <w:szCs w:val="24"/>
          <w:lang w:val="en-US" w:eastAsia="zh-CN"/>
        </w:rPr>
        <w:t>13505640949</w:t>
      </w:r>
      <w:r>
        <w:rPr>
          <w:rFonts w:hint="default" w:ascii="Times New Roman" w:hAnsi="Times New Roman" w:cs="Times New Roman" w:eastAsiaTheme="minorEastAsia"/>
          <w:color w:val="auto"/>
          <w:sz w:val="24"/>
          <w:szCs w:val="24"/>
        </w:rPr>
        <w:t xml:space="preserve">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rPr>
        <w:t xml:space="preserve"> </w:t>
      </w:r>
      <w:r>
        <w:rPr>
          <w:rFonts w:hint="default" w:ascii="Times New Roman" w:hAnsi="Times New Roman" w:cs="Times New Roman" w:eastAsiaTheme="minorEastAsia"/>
          <w:b/>
          <w:bCs/>
          <w:color w:val="auto"/>
          <w:sz w:val="24"/>
          <w:szCs w:val="24"/>
        </w:rPr>
        <w:t xml:space="preserve"> </w:t>
      </w:r>
      <w:r>
        <w:rPr>
          <w:rFonts w:hint="eastAsia" w:cs="Times New Roman" w:eastAsiaTheme="minorEastAsia"/>
          <w:b/>
          <w:bCs/>
          <w:color w:val="auto"/>
          <w:sz w:val="24"/>
          <w:szCs w:val="24"/>
          <w:lang w:eastAsia="zh-CN"/>
        </w:rPr>
        <w:t>电</w:t>
      </w:r>
      <w:r>
        <w:rPr>
          <w:rFonts w:hint="eastAsia" w:cs="Times New Roman" w:eastAsiaTheme="minorEastAsia"/>
          <w:b/>
          <w:bCs/>
          <w:color w:val="auto"/>
          <w:sz w:val="24"/>
          <w:szCs w:val="24"/>
          <w:lang w:val="en-US" w:eastAsia="zh-CN"/>
        </w:rPr>
        <w:t xml:space="preserve">    </w:t>
      </w:r>
      <w:r>
        <w:rPr>
          <w:rFonts w:hint="eastAsia" w:cs="Times New Roman" w:eastAsiaTheme="minorEastAsia"/>
          <w:b/>
          <w:bCs/>
          <w:color w:val="auto"/>
          <w:sz w:val="24"/>
          <w:szCs w:val="24"/>
          <w:lang w:eastAsia="zh-CN"/>
        </w:rPr>
        <w:t>话</w:t>
      </w:r>
      <w:r>
        <w:rPr>
          <w:rFonts w:hint="eastAsia" w:cs="Times New Roman" w:eastAsiaTheme="minorEastAsia"/>
          <w:color w:val="auto"/>
          <w:sz w:val="24"/>
          <w:szCs w:val="24"/>
          <w:lang w:eastAsia="zh-CN"/>
        </w:rPr>
        <w:t>：</w:t>
      </w:r>
      <w:r>
        <w:rPr>
          <w:rFonts w:hint="eastAsia" w:cs="Times New Roman" w:eastAsiaTheme="minorEastAsia"/>
          <w:color w:val="auto"/>
          <w:sz w:val="24"/>
          <w:szCs w:val="24"/>
          <w:lang w:val="en-US" w:eastAsia="zh-CN"/>
        </w:rPr>
        <w:t>18755123070</w:t>
      </w:r>
      <w:r>
        <w:rPr>
          <w:rFonts w:hint="default" w:ascii="Times New Roman" w:hAnsi="Times New Roman" w:cs="Times New Roman" w:eastAsiaTheme="minorEastAsia"/>
          <w:color w:val="auto"/>
          <w:sz w:val="24"/>
          <w:szCs w:val="24"/>
        </w:rPr>
        <w:t xml:space="preserve">                             </w:t>
      </w:r>
    </w:p>
    <w:p w14:paraId="7D12E80F">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b/>
          <w:bCs/>
          <w:color w:val="auto"/>
          <w:sz w:val="24"/>
          <w:szCs w:val="24"/>
        </w:rPr>
        <w:t>邮</w:t>
      </w:r>
      <w:r>
        <w:rPr>
          <w:rFonts w:hint="eastAsia" w:cs="Times New Roman" w:eastAsiaTheme="minorEastAsia"/>
          <w:b/>
          <w:bCs/>
          <w:color w:val="auto"/>
          <w:sz w:val="24"/>
          <w:szCs w:val="24"/>
          <w:lang w:val="en-US" w:eastAsia="zh-CN"/>
        </w:rPr>
        <w:t xml:space="preserve">    </w:t>
      </w:r>
      <w:r>
        <w:rPr>
          <w:rFonts w:hint="default" w:ascii="Times New Roman" w:hAnsi="Times New Roman" w:cs="Times New Roman" w:eastAsiaTheme="minorEastAsia"/>
          <w:b/>
          <w:bCs/>
          <w:color w:val="auto"/>
          <w:sz w:val="24"/>
          <w:szCs w:val="24"/>
        </w:rPr>
        <w:t>编</w:t>
      </w:r>
      <w:r>
        <w:rPr>
          <w:rFonts w:hint="eastAsia" w:cs="Times New Roman" w:eastAsiaTheme="minorEastAsia"/>
          <w:b/>
          <w:bCs/>
          <w:color w:val="auto"/>
          <w:sz w:val="24"/>
          <w:szCs w:val="24"/>
          <w:lang w:eastAsia="zh-CN"/>
        </w:rPr>
        <w:t>：</w:t>
      </w:r>
      <w:r>
        <w:rPr>
          <w:rFonts w:hint="eastAsia" w:ascii="Times New Roman" w:hAnsi="Times New Roman" w:eastAsia="宋体" w:cs="Times New Roman"/>
          <w:bCs/>
          <w:color w:val="auto"/>
          <w:sz w:val="24"/>
          <w:szCs w:val="24"/>
          <w:lang w:val="en-US" w:eastAsia="zh-CN"/>
        </w:rPr>
        <w:t>231300</w:t>
      </w:r>
      <w:r>
        <w:rPr>
          <w:rFonts w:hint="default" w:ascii="Times New Roman" w:hAnsi="Times New Roman" w:cs="Times New Roman" w:eastAsiaTheme="minorEastAsia"/>
          <w:color w:val="auto"/>
          <w:sz w:val="24"/>
          <w:szCs w:val="24"/>
        </w:rPr>
        <w:t xml:space="preserve">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rPr>
        <w:t xml:space="preserve">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rPr>
        <w:t xml:space="preserve"> </w:t>
      </w:r>
      <w:r>
        <w:rPr>
          <w:rFonts w:hint="eastAsia" w:cs="Times New Roman" w:eastAsiaTheme="minorEastAsia"/>
          <w:b/>
          <w:bCs/>
          <w:color w:val="auto"/>
          <w:sz w:val="24"/>
          <w:szCs w:val="24"/>
          <w:lang w:eastAsia="zh-CN"/>
        </w:rPr>
        <w:t>邮</w:t>
      </w:r>
      <w:r>
        <w:rPr>
          <w:rFonts w:hint="eastAsia" w:cs="Times New Roman" w:eastAsiaTheme="minorEastAsia"/>
          <w:b/>
          <w:bCs/>
          <w:color w:val="auto"/>
          <w:sz w:val="24"/>
          <w:szCs w:val="24"/>
          <w:lang w:val="en-US" w:eastAsia="zh-CN"/>
        </w:rPr>
        <w:t xml:space="preserve">    </w:t>
      </w:r>
      <w:r>
        <w:rPr>
          <w:rFonts w:hint="eastAsia" w:cs="Times New Roman" w:eastAsiaTheme="minorEastAsia"/>
          <w:b/>
          <w:bCs/>
          <w:color w:val="auto"/>
          <w:sz w:val="24"/>
          <w:szCs w:val="24"/>
          <w:lang w:eastAsia="zh-CN"/>
        </w:rPr>
        <w:t>编</w:t>
      </w:r>
      <w:r>
        <w:rPr>
          <w:rFonts w:hint="eastAsia" w:cs="Times New Roman" w:eastAsiaTheme="minorEastAsia"/>
          <w:color w:val="auto"/>
          <w:sz w:val="24"/>
          <w:szCs w:val="24"/>
          <w:lang w:eastAsia="zh-CN"/>
        </w:rPr>
        <w:t>：</w:t>
      </w:r>
      <w:r>
        <w:rPr>
          <w:rFonts w:hint="eastAsia" w:cs="Times New Roman" w:eastAsiaTheme="minorEastAsia"/>
          <w:color w:val="auto"/>
          <w:sz w:val="24"/>
          <w:szCs w:val="24"/>
          <w:lang w:val="en-US" w:eastAsia="zh-CN"/>
        </w:rPr>
        <w:t>237000</w:t>
      </w:r>
      <w:r>
        <w:rPr>
          <w:rFonts w:hint="default" w:ascii="Times New Roman" w:hAnsi="Times New Roman" w:cs="Times New Roman" w:eastAsiaTheme="minorEastAsia"/>
          <w:color w:val="auto"/>
          <w:sz w:val="24"/>
          <w:szCs w:val="24"/>
        </w:rPr>
        <w:t xml:space="preserve">   </w:t>
      </w:r>
    </w:p>
    <w:p w14:paraId="1E4A669E">
      <w:pPr>
        <w:spacing w:after="0" w:line="360" w:lineRule="auto"/>
        <w:rPr>
          <w:rFonts w:hint="default" w:eastAsia="宋体"/>
          <w:color w:val="auto"/>
          <w:sz w:val="24"/>
          <w:szCs w:val="24"/>
          <w:lang w:val="en-US" w:eastAsia="zh-CN"/>
        </w:rPr>
      </w:pPr>
      <w:r>
        <w:rPr>
          <w:rFonts w:hint="default" w:ascii="Times New Roman" w:hAnsi="Times New Roman" w:cs="Times New Roman" w:eastAsiaTheme="minorEastAsia"/>
          <w:b/>
          <w:bCs/>
          <w:color w:val="auto"/>
          <w:sz w:val="24"/>
          <w:szCs w:val="24"/>
        </w:rPr>
        <w:t>地</w:t>
      </w:r>
      <w:r>
        <w:rPr>
          <w:rFonts w:hint="eastAsia" w:cs="Times New Roman" w:eastAsiaTheme="minorEastAsia"/>
          <w:b/>
          <w:bCs/>
          <w:color w:val="auto"/>
          <w:sz w:val="24"/>
          <w:szCs w:val="24"/>
          <w:lang w:val="en-US" w:eastAsia="zh-CN"/>
        </w:rPr>
        <w:t xml:space="preserve">    </w:t>
      </w:r>
      <w:r>
        <w:rPr>
          <w:rFonts w:hint="default" w:ascii="Times New Roman" w:hAnsi="Times New Roman" w:cs="Times New Roman" w:eastAsiaTheme="minorEastAsia"/>
          <w:b/>
          <w:bCs/>
          <w:color w:val="auto"/>
          <w:sz w:val="24"/>
          <w:szCs w:val="24"/>
        </w:rPr>
        <w:t>址</w:t>
      </w:r>
      <w:r>
        <w:rPr>
          <w:rFonts w:hint="eastAsia" w:cs="Times New Roman" w:eastAsiaTheme="minorEastAsia"/>
          <w:b/>
          <w:bCs/>
          <w:color w:val="auto"/>
          <w:sz w:val="24"/>
          <w:szCs w:val="24"/>
          <w:lang w:eastAsia="zh-CN"/>
        </w:rPr>
        <w:t>：</w:t>
      </w:r>
      <w:r>
        <w:rPr>
          <w:rFonts w:hint="eastAsia"/>
          <w:color w:val="auto"/>
          <w:sz w:val="24"/>
          <w:szCs w:val="24"/>
        </w:rPr>
        <w:t>安徽舒城经济开发区纬三</w:t>
      </w:r>
      <w:r>
        <w:rPr>
          <w:rFonts w:hint="eastAsia"/>
          <w:color w:val="auto"/>
          <w:sz w:val="24"/>
          <w:szCs w:val="24"/>
          <w:lang w:val="en-US" w:eastAsia="zh-CN"/>
        </w:rPr>
        <w:t xml:space="preserve">    </w:t>
      </w:r>
      <w:r>
        <w:rPr>
          <w:rFonts w:hint="eastAsia"/>
          <w:b/>
          <w:bCs/>
          <w:color w:val="auto"/>
          <w:sz w:val="24"/>
          <w:szCs w:val="24"/>
          <w:lang w:val="en-US" w:eastAsia="zh-CN"/>
        </w:rPr>
        <w:t>地    址</w:t>
      </w:r>
      <w:r>
        <w:rPr>
          <w:rFonts w:hint="eastAsia"/>
          <w:color w:val="auto"/>
          <w:sz w:val="24"/>
          <w:szCs w:val="24"/>
          <w:lang w:val="en-US" w:eastAsia="zh-CN"/>
        </w:rPr>
        <w:t>：六安市裕安区文汇大厦</w:t>
      </w:r>
    </w:p>
    <w:p w14:paraId="531DA421">
      <w:pPr>
        <w:spacing w:after="0" w:line="360" w:lineRule="auto"/>
        <w:ind w:firstLine="1200" w:firstLineChars="500"/>
        <w:rPr>
          <w:rFonts w:hint="default" w:eastAsia="宋体"/>
          <w:color w:val="auto"/>
          <w:sz w:val="24"/>
          <w:szCs w:val="24"/>
          <w:lang w:val="en-US" w:eastAsia="zh-CN"/>
        </w:rPr>
      </w:pPr>
      <w:r>
        <w:rPr>
          <w:rFonts w:hint="eastAsia"/>
          <w:color w:val="auto"/>
          <w:sz w:val="24"/>
          <w:szCs w:val="24"/>
        </w:rPr>
        <w:t>路万德产业园3号楼</w:t>
      </w:r>
      <w:r>
        <w:rPr>
          <w:rFonts w:hint="eastAsia"/>
          <w:color w:val="auto"/>
          <w:sz w:val="24"/>
          <w:szCs w:val="24"/>
          <w:lang w:eastAsia="zh-CN"/>
        </w:rPr>
        <w:tab/>
      </w:r>
      <w:r>
        <w:rPr>
          <w:rFonts w:hint="eastAsia"/>
          <w:color w:val="auto"/>
          <w:sz w:val="24"/>
          <w:szCs w:val="24"/>
          <w:lang w:val="en-US" w:eastAsia="zh-CN"/>
        </w:rPr>
        <w:t xml:space="preserve">               2519</w:t>
      </w:r>
    </w:p>
    <w:p w14:paraId="1DC231FD">
      <w:pPr>
        <w:tabs>
          <w:tab w:val="left" w:pos="5756"/>
        </w:tabs>
        <w:spacing w:after="0" w:line="360" w:lineRule="auto"/>
        <w:ind w:firstLine="1200" w:firstLineChars="500"/>
        <w:rPr>
          <w:rFonts w:hint="default" w:ascii="Times New Roman" w:hAnsi="Times New Roman" w:eastAsia="宋体" w:cs="Times New Roman"/>
          <w:b/>
          <w:color w:val="auto"/>
          <w:sz w:val="24"/>
          <w:szCs w:val="24"/>
          <w:lang w:val="en-US" w:eastAsia="zh-CN"/>
        </w:rPr>
        <w:sectPr>
          <w:footerReference r:id="rId5" w:type="default"/>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r>
        <w:rPr>
          <w:rFonts w:hint="eastAsia"/>
          <w:color w:val="auto"/>
          <w:sz w:val="24"/>
          <w:szCs w:val="24"/>
          <w:lang w:val="en-US" w:eastAsia="zh-CN"/>
        </w:rPr>
        <w:t xml:space="preserve">           </w:t>
      </w:r>
    </w:p>
    <w:p w14:paraId="69B11084">
      <w:pPr>
        <w:spacing w:after="0" w:line="360" w:lineRule="auto"/>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表一</w:t>
      </w:r>
    </w:p>
    <w:tbl>
      <w:tblPr>
        <w:tblStyle w:val="19"/>
        <w:tblW w:w="8924"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57" w:type="dxa"/>
          <w:bottom w:w="0" w:type="dxa"/>
          <w:right w:w="57" w:type="dxa"/>
        </w:tblCellMar>
      </w:tblPr>
      <w:tblGrid>
        <w:gridCol w:w="2110"/>
        <w:gridCol w:w="1889"/>
        <w:gridCol w:w="2137"/>
        <w:gridCol w:w="988"/>
        <w:gridCol w:w="765"/>
        <w:gridCol w:w="1035"/>
      </w:tblGrid>
      <w:tr w14:paraId="18E07C92">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auto"/>
            <w:noWrap w:val="0"/>
            <w:vAlign w:val="center"/>
          </w:tcPr>
          <w:p w14:paraId="6D2D5845">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shd w:val="clear" w:color="auto" w:fill="auto"/>
              </w:rPr>
            </w:pPr>
            <w:r>
              <w:rPr>
                <w:rFonts w:hint="default" w:ascii="Times New Roman" w:hAnsi="Times New Roman" w:cs="Times New Roman" w:eastAsiaTheme="minorEastAsia"/>
                <w:color w:val="auto"/>
                <w:sz w:val="24"/>
                <w:szCs w:val="24"/>
                <w:shd w:val="clear" w:color="auto" w:fill="auto"/>
              </w:rPr>
              <w:t>建设项目名称</w:t>
            </w:r>
          </w:p>
        </w:tc>
        <w:tc>
          <w:tcPr>
            <w:tcW w:w="6814" w:type="dxa"/>
            <w:gridSpan w:val="5"/>
            <w:tcBorders>
              <w:tl2br w:val="nil"/>
              <w:tr2bl w:val="nil"/>
            </w:tcBorders>
            <w:shd w:val="clear" w:color="auto" w:fill="auto"/>
            <w:noWrap w:val="0"/>
            <w:vAlign w:val="center"/>
          </w:tcPr>
          <w:p w14:paraId="130C7B93">
            <w:pPr>
              <w:keepNext w:val="0"/>
              <w:keepLines w:val="0"/>
              <w:pageBreakBefore w:val="0"/>
              <w:kinsoku/>
              <w:overflowPunct/>
              <w:autoSpaceDE/>
              <w:autoSpaceDN/>
              <w:bidi w:val="0"/>
              <w:spacing w:after="0" w:line="240" w:lineRule="auto"/>
              <w:jc w:val="center"/>
              <w:rPr>
                <w:rFonts w:hint="eastAsia" w:ascii="宋体" w:hAnsi="宋体" w:eastAsia="宋体" w:cs="宋体"/>
                <w:color w:val="auto"/>
                <w:sz w:val="24"/>
                <w:szCs w:val="24"/>
                <w:u w:val="none"/>
                <w:shd w:val="clear" w:color="auto" w:fill="auto"/>
              </w:rPr>
            </w:pPr>
            <w:r>
              <w:rPr>
                <w:rFonts w:hint="eastAsia"/>
                <w:color w:val="auto"/>
                <w:sz w:val="24"/>
              </w:rPr>
              <w:t>钢制非标门加工制造项目</w:t>
            </w:r>
          </w:p>
        </w:tc>
      </w:tr>
      <w:tr w14:paraId="0158C85F">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58CBE27F">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建设单位名称</w:t>
            </w:r>
          </w:p>
        </w:tc>
        <w:tc>
          <w:tcPr>
            <w:tcW w:w="6814" w:type="dxa"/>
            <w:gridSpan w:val="5"/>
            <w:tcBorders>
              <w:tl2br w:val="nil"/>
              <w:tr2bl w:val="nil"/>
            </w:tcBorders>
            <w:shd w:val="clear" w:color="auto" w:fill="FEFEFE"/>
            <w:noWrap w:val="0"/>
            <w:vAlign w:val="center"/>
          </w:tcPr>
          <w:p w14:paraId="12339F7F">
            <w:pPr>
              <w:keepNext w:val="0"/>
              <w:keepLines w:val="0"/>
              <w:pageBreakBefore w:val="0"/>
              <w:kinsoku/>
              <w:overflowPunct/>
              <w:autoSpaceDE/>
              <w:autoSpaceDN/>
              <w:bidi w:val="0"/>
              <w:spacing w:after="0" w:line="240" w:lineRule="auto"/>
              <w:jc w:val="center"/>
              <w:rPr>
                <w:rFonts w:hint="eastAsia" w:ascii="宋体" w:hAnsi="宋体" w:eastAsia="宋体" w:cs="宋体"/>
                <w:color w:val="auto"/>
                <w:sz w:val="24"/>
                <w:szCs w:val="24"/>
                <w:u w:val="none"/>
                <w:lang w:eastAsia="zh-CN"/>
              </w:rPr>
            </w:pPr>
            <w:r>
              <w:rPr>
                <w:rFonts w:hint="eastAsia" w:ascii="宋体" w:hAnsi="宋体" w:cs="宋体"/>
                <w:color w:val="auto"/>
                <w:sz w:val="24"/>
                <w:szCs w:val="24"/>
                <w:u w:val="none"/>
                <w:lang w:eastAsia="zh-CN"/>
              </w:rPr>
              <w:t>舒城润昇门业有限公司</w:t>
            </w:r>
          </w:p>
        </w:tc>
      </w:tr>
      <w:tr w14:paraId="4DF39359">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30BD02A4">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建设项目性质</w:t>
            </w:r>
          </w:p>
        </w:tc>
        <w:tc>
          <w:tcPr>
            <w:tcW w:w="6814" w:type="dxa"/>
            <w:gridSpan w:val="5"/>
            <w:tcBorders>
              <w:tl2br w:val="nil"/>
              <w:tr2bl w:val="nil"/>
            </w:tcBorders>
            <w:shd w:val="clear" w:color="auto" w:fill="FEFEFE"/>
            <w:noWrap w:val="0"/>
            <w:vAlign w:val="center"/>
          </w:tcPr>
          <w:p w14:paraId="24CF9F64">
            <w:pPr>
              <w:keepNext w:val="0"/>
              <w:keepLines w:val="0"/>
              <w:pageBreakBefore w:val="0"/>
              <w:kinsoku/>
              <w:overflowPunct/>
              <w:autoSpaceDE/>
              <w:autoSpaceDN/>
              <w:bidi w:val="0"/>
              <w:spacing w:after="0"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eastAsia="zh-CN"/>
              </w:rPr>
              <w:t>☑</w:t>
            </w:r>
            <w:r>
              <w:rPr>
                <w:rFonts w:hint="eastAsia" w:ascii="宋体" w:hAnsi="宋体" w:eastAsia="宋体" w:cs="宋体"/>
                <w:color w:val="auto"/>
                <w:sz w:val="24"/>
                <w:szCs w:val="24"/>
                <w:u w:val="none"/>
              </w:rPr>
              <w:t xml:space="preserve">新建  </w:t>
            </w:r>
            <w:r>
              <w:rPr>
                <w:rFonts w:hint="eastAsia" w:ascii="宋体" w:hAnsi="宋体" w:eastAsia="宋体" w:cs="宋体"/>
                <w:color w:val="auto"/>
                <w:sz w:val="24"/>
                <w:szCs w:val="24"/>
                <w:u w:val="none"/>
                <w:lang w:eastAsia="zh-CN"/>
              </w:rPr>
              <w:t>□</w:t>
            </w:r>
            <w:r>
              <w:rPr>
                <w:rFonts w:hint="eastAsia" w:ascii="宋体" w:hAnsi="宋体" w:eastAsia="宋体" w:cs="宋体"/>
                <w:color w:val="auto"/>
                <w:sz w:val="24"/>
                <w:szCs w:val="24"/>
                <w:u w:val="none"/>
              </w:rPr>
              <w:t xml:space="preserve">改扩建  </w:t>
            </w:r>
            <w:r>
              <w:rPr>
                <w:rFonts w:hint="eastAsia" w:ascii="宋体" w:hAnsi="宋体" w:eastAsia="宋体" w:cs="宋体"/>
                <w:color w:val="auto"/>
                <w:sz w:val="24"/>
                <w:szCs w:val="24"/>
                <w:u w:val="none"/>
                <w:lang w:eastAsia="zh-CN"/>
              </w:rPr>
              <w:t>□</w:t>
            </w:r>
            <w:r>
              <w:rPr>
                <w:rFonts w:hint="eastAsia" w:ascii="宋体" w:hAnsi="宋体" w:eastAsia="宋体" w:cs="宋体"/>
                <w:color w:val="auto"/>
                <w:sz w:val="24"/>
                <w:szCs w:val="24"/>
                <w:u w:val="none"/>
              </w:rPr>
              <w:t xml:space="preserve">技改  </w:t>
            </w:r>
            <w:r>
              <w:rPr>
                <w:rFonts w:hint="eastAsia" w:ascii="宋体" w:hAnsi="宋体" w:eastAsia="宋体" w:cs="宋体"/>
                <w:color w:val="auto"/>
                <w:sz w:val="24"/>
                <w:szCs w:val="24"/>
                <w:u w:val="none"/>
                <w:lang w:eastAsia="zh-CN"/>
              </w:rPr>
              <w:t>□</w:t>
            </w:r>
            <w:r>
              <w:rPr>
                <w:rFonts w:hint="eastAsia" w:ascii="宋体" w:hAnsi="宋体" w:eastAsia="宋体" w:cs="宋体"/>
                <w:color w:val="auto"/>
                <w:sz w:val="24"/>
                <w:szCs w:val="24"/>
                <w:u w:val="none"/>
              </w:rPr>
              <w:t>迁建</w:t>
            </w:r>
          </w:p>
        </w:tc>
      </w:tr>
      <w:tr w14:paraId="2620FCD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782A0F49">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建设地点</w:t>
            </w:r>
          </w:p>
        </w:tc>
        <w:tc>
          <w:tcPr>
            <w:tcW w:w="6814" w:type="dxa"/>
            <w:gridSpan w:val="5"/>
            <w:tcBorders>
              <w:tl2br w:val="nil"/>
              <w:tr2bl w:val="nil"/>
            </w:tcBorders>
            <w:shd w:val="clear" w:color="auto" w:fill="FEFEFE"/>
            <w:noWrap w:val="0"/>
            <w:vAlign w:val="center"/>
          </w:tcPr>
          <w:p w14:paraId="2556F877">
            <w:pPr>
              <w:keepNext w:val="0"/>
              <w:keepLines w:val="0"/>
              <w:pageBreakBefore w:val="0"/>
              <w:kinsoku/>
              <w:overflowPunct/>
              <w:autoSpaceDE/>
              <w:autoSpaceDN/>
              <w:bidi w:val="0"/>
              <w:spacing w:after="0" w:line="240" w:lineRule="auto"/>
              <w:jc w:val="center"/>
              <w:rPr>
                <w:rFonts w:hint="default"/>
                <w:color w:val="auto"/>
                <w:lang w:val="en-US" w:eastAsia="zh-CN"/>
              </w:rPr>
            </w:pPr>
            <w:r>
              <w:rPr>
                <w:rFonts w:hint="eastAsia"/>
                <w:color w:val="auto"/>
                <w:sz w:val="24"/>
              </w:rPr>
              <w:t>安徽省六安市舒城县安徽舒城经济开发区纬三路万德产业园3号楼D座</w:t>
            </w:r>
            <w:r>
              <w:rPr>
                <w:rFonts w:hint="eastAsia"/>
                <w:color w:val="auto"/>
                <w:sz w:val="24"/>
                <w:lang w:val="en-US" w:eastAsia="zh-CN"/>
              </w:rPr>
              <w:t>1~3F和5号楼1F</w:t>
            </w:r>
          </w:p>
        </w:tc>
      </w:tr>
      <w:tr w14:paraId="392DA72B">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6CD47B0B">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主要产品名称</w:t>
            </w:r>
          </w:p>
        </w:tc>
        <w:tc>
          <w:tcPr>
            <w:tcW w:w="6814" w:type="dxa"/>
            <w:gridSpan w:val="5"/>
            <w:tcBorders>
              <w:tl2br w:val="nil"/>
              <w:tr2bl w:val="nil"/>
            </w:tcBorders>
            <w:shd w:val="clear" w:color="auto" w:fill="FEFEFE"/>
            <w:noWrap w:val="0"/>
            <w:vAlign w:val="center"/>
          </w:tcPr>
          <w:p w14:paraId="507636EC">
            <w:pPr>
              <w:keepNext w:val="0"/>
              <w:keepLines w:val="0"/>
              <w:pageBreakBefore w:val="0"/>
              <w:kinsoku/>
              <w:overflowPunct/>
              <w:autoSpaceDE/>
              <w:autoSpaceDN/>
              <w:bidi w:val="0"/>
              <w:spacing w:after="0" w:line="240" w:lineRule="auto"/>
              <w:jc w:val="center"/>
              <w:rPr>
                <w:rFonts w:hint="eastAsia" w:ascii="Times New Roman" w:hAnsi="Times New Roman" w:cs="Times New Roman" w:eastAsiaTheme="minorEastAsia"/>
                <w:color w:val="auto"/>
                <w:sz w:val="24"/>
                <w:szCs w:val="24"/>
                <w:lang w:eastAsia="zh-CN"/>
              </w:rPr>
            </w:pPr>
            <w:r>
              <w:rPr>
                <w:rFonts w:hint="eastAsia"/>
                <w:color w:val="auto"/>
                <w:szCs w:val="22"/>
              </w:rPr>
              <w:t>钢制非标门</w:t>
            </w:r>
          </w:p>
        </w:tc>
      </w:tr>
      <w:tr w14:paraId="55589CA4">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58A72C2F">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设计生产能力</w:t>
            </w:r>
          </w:p>
        </w:tc>
        <w:tc>
          <w:tcPr>
            <w:tcW w:w="6814" w:type="dxa"/>
            <w:gridSpan w:val="5"/>
            <w:tcBorders>
              <w:tl2br w:val="nil"/>
              <w:tr2bl w:val="nil"/>
            </w:tcBorders>
            <w:shd w:val="clear" w:color="auto" w:fill="FEFEFE"/>
            <w:noWrap w:val="0"/>
            <w:vAlign w:val="center"/>
          </w:tcPr>
          <w:p w14:paraId="5B9952A5">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color w:val="auto"/>
                <w:kern w:val="0"/>
                <w:sz w:val="24"/>
                <w:lang w:val="zh-CN"/>
              </w:rPr>
              <w:t>年产</w:t>
            </w:r>
            <w:r>
              <w:rPr>
                <w:rFonts w:hint="eastAsia"/>
                <w:color w:val="auto"/>
                <w:kern w:val="0"/>
                <w:sz w:val="24"/>
              </w:rPr>
              <w:t>10000樘</w:t>
            </w:r>
            <w:r>
              <w:rPr>
                <w:rFonts w:hint="eastAsia" w:eastAsia="新宋体"/>
                <w:color w:val="auto"/>
                <w:kern w:val="0"/>
                <w:sz w:val="24"/>
              </w:rPr>
              <w:t>钢制非标门</w:t>
            </w:r>
          </w:p>
        </w:tc>
      </w:tr>
      <w:tr w14:paraId="424A1929">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6AC1B647">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实际生产能力</w:t>
            </w:r>
          </w:p>
        </w:tc>
        <w:tc>
          <w:tcPr>
            <w:tcW w:w="6814" w:type="dxa"/>
            <w:gridSpan w:val="5"/>
            <w:tcBorders>
              <w:tl2br w:val="nil"/>
              <w:tr2bl w:val="nil"/>
            </w:tcBorders>
            <w:shd w:val="clear" w:color="auto" w:fill="FEFEFE"/>
            <w:noWrap w:val="0"/>
            <w:vAlign w:val="center"/>
          </w:tcPr>
          <w:p w14:paraId="7CD757B8">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color w:val="auto"/>
                <w:kern w:val="0"/>
                <w:sz w:val="24"/>
                <w:lang w:val="zh-CN"/>
              </w:rPr>
              <w:t>年产</w:t>
            </w:r>
            <w:r>
              <w:rPr>
                <w:rFonts w:hint="eastAsia"/>
                <w:color w:val="auto"/>
                <w:kern w:val="0"/>
                <w:sz w:val="24"/>
              </w:rPr>
              <w:t>10000樘</w:t>
            </w:r>
            <w:r>
              <w:rPr>
                <w:rFonts w:hint="eastAsia" w:eastAsia="新宋体"/>
                <w:color w:val="auto"/>
                <w:kern w:val="0"/>
                <w:sz w:val="24"/>
              </w:rPr>
              <w:t>钢制非标门</w:t>
            </w:r>
          </w:p>
        </w:tc>
      </w:tr>
      <w:tr w14:paraId="4DC3327F">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11" w:hRule="atLeast"/>
          <w:jc w:val="center"/>
        </w:trPr>
        <w:tc>
          <w:tcPr>
            <w:tcW w:w="2110" w:type="dxa"/>
            <w:tcBorders>
              <w:tl2br w:val="nil"/>
              <w:tr2bl w:val="nil"/>
            </w:tcBorders>
            <w:shd w:val="clear" w:color="auto" w:fill="FEFEFE"/>
            <w:noWrap w:val="0"/>
            <w:vAlign w:val="center"/>
          </w:tcPr>
          <w:p w14:paraId="3776D939">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建设项目环评时间</w:t>
            </w:r>
          </w:p>
        </w:tc>
        <w:tc>
          <w:tcPr>
            <w:tcW w:w="1889" w:type="dxa"/>
            <w:tcBorders>
              <w:tl2br w:val="nil"/>
              <w:tr2bl w:val="nil"/>
            </w:tcBorders>
            <w:shd w:val="clear" w:color="auto" w:fill="FEFEFE"/>
            <w:noWrap w:val="0"/>
            <w:vAlign w:val="center"/>
          </w:tcPr>
          <w:p w14:paraId="69F85933">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2022年8月</w:t>
            </w:r>
          </w:p>
        </w:tc>
        <w:tc>
          <w:tcPr>
            <w:tcW w:w="2137" w:type="dxa"/>
            <w:tcBorders>
              <w:tl2br w:val="nil"/>
              <w:tr2bl w:val="nil"/>
            </w:tcBorders>
            <w:shd w:val="clear" w:color="auto" w:fill="FEFEFE"/>
            <w:noWrap w:val="0"/>
            <w:vAlign w:val="center"/>
          </w:tcPr>
          <w:p w14:paraId="0D746EAB">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开工建设时间</w:t>
            </w:r>
          </w:p>
        </w:tc>
        <w:tc>
          <w:tcPr>
            <w:tcW w:w="2788" w:type="dxa"/>
            <w:gridSpan w:val="3"/>
            <w:tcBorders>
              <w:tl2br w:val="nil"/>
              <w:tr2bl w:val="nil"/>
            </w:tcBorders>
            <w:shd w:val="clear" w:color="auto" w:fill="FEFEFE"/>
            <w:noWrap w:val="0"/>
            <w:vAlign w:val="center"/>
          </w:tcPr>
          <w:p w14:paraId="7C9EC2D1">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2023年3月</w:t>
            </w:r>
          </w:p>
        </w:tc>
      </w:tr>
      <w:tr w14:paraId="1FDFC7F1">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24" w:hRule="atLeast"/>
          <w:jc w:val="center"/>
        </w:trPr>
        <w:tc>
          <w:tcPr>
            <w:tcW w:w="2110" w:type="dxa"/>
            <w:tcBorders>
              <w:tl2br w:val="nil"/>
              <w:tr2bl w:val="nil"/>
            </w:tcBorders>
            <w:shd w:val="clear" w:color="auto" w:fill="FEFEFE"/>
            <w:noWrap w:val="0"/>
            <w:vAlign w:val="center"/>
          </w:tcPr>
          <w:p w14:paraId="653CE13E">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调试时间</w:t>
            </w:r>
          </w:p>
        </w:tc>
        <w:tc>
          <w:tcPr>
            <w:tcW w:w="1889" w:type="dxa"/>
            <w:tcBorders>
              <w:tl2br w:val="nil"/>
              <w:tr2bl w:val="nil"/>
            </w:tcBorders>
            <w:shd w:val="clear" w:color="auto" w:fill="FEFEFE"/>
            <w:noWrap w:val="0"/>
            <w:vAlign w:val="center"/>
          </w:tcPr>
          <w:p w14:paraId="1FE6FF82">
            <w:pPr>
              <w:keepNext w:val="0"/>
              <w:keepLines w:val="0"/>
              <w:pageBreakBefore w:val="0"/>
              <w:kinsoku/>
              <w:overflowPunct/>
              <w:autoSpaceDE/>
              <w:autoSpaceDN/>
              <w:bidi w:val="0"/>
              <w:spacing w:after="0" w:line="240" w:lineRule="auto"/>
              <w:jc w:val="center"/>
              <w:rPr>
                <w:rFonts w:hint="eastAsia"/>
                <w:lang w:val="en-US" w:eastAsia="zh-CN"/>
              </w:rPr>
            </w:pPr>
            <w:r>
              <w:rPr>
                <w:rFonts w:hint="eastAsia" w:cs="Times New Roman" w:eastAsiaTheme="minorEastAsia"/>
                <w:color w:val="auto"/>
                <w:sz w:val="24"/>
                <w:szCs w:val="24"/>
                <w:lang w:val="en-US" w:eastAsia="zh-CN"/>
              </w:rPr>
              <w:t>2024年3月</w:t>
            </w:r>
            <w:r>
              <w:rPr>
                <w:rFonts w:hint="eastAsia"/>
                <w:lang w:val="en-US" w:eastAsia="zh-CN"/>
              </w:rPr>
              <w:t>~</w:t>
            </w:r>
          </w:p>
          <w:p w14:paraId="032CE814">
            <w:pPr>
              <w:keepNext w:val="0"/>
              <w:keepLines w:val="0"/>
              <w:pageBreakBefore w:val="0"/>
              <w:kinsoku/>
              <w:overflowPunct/>
              <w:autoSpaceDE/>
              <w:autoSpaceDN/>
              <w:bidi w:val="0"/>
              <w:spacing w:after="0" w:line="240" w:lineRule="auto"/>
              <w:jc w:val="center"/>
              <w:rPr>
                <w:rFonts w:hint="default" w:ascii="Times New Roman" w:hAnsi="Times New Roman" w:eastAsia="宋体" w:cs="Times New Roman"/>
                <w:color w:val="auto"/>
                <w:sz w:val="24"/>
                <w:szCs w:val="24"/>
                <w:lang w:val="en-US" w:eastAsia="zh-CN"/>
              </w:rPr>
            </w:pPr>
            <w:r>
              <w:rPr>
                <w:rFonts w:hint="eastAsia"/>
                <w:lang w:val="en-US" w:eastAsia="zh-CN"/>
              </w:rPr>
              <w:t>2024年6月</w:t>
            </w:r>
          </w:p>
        </w:tc>
        <w:tc>
          <w:tcPr>
            <w:tcW w:w="2137" w:type="dxa"/>
            <w:tcBorders>
              <w:tl2br w:val="nil"/>
              <w:tr2bl w:val="nil"/>
            </w:tcBorders>
            <w:shd w:val="clear" w:color="auto" w:fill="FEFEFE"/>
            <w:noWrap w:val="0"/>
            <w:vAlign w:val="center"/>
          </w:tcPr>
          <w:p w14:paraId="084101F4">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验收现场监测时间</w:t>
            </w:r>
          </w:p>
        </w:tc>
        <w:tc>
          <w:tcPr>
            <w:tcW w:w="2788" w:type="dxa"/>
            <w:gridSpan w:val="3"/>
            <w:tcBorders>
              <w:tl2br w:val="nil"/>
              <w:tr2bl w:val="nil"/>
            </w:tcBorders>
            <w:shd w:val="clear" w:color="auto" w:fill="FEFEFE"/>
            <w:noWrap w:val="0"/>
            <w:vAlign w:val="center"/>
          </w:tcPr>
          <w:p w14:paraId="1F797C23">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2024年6月</w:t>
            </w:r>
          </w:p>
        </w:tc>
      </w:tr>
      <w:tr w14:paraId="3D1735C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794" w:hRule="atLeast"/>
          <w:jc w:val="center"/>
        </w:trPr>
        <w:tc>
          <w:tcPr>
            <w:tcW w:w="2110" w:type="dxa"/>
            <w:tcBorders>
              <w:tl2br w:val="nil"/>
              <w:tr2bl w:val="nil"/>
            </w:tcBorders>
            <w:shd w:val="clear" w:color="auto" w:fill="FEFEFE"/>
            <w:noWrap w:val="0"/>
            <w:vAlign w:val="center"/>
          </w:tcPr>
          <w:p w14:paraId="13E6076B">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35D07626">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审批部门</w:t>
            </w:r>
          </w:p>
        </w:tc>
        <w:tc>
          <w:tcPr>
            <w:tcW w:w="1889" w:type="dxa"/>
            <w:tcBorders>
              <w:tl2br w:val="nil"/>
              <w:tr2bl w:val="nil"/>
            </w:tcBorders>
            <w:shd w:val="clear" w:color="auto" w:fill="FEFEFE"/>
            <w:noWrap w:val="0"/>
            <w:vAlign w:val="center"/>
          </w:tcPr>
          <w:p w14:paraId="7D3F8973">
            <w:pPr>
              <w:keepNext w:val="0"/>
              <w:keepLines w:val="0"/>
              <w:pageBreakBefore w:val="0"/>
              <w:kinsoku/>
              <w:overflowPunct/>
              <w:autoSpaceDE/>
              <w:autoSpaceDN/>
              <w:bidi w:val="0"/>
              <w:spacing w:after="0" w:line="240" w:lineRule="auto"/>
              <w:jc w:val="center"/>
              <w:rPr>
                <w:rFonts w:hint="eastAsia" w:ascii="Times New Roman" w:hAnsi="Times New Roman" w:cs="Times New Roman" w:eastAsiaTheme="minorEastAsia"/>
                <w:color w:val="auto"/>
                <w:sz w:val="24"/>
                <w:szCs w:val="24"/>
                <w:lang w:eastAsia="zh-CN"/>
              </w:rPr>
            </w:pPr>
            <w:r>
              <w:rPr>
                <w:rFonts w:hint="eastAsia" w:ascii="宋体" w:hAnsi="宋体" w:cs="宋体"/>
                <w:color w:val="auto"/>
                <w:sz w:val="24"/>
                <w:lang w:eastAsia="zh-CN"/>
              </w:rPr>
              <w:t>六安市舒城县生态环境分局</w:t>
            </w:r>
          </w:p>
        </w:tc>
        <w:tc>
          <w:tcPr>
            <w:tcW w:w="2137" w:type="dxa"/>
            <w:tcBorders>
              <w:tl2br w:val="nil"/>
              <w:tr2bl w:val="nil"/>
            </w:tcBorders>
            <w:shd w:val="clear" w:color="auto" w:fill="FEFEFE"/>
            <w:noWrap w:val="0"/>
            <w:vAlign w:val="center"/>
          </w:tcPr>
          <w:p w14:paraId="608AFC05">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4647C600">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编制单位</w:t>
            </w:r>
          </w:p>
        </w:tc>
        <w:tc>
          <w:tcPr>
            <w:tcW w:w="2788" w:type="dxa"/>
            <w:gridSpan w:val="3"/>
            <w:tcBorders>
              <w:tl2br w:val="nil"/>
              <w:tr2bl w:val="nil"/>
            </w:tcBorders>
            <w:shd w:val="clear" w:color="auto" w:fill="FEFEFE"/>
            <w:noWrap w:val="0"/>
            <w:vAlign w:val="center"/>
          </w:tcPr>
          <w:p w14:paraId="1A2ADECB">
            <w:pPr>
              <w:keepNext w:val="0"/>
              <w:keepLines w:val="0"/>
              <w:pageBreakBefore w:val="0"/>
              <w:kinsoku/>
              <w:overflowPunct/>
              <w:autoSpaceDE/>
              <w:autoSpaceDN/>
              <w:bidi w:val="0"/>
              <w:spacing w:after="0" w:line="240" w:lineRule="auto"/>
              <w:jc w:val="center"/>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eastAsia="zh-CN"/>
              </w:rPr>
              <w:t>安徽</w:t>
            </w:r>
            <w:r>
              <w:rPr>
                <w:rFonts w:hint="eastAsia" w:cs="Times New Roman" w:eastAsiaTheme="minorEastAsia"/>
                <w:color w:val="auto"/>
                <w:sz w:val="24"/>
                <w:szCs w:val="24"/>
                <w:lang w:eastAsia="zh-CN"/>
              </w:rPr>
              <w:t>锦环环境科技</w:t>
            </w:r>
            <w:r>
              <w:rPr>
                <w:rFonts w:hint="eastAsia" w:ascii="Times New Roman" w:hAnsi="Times New Roman" w:cs="Times New Roman" w:eastAsiaTheme="minorEastAsia"/>
                <w:color w:val="auto"/>
                <w:sz w:val="24"/>
                <w:szCs w:val="24"/>
                <w:lang w:eastAsia="zh-CN"/>
              </w:rPr>
              <w:t>有限公司</w:t>
            </w:r>
          </w:p>
        </w:tc>
      </w:tr>
      <w:tr w14:paraId="4585C04C">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6EF99CA7">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889" w:type="dxa"/>
            <w:tcBorders>
              <w:tl2br w:val="nil"/>
              <w:tr2bl w:val="nil"/>
            </w:tcBorders>
            <w:shd w:val="clear" w:color="auto" w:fill="FEFEFE"/>
            <w:noWrap w:val="0"/>
            <w:vAlign w:val="center"/>
          </w:tcPr>
          <w:p w14:paraId="18B38ABC">
            <w:pPr>
              <w:keepNext w:val="0"/>
              <w:keepLines w:val="0"/>
              <w:pageBreakBefore w:val="0"/>
              <w:kinsoku/>
              <w:overflowPunct/>
              <w:autoSpaceDE/>
              <w:autoSpaceDN/>
              <w:bidi w:val="0"/>
              <w:spacing w:after="0" w:line="240" w:lineRule="auto"/>
              <w:jc w:val="center"/>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w:t>
            </w:r>
          </w:p>
        </w:tc>
        <w:tc>
          <w:tcPr>
            <w:tcW w:w="2137" w:type="dxa"/>
            <w:tcBorders>
              <w:tl2br w:val="nil"/>
              <w:tr2bl w:val="nil"/>
            </w:tcBorders>
            <w:shd w:val="clear" w:color="auto" w:fill="FEFEFE"/>
            <w:noWrap w:val="0"/>
            <w:vAlign w:val="center"/>
          </w:tcPr>
          <w:p w14:paraId="7580A38E">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2788" w:type="dxa"/>
            <w:gridSpan w:val="3"/>
            <w:tcBorders>
              <w:tl2br w:val="nil"/>
              <w:tr2bl w:val="nil"/>
            </w:tcBorders>
            <w:shd w:val="clear" w:color="auto" w:fill="FEFEFE"/>
            <w:noWrap w:val="0"/>
            <w:vAlign w:val="center"/>
          </w:tcPr>
          <w:p w14:paraId="4BA85631">
            <w:pPr>
              <w:keepNext w:val="0"/>
              <w:keepLines w:val="0"/>
              <w:pageBreakBefore w:val="0"/>
              <w:kinsoku/>
              <w:overflowPunct/>
              <w:autoSpaceDE/>
              <w:autoSpaceDN/>
              <w:bidi w:val="0"/>
              <w:spacing w:after="0" w:line="240" w:lineRule="auto"/>
              <w:jc w:val="center"/>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w:t>
            </w:r>
          </w:p>
        </w:tc>
      </w:tr>
      <w:tr w14:paraId="01D8D938">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58D57409">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889" w:type="dxa"/>
            <w:tcBorders>
              <w:tl2br w:val="nil"/>
              <w:tr2bl w:val="nil"/>
            </w:tcBorders>
            <w:shd w:val="clear" w:color="auto" w:fill="FEFEFE"/>
            <w:noWrap w:val="0"/>
            <w:vAlign w:val="center"/>
          </w:tcPr>
          <w:p w14:paraId="7A45AA04">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1100</w:t>
            </w:r>
          </w:p>
        </w:tc>
        <w:tc>
          <w:tcPr>
            <w:tcW w:w="2137" w:type="dxa"/>
            <w:tcBorders>
              <w:tl2br w:val="nil"/>
              <w:tr2bl w:val="nil"/>
            </w:tcBorders>
            <w:shd w:val="clear" w:color="auto" w:fill="FEFEFE"/>
            <w:noWrap w:val="0"/>
            <w:vAlign w:val="center"/>
          </w:tcPr>
          <w:p w14:paraId="17C90D8E">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988" w:type="dxa"/>
            <w:tcBorders>
              <w:tl2br w:val="nil"/>
              <w:tr2bl w:val="nil"/>
            </w:tcBorders>
            <w:shd w:val="clear" w:color="auto" w:fill="FEFEFE"/>
            <w:noWrap w:val="0"/>
            <w:vAlign w:val="center"/>
          </w:tcPr>
          <w:p w14:paraId="18822CFC">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80</w:t>
            </w:r>
          </w:p>
        </w:tc>
        <w:tc>
          <w:tcPr>
            <w:tcW w:w="765" w:type="dxa"/>
            <w:tcBorders>
              <w:tl2br w:val="nil"/>
              <w:tr2bl w:val="nil"/>
            </w:tcBorders>
            <w:shd w:val="clear" w:color="auto" w:fill="FEFEFE"/>
            <w:noWrap w:val="0"/>
            <w:vAlign w:val="center"/>
          </w:tcPr>
          <w:p w14:paraId="1C404813">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035" w:type="dxa"/>
            <w:tcBorders>
              <w:tl2br w:val="nil"/>
              <w:tr2bl w:val="nil"/>
            </w:tcBorders>
            <w:shd w:val="clear" w:color="auto" w:fill="FEFEFE"/>
            <w:noWrap w:val="0"/>
            <w:vAlign w:val="center"/>
          </w:tcPr>
          <w:p w14:paraId="5DC11166">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7.3%</w:t>
            </w:r>
          </w:p>
        </w:tc>
      </w:tr>
      <w:tr w14:paraId="3097D722">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110" w:type="dxa"/>
            <w:tcBorders>
              <w:tl2br w:val="nil"/>
              <w:tr2bl w:val="nil"/>
            </w:tcBorders>
            <w:shd w:val="clear" w:color="auto" w:fill="FEFEFE"/>
            <w:noWrap w:val="0"/>
            <w:vAlign w:val="center"/>
          </w:tcPr>
          <w:p w14:paraId="7B4A9C75">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889" w:type="dxa"/>
            <w:tcBorders>
              <w:tl2br w:val="nil"/>
              <w:tr2bl w:val="nil"/>
            </w:tcBorders>
            <w:shd w:val="clear" w:color="auto" w:fill="FEFEFE"/>
            <w:noWrap w:val="0"/>
            <w:vAlign w:val="center"/>
          </w:tcPr>
          <w:p w14:paraId="186A5B42">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998</w:t>
            </w:r>
          </w:p>
        </w:tc>
        <w:tc>
          <w:tcPr>
            <w:tcW w:w="2137" w:type="dxa"/>
            <w:tcBorders>
              <w:tl2br w:val="nil"/>
              <w:tr2bl w:val="nil"/>
            </w:tcBorders>
            <w:shd w:val="clear" w:color="auto" w:fill="FEFEFE"/>
            <w:noWrap w:val="0"/>
            <w:vAlign w:val="center"/>
          </w:tcPr>
          <w:p w14:paraId="0F47AC5E">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988" w:type="dxa"/>
            <w:tcBorders>
              <w:tl2br w:val="nil"/>
              <w:tr2bl w:val="nil"/>
            </w:tcBorders>
            <w:shd w:val="clear" w:color="auto" w:fill="FEFEFE"/>
            <w:noWrap w:val="0"/>
            <w:vAlign w:val="center"/>
          </w:tcPr>
          <w:p w14:paraId="3A54A813">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55</w:t>
            </w:r>
          </w:p>
        </w:tc>
        <w:tc>
          <w:tcPr>
            <w:tcW w:w="765" w:type="dxa"/>
            <w:tcBorders>
              <w:tl2br w:val="nil"/>
              <w:tr2bl w:val="nil"/>
            </w:tcBorders>
            <w:shd w:val="clear" w:color="auto" w:fill="FEFEFE"/>
            <w:noWrap w:val="0"/>
            <w:vAlign w:val="center"/>
          </w:tcPr>
          <w:p w14:paraId="43CE38E7">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035" w:type="dxa"/>
            <w:tcBorders>
              <w:tl2br w:val="nil"/>
              <w:tr2bl w:val="nil"/>
            </w:tcBorders>
            <w:shd w:val="clear" w:color="auto" w:fill="FEFEFE"/>
            <w:noWrap w:val="0"/>
            <w:vAlign w:val="center"/>
          </w:tcPr>
          <w:p w14:paraId="35B38A87">
            <w:pPr>
              <w:keepNext w:val="0"/>
              <w:keepLines w:val="0"/>
              <w:pageBreakBefore w:val="0"/>
              <w:kinsoku/>
              <w:overflowPunct/>
              <w:autoSpaceDE/>
              <w:autoSpaceDN/>
              <w:bidi w:val="0"/>
              <w:spacing w:after="0" w:line="240" w:lineRule="auto"/>
              <w:jc w:val="center"/>
              <w:rPr>
                <w:rFonts w:hint="default" w:ascii="Times New Roman" w:hAnsi="Times New Roman" w:cs="Times New Roman" w:eastAsiaTheme="minorEastAsia"/>
                <w:color w:val="auto"/>
                <w:sz w:val="24"/>
                <w:szCs w:val="24"/>
              </w:rPr>
            </w:pPr>
            <w:r>
              <w:rPr>
                <w:rFonts w:hint="eastAsia" w:cs="Times New Roman" w:eastAsiaTheme="minorEastAsia"/>
                <w:color w:val="auto"/>
                <w:sz w:val="24"/>
                <w:szCs w:val="24"/>
                <w:lang w:val="en-US" w:eastAsia="zh-CN"/>
              </w:rPr>
              <w:t>5.5%</w:t>
            </w:r>
          </w:p>
        </w:tc>
      </w:tr>
      <w:tr w14:paraId="45C146C8">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trHeight w:val="482" w:hRule="atLeast"/>
          <w:jc w:val="center"/>
        </w:trPr>
        <w:tc>
          <w:tcPr>
            <w:tcW w:w="2110" w:type="dxa"/>
            <w:tcBorders>
              <w:tl2br w:val="nil"/>
              <w:tr2bl w:val="nil"/>
            </w:tcBorders>
            <w:shd w:val="clear" w:color="auto" w:fill="FEFEFE"/>
            <w:noWrap w:val="0"/>
            <w:vAlign w:val="center"/>
          </w:tcPr>
          <w:p w14:paraId="5273FD53">
            <w:pPr>
              <w:keepNext w:val="0"/>
              <w:keepLines w:val="0"/>
              <w:pageBreakBefore w:val="0"/>
              <w:kinsoku/>
              <w:overflowPunct/>
              <w:autoSpaceDE/>
              <w:autoSpaceDN/>
              <w:bidi w:val="0"/>
              <w:spacing w:after="0"/>
              <w:jc w:val="center"/>
              <w:rPr>
                <w:rFonts w:hint="default" w:ascii="Times New Roman" w:hAnsi="Times New Roman" w:cs="Times New Roman" w:eastAsiaTheme="minorEastAsia"/>
                <w:color w:val="auto"/>
                <w:spacing w:val="0"/>
                <w:w w:val="100"/>
                <w:sz w:val="24"/>
                <w:szCs w:val="24"/>
              </w:rPr>
            </w:pPr>
            <w:r>
              <w:rPr>
                <w:rFonts w:hint="default" w:ascii="Times New Roman" w:hAnsi="Times New Roman" w:cs="Times New Roman" w:eastAsiaTheme="minorEastAsia"/>
                <w:color w:val="auto"/>
                <w:spacing w:val="0"/>
                <w:w w:val="100"/>
                <w:sz w:val="24"/>
                <w:szCs w:val="24"/>
              </w:rPr>
              <w:t>验收监测依据</w:t>
            </w:r>
          </w:p>
        </w:tc>
        <w:tc>
          <w:tcPr>
            <w:tcW w:w="6814" w:type="dxa"/>
            <w:gridSpan w:val="5"/>
            <w:tcBorders>
              <w:tl2br w:val="nil"/>
              <w:tr2bl w:val="nil"/>
            </w:tcBorders>
            <w:shd w:val="clear" w:color="auto" w:fill="FEFEFE"/>
            <w:noWrap w:val="0"/>
            <w:vAlign w:val="center"/>
          </w:tcPr>
          <w:p w14:paraId="05F23CC1">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auto"/>
                <w:spacing w:val="0"/>
                <w:w w:val="100"/>
                <w:sz w:val="24"/>
                <w:szCs w:val="24"/>
              </w:rPr>
            </w:pPr>
            <w:r>
              <w:rPr>
                <w:rFonts w:hint="default" w:ascii="Times New Roman" w:hAnsi="Times New Roman" w:eastAsia="宋体" w:cs="Times New Roman"/>
                <w:b/>
                <w:bCs/>
                <w:color w:val="auto"/>
                <w:spacing w:val="0"/>
                <w:w w:val="100"/>
                <w:sz w:val="24"/>
                <w:szCs w:val="24"/>
              </w:rPr>
              <w:t>1、环境保护国家相关法律法规</w:t>
            </w:r>
          </w:p>
          <w:p w14:paraId="69CDA834">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（1）《中华人民共和国环境保护法》，2015年1月1日公布施行；</w:t>
            </w:r>
          </w:p>
          <w:p w14:paraId="34D5A324">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（2）《中华人民共和国水污染防治法》，2018年1月1日施行；</w:t>
            </w:r>
          </w:p>
          <w:p w14:paraId="55DD51AC">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（3）《中华人民共和国大气污染防治法》，2018年10月26日；</w:t>
            </w:r>
          </w:p>
          <w:p w14:paraId="0A66D67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（4）《中华人民共和国环境噪声污染防治法》，</w:t>
            </w:r>
            <w:r>
              <w:rPr>
                <w:rFonts w:hint="default" w:ascii="Times New Roman" w:hAnsi="Times New Roman" w:eastAsia="宋体" w:cs="Times New Roman"/>
                <w:color w:val="auto"/>
                <w:spacing w:val="0"/>
                <w:w w:val="100"/>
                <w:sz w:val="24"/>
              </w:rPr>
              <w:t>2022年6月5日实施</w:t>
            </w:r>
            <w:r>
              <w:rPr>
                <w:rFonts w:hint="default" w:ascii="Times New Roman" w:hAnsi="Times New Roman" w:eastAsia="宋体" w:cs="Times New Roman"/>
                <w:color w:val="auto"/>
                <w:spacing w:val="0"/>
                <w:w w:val="100"/>
                <w:sz w:val="24"/>
                <w:szCs w:val="24"/>
              </w:rPr>
              <w:t>；</w:t>
            </w:r>
          </w:p>
          <w:p w14:paraId="5F526088">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（5）《中华人民共和国固体废物污染环境防治法》，2020年4月29日修订，2020年9月1日施行。</w:t>
            </w:r>
          </w:p>
          <w:p w14:paraId="57A4A03D">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auto"/>
                <w:spacing w:val="0"/>
                <w:w w:val="100"/>
                <w:sz w:val="24"/>
                <w:szCs w:val="24"/>
              </w:rPr>
            </w:pPr>
            <w:r>
              <w:rPr>
                <w:rFonts w:hint="default" w:ascii="Times New Roman" w:hAnsi="Times New Roman" w:eastAsia="宋体" w:cs="Times New Roman"/>
                <w:b/>
                <w:bCs/>
                <w:color w:val="auto"/>
                <w:spacing w:val="0"/>
                <w:w w:val="100"/>
                <w:sz w:val="24"/>
                <w:szCs w:val="24"/>
              </w:rPr>
              <w:t>2、验收相关文件、条例、通知等</w:t>
            </w:r>
          </w:p>
          <w:p w14:paraId="5871FA0C">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（1）国务院第682号令《建设项目环境保护管理条例》；</w:t>
            </w:r>
          </w:p>
          <w:p w14:paraId="44BFEE21">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（2）环境保护部文件国环规环评</w:t>
            </w:r>
            <w:r>
              <w:rPr>
                <w:rFonts w:hint="eastAsia" w:cs="Times New Roman"/>
                <w:color w:val="auto"/>
                <w:spacing w:val="0"/>
                <w:w w:val="100"/>
                <w:sz w:val="24"/>
                <w:szCs w:val="24"/>
                <w:lang w:eastAsia="zh-CN"/>
              </w:rPr>
              <w:t>〔</w:t>
            </w:r>
            <w:r>
              <w:rPr>
                <w:rFonts w:hint="default" w:ascii="Times New Roman" w:hAnsi="Times New Roman" w:eastAsia="宋体" w:cs="Times New Roman"/>
                <w:color w:val="auto"/>
                <w:spacing w:val="0"/>
                <w:w w:val="100"/>
                <w:sz w:val="24"/>
                <w:szCs w:val="24"/>
              </w:rPr>
              <w:t>2017</w:t>
            </w:r>
            <w:r>
              <w:rPr>
                <w:rFonts w:hint="eastAsia" w:cs="Times New Roman"/>
                <w:color w:val="auto"/>
                <w:spacing w:val="0"/>
                <w:w w:val="100"/>
                <w:sz w:val="24"/>
                <w:szCs w:val="24"/>
                <w:lang w:eastAsia="zh-CN"/>
              </w:rPr>
              <w:t>〕</w:t>
            </w:r>
            <w:r>
              <w:rPr>
                <w:rFonts w:hint="default" w:ascii="Times New Roman" w:hAnsi="Times New Roman" w:eastAsia="宋体" w:cs="Times New Roman"/>
                <w:color w:val="auto"/>
                <w:spacing w:val="0"/>
                <w:w w:val="100"/>
                <w:sz w:val="24"/>
                <w:szCs w:val="24"/>
              </w:rPr>
              <w:t>4号《关于发布建设项目竣工环境保护验收暂行办法》；</w:t>
            </w:r>
          </w:p>
          <w:p w14:paraId="36EDACC8">
            <w:pPr>
              <w:pStyle w:val="13"/>
              <w:spacing w:line="360" w:lineRule="auto"/>
              <w:jc w:val="both"/>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（3）《建设项目竣工环境保护验收技术部指南 污染影响类》（生态环境部）。</w:t>
            </w:r>
          </w:p>
          <w:p w14:paraId="61EBAD28">
            <w:pPr>
              <w:pStyle w:val="13"/>
              <w:spacing w:line="360" w:lineRule="auto"/>
              <w:jc w:val="both"/>
              <w:rPr>
                <w:rFonts w:hint="default" w:ascii="Times New Roman" w:hAnsi="Times New Roman" w:eastAsia="宋体" w:cs="Times New Roman"/>
                <w:color w:val="auto"/>
                <w:spacing w:val="0"/>
                <w:w w:val="100"/>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）《关于印发〈污染影响类建设项目重大变动清单（试行）&gt;的通知》（环办环评函〔2020〕688号）。</w:t>
            </w:r>
          </w:p>
          <w:p w14:paraId="1D4B08D9">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auto"/>
                <w:spacing w:val="0"/>
                <w:w w:val="100"/>
                <w:sz w:val="24"/>
                <w:szCs w:val="24"/>
              </w:rPr>
            </w:pPr>
            <w:r>
              <w:rPr>
                <w:rFonts w:hint="default" w:ascii="Times New Roman" w:hAnsi="Times New Roman" w:eastAsia="宋体" w:cs="Times New Roman"/>
                <w:b/>
                <w:bCs/>
                <w:color w:val="auto"/>
                <w:spacing w:val="0"/>
                <w:w w:val="100"/>
                <w:sz w:val="24"/>
                <w:szCs w:val="24"/>
              </w:rPr>
              <w:t>3、开展验收工作相关文件</w:t>
            </w:r>
          </w:p>
          <w:p w14:paraId="77A9116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Times New Roman" w:hAnsi="Times New Roman" w:eastAsia="宋体" w:cs="Times New Roman"/>
                <w:color w:val="auto"/>
                <w:spacing w:val="0"/>
                <w:w w:val="100"/>
                <w:sz w:val="24"/>
                <w:szCs w:val="24"/>
                <w:lang w:val="en-US" w:eastAsia="zh-CN"/>
              </w:rPr>
            </w:pPr>
            <w:r>
              <w:rPr>
                <w:rFonts w:hint="default" w:ascii="Times New Roman" w:hAnsi="Times New Roman" w:cs="Times New Roman" w:eastAsiaTheme="majorEastAsia"/>
                <w:color w:val="auto"/>
                <w:spacing w:val="0"/>
                <w:w w:val="100"/>
                <w:sz w:val="24"/>
                <w:szCs w:val="24"/>
              </w:rPr>
              <w:t>（1）</w:t>
            </w:r>
            <w:r>
              <w:rPr>
                <w:rFonts w:hint="eastAsia" w:cs="Times New Roman" w:eastAsiaTheme="majorEastAsia"/>
                <w:color w:val="auto"/>
                <w:spacing w:val="0"/>
                <w:w w:val="100"/>
                <w:sz w:val="24"/>
                <w:szCs w:val="24"/>
                <w:lang w:val="en-US" w:eastAsia="zh-CN"/>
              </w:rPr>
              <w:t>《舒城润昇门业有限公司钢制非标门加工制造项目环境影响报告表》</w:t>
            </w:r>
            <w:r>
              <w:rPr>
                <w:rFonts w:hint="eastAsia"/>
                <w:lang w:eastAsia="zh-CN"/>
              </w:rPr>
              <w:t>及批复</w:t>
            </w:r>
            <w:r>
              <w:rPr>
                <w:rFonts w:hint="default" w:ascii="Times New Roman" w:hAnsi="Times New Roman" w:eastAsia="宋体" w:cs="Times New Roman"/>
                <w:color w:val="auto"/>
                <w:spacing w:val="0"/>
                <w:w w:val="100"/>
                <w:sz w:val="24"/>
                <w:szCs w:val="24"/>
                <w:lang w:val="en-US" w:eastAsia="zh-CN"/>
              </w:rPr>
              <w:t>（舒环评〔2022〕</w:t>
            </w:r>
            <w:r>
              <w:rPr>
                <w:rFonts w:hint="default" w:ascii="Times New Roman" w:hAnsi="Times New Roman" w:cs="Times New Roman" w:eastAsiaTheme="majorEastAsia"/>
                <w:color w:val="auto"/>
                <w:spacing w:val="0"/>
                <w:w w:val="100"/>
                <w:sz w:val="24"/>
                <w:szCs w:val="24"/>
                <w:lang w:val="en-US" w:eastAsia="zh-CN"/>
              </w:rPr>
              <w:t>52</w:t>
            </w:r>
            <w:r>
              <w:rPr>
                <w:rFonts w:hint="eastAsia" w:asciiTheme="majorEastAsia" w:hAnsiTheme="majorEastAsia" w:eastAsiaTheme="majorEastAsia" w:cstheme="majorEastAsia"/>
                <w:color w:val="auto"/>
                <w:spacing w:val="0"/>
                <w:w w:val="100"/>
                <w:sz w:val="24"/>
                <w:szCs w:val="24"/>
                <w:lang w:val="en-US" w:eastAsia="zh-CN"/>
              </w:rPr>
              <w:t>号</w:t>
            </w:r>
            <w:r>
              <w:rPr>
                <w:rFonts w:hint="eastAsia" w:cs="Times New Roman" w:eastAsiaTheme="majorEastAsia"/>
                <w:color w:val="auto"/>
                <w:spacing w:val="0"/>
                <w:w w:val="100"/>
                <w:sz w:val="24"/>
                <w:szCs w:val="24"/>
                <w:lang w:val="en-US" w:eastAsia="zh-CN"/>
              </w:rPr>
              <w:t>）</w:t>
            </w:r>
          </w:p>
          <w:p w14:paraId="41EE5177">
            <w:pPr>
              <w:pStyle w:val="13"/>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cs="Times New Roman" w:eastAsiaTheme="majorEastAsia"/>
                <w:color w:val="auto"/>
                <w:spacing w:val="0"/>
                <w:w w:val="100"/>
                <w:sz w:val="24"/>
                <w:szCs w:val="24"/>
                <w:lang w:val="en-US" w:eastAsia="zh-CN"/>
              </w:rPr>
            </w:pPr>
            <w:r>
              <w:rPr>
                <w:rFonts w:hint="default" w:ascii="Times New Roman" w:hAnsi="Times New Roman" w:cs="Times New Roman" w:eastAsiaTheme="majorEastAsia"/>
                <w:color w:val="auto"/>
                <w:spacing w:val="0"/>
                <w:w w:val="100"/>
                <w:sz w:val="24"/>
                <w:szCs w:val="24"/>
                <w:lang w:val="en-US" w:eastAsia="zh-CN" w:bidi="ar-SA"/>
              </w:rPr>
              <w:t>（2）</w:t>
            </w:r>
            <w:r>
              <w:rPr>
                <w:rFonts w:hint="eastAsia" w:cs="Times New Roman" w:eastAsiaTheme="majorEastAsia"/>
                <w:color w:val="auto"/>
                <w:spacing w:val="0"/>
                <w:w w:val="100"/>
                <w:sz w:val="24"/>
                <w:szCs w:val="24"/>
                <w:lang w:val="en-US" w:eastAsia="zh-CN"/>
              </w:rPr>
              <w:t>舒城润昇门业有限公司排污许可登记回执，登记编号</w:t>
            </w:r>
            <w:r>
              <w:rPr>
                <w:rFonts w:hint="default" w:ascii="Times New Roman" w:hAnsi="Times New Roman" w:eastAsia="MicrosoftYaHei" w:cs="Times New Roman"/>
                <w:sz w:val="24"/>
                <w:szCs w:val="24"/>
              </w:rPr>
              <w:t>91341523MA2NUU8R98001X</w:t>
            </w:r>
          </w:p>
          <w:p w14:paraId="6F5E9EA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Times New Roman" w:hAnsi="Times New Roman" w:cs="Times New Roman" w:eastAsiaTheme="minorEastAsia"/>
                <w:color w:val="auto"/>
                <w:spacing w:val="0"/>
                <w:w w:val="100"/>
                <w:sz w:val="24"/>
                <w:szCs w:val="24"/>
                <w:lang w:val="en-US" w:eastAsia="zh-CN"/>
              </w:rPr>
            </w:pPr>
            <w:r>
              <w:rPr>
                <w:rFonts w:hint="default" w:ascii="Times New Roman" w:hAnsi="Times New Roman" w:cs="Times New Roman" w:eastAsiaTheme="majorEastAsia"/>
                <w:color w:val="auto"/>
                <w:spacing w:val="0"/>
                <w:w w:val="100"/>
                <w:sz w:val="24"/>
                <w:szCs w:val="24"/>
                <w:lang w:eastAsia="zh-CN"/>
              </w:rPr>
              <w:t>（</w:t>
            </w:r>
            <w:r>
              <w:rPr>
                <w:rFonts w:hint="default" w:ascii="Times New Roman" w:hAnsi="Times New Roman" w:cs="Times New Roman" w:eastAsiaTheme="majorEastAsia"/>
                <w:color w:val="auto"/>
                <w:spacing w:val="0"/>
                <w:w w:val="100"/>
                <w:sz w:val="24"/>
                <w:szCs w:val="24"/>
                <w:lang w:val="en-US" w:eastAsia="zh-CN"/>
              </w:rPr>
              <w:t>3</w:t>
            </w:r>
            <w:r>
              <w:rPr>
                <w:rFonts w:hint="default" w:ascii="Times New Roman" w:hAnsi="Times New Roman" w:cs="Times New Roman" w:eastAsiaTheme="majorEastAsia"/>
                <w:color w:val="auto"/>
                <w:spacing w:val="0"/>
                <w:w w:val="100"/>
                <w:sz w:val="24"/>
                <w:szCs w:val="24"/>
                <w:lang w:eastAsia="zh-CN"/>
              </w:rPr>
              <w:t>）</w:t>
            </w:r>
            <w:r>
              <w:rPr>
                <w:rFonts w:hint="eastAsia" w:ascii="Times New Roman" w:hAnsi="Times New Roman" w:cs="Times New Roman" w:eastAsiaTheme="majorEastAsia"/>
                <w:color w:val="auto"/>
                <w:spacing w:val="0"/>
                <w:w w:val="100"/>
                <w:sz w:val="24"/>
                <w:szCs w:val="24"/>
                <w:lang w:eastAsia="zh-CN"/>
              </w:rPr>
              <w:t>验收检测报告</w:t>
            </w:r>
            <w:r>
              <w:rPr>
                <w:rFonts w:hint="eastAsia" w:cs="Times New Roman" w:eastAsiaTheme="majorEastAsia"/>
                <w:color w:val="auto"/>
                <w:spacing w:val="0"/>
                <w:w w:val="100"/>
                <w:sz w:val="24"/>
                <w:szCs w:val="24"/>
                <w:lang w:val="en-US" w:eastAsia="zh-CN"/>
              </w:rPr>
              <w:t>--废气、噪声</w:t>
            </w:r>
            <w:r>
              <w:rPr>
                <w:rFonts w:hint="eastAsia" w:ascii="Times New Roman" w:hAnsi="Times New Roman" w:cs="Times New Roman" w:eastAsiaTheme="majorEastAsia"/>
                <w:color w:val="auto"/>
                <w:spacing w:val="0"/>
                <w:w w:val="100"/>
                <w:sz w:val="24"/>
                <w:szCs w:val="24"/>
                <w:lang w:eastAsia="zh-CN"/>
              </w:rPr>
              <w:t>。</w:t>
            </w:r>
          </w:p>
        </w:tc>
      </w:tr>
      <w:tr w14:paraId="65631292">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trHeight w:val="90" w:hRule="atLeast"/>
          <w:jc w:val="center"/>
        </w:trPr>
        <w:tc>
          <w:tcPr>
            <w:tcW w:w="2110" w:type="dxa"/>
            <w:tcBorders>
              <w:tl2br w:val="nil"/>
              <w:tr2bl w:val="nil"/>
            </w:tcBorders>
            <w:shd w:val="clear" w:color="auto" w:fill="FEFEFE"/>
            <w:noWrap w:val="0"/>
            <w:vAlign w:val="center"/>
          </w:tcPr>
          <w:p w14:paraId="55FF7346">
            <w:pPr>
              <w:keepNext w:val="0"/>
              <w:keepLines w:val="0"/>
              <w:pageBreakBefore w:val="0"/>
              <w:kinsoku/>
              <w:overflowPunct/>
              <w:autoSpaceDE/>
              <w:autoSpaceDN/>
              <w:bidi w:val="0"/>
              <w:jc w:val="center"/>
              <w:rPr>
                <w:rFonts w:hint="default"/>
                <w:color w:val="auto"/>
              </w:rPr>
            </w:pPr>
            <w:r>
              <w:rPr>
                <w:rFonts w:hint="default"/>
                <w:color w:val="auto"/>
              </w:rPr>
              <w:t>验收监测评价标准、标号、级别、限值</w:t>
            </w:r>
          </w:p>
        </w:tc>
        <w:tc>
          <w:tcPr>
            <w:tcW w:w="6814" w:type="dxa"/>
            <w:gridSpan w:val="5"/>
            <w:tcBorders>
              <w:tl2br w:val="nil"/>
              <w:tr2bl w:val="nil"/>
            </w:tcBorders>
            <w:shd w:val="clear" w:color="auto" w:fill="FEFEFE"/>
            <w:noWrap w:val="0"/>
            <w:vAlign w:val="top"/>
          </w:tcPr>
          <w:p w14:paraId="646AC313">
            <w:pPr>
              <w:keepNext w:val="0"/>
              <w:keepLines w:val="0"/>
              <w:pageBreakBefore w:val="0"/>
              <w:widowControl/>
              <w:numPr>
                <w:ilvl w:val="0"/>
                <w:numId w:val="0"/>
              </w:numPr>
              <w:kinsoku/>
              <w:wordWrap/>
              <w:overflowPunct/>
              <w:topLinePunct w:val="0"/>
              <w:autoSpaceDE/>
              <w:autoSpaceDN/>
              <w:bidi w:val="0"/>
              <w:snapToGrid w:val="0"/>
              <w:textAlignment w:val="auto"/>
              <w:rPr>
                <w:rFonts w:hint="default"/>
                <w:b/>
                <w:bCs/>
                <w:color w:val="auto"/>
                <w:lang w:val="en-US" w:eastAsia="zh-CN"/>
              </w:rPr>
            </w:pPr>
            <w:r>
              <w:rPr>
                <w:rFonts w:hint="default" w:ascii="Times New Roman" w:hAnsi="Times New Roman" w:eastAsia="宋体" w:cs="Times New Roman"/>
                <w:b/>
                <w:bCs/>
                <w:color w:val="auto"/>
                <w:sz w:val="24"/>
                <w:szCs w:val="24"/>
                <w:lang w:val="en-US" w:eastAsia="zh-CN" w:bidi="ar-SA"/>
              </w:rPr>
              <w:t>1、</w:t>
            </w:r>
            <w:r>
              <w:rPr>
                <w:rFonts w:hint="default"/>
                <w:b/>
                <w:bCs/>
                <w:color w:val="auto"/>
                <w:lang w:val="en-US" w:eastAsia="zh-CN"/>
              </w:rPr>
              <w:t>环境质量标准</w:t>
            </w:r>
          </w:p>
          <w:p w14:paraId="4AB7CBF0">
            <w:pPr>
              <w:pStyle w:val="26"/>
              <w:keepNext w:val="0"/>
              <w:keepLines w:val="0"/>
              <w:pageBreakBefore w:val="0"/>
              <w:widowControl/>
              <w:numPr>
                <w:ilvl w:val="0"/>
                <w:numId w:val="0"/>
              </w:numPr>
              <w:kinsoku/>
              <w:wordWrap/>
              <w:overflowPunct/>
              <w:topLinePunct w:val="0"/>
              <w:autoSpaceDE/>
              <w:autoSpaceDN/>
              <w:bidi w:val="0"/>
              <w:adjustRightInd/>
              <w:snapToGrid w:val="0"/>
              <w:spacing w:line="360" w:lineRule="auto"/>
              <w:ind w:firstLine="0" w:firstLineChars="0"/>
              <w:jc w:val="left"/>
              <w:textAlignment w:val="auto"/>
              <w:rPr>
                <w:rFonts w:hint="eastAsia" w:ascii="Times New Roman"/>
                <w:b/>
                <w:bCs/>
                <w:color w:val="auto"/>
                <w:sz w:val="24"/>
              </w:rPr>
            </w:pPr>
            <w:r>
              <w:rPr>
                <w:rFonts w:hint="eastAsia" w:ascii="Times New Roman" w:hAnsi="Times New Roman" w:eastAsia="宋体" w:cs="Times New Roman"/>
                <w:b/>
                <w:bCs/>
                <w:color w:val="auto"/>
                <w:sz w:val="24"/>
                <w:szCs w:val="24"/>
                <w:lang w:val="en-US" w:eastAsia="zh-CN" w:bidi="ar-SA"/>
              </w:rPr>
              <w:t>（1）</w:t>
            </w:r>
            <w:r>
              <w:rPr>
                <w:rFonts w:hint="eastAsia" w:ascii="Times New Roman"/>
                <w:b/>
                <w:bCs/>
                <w:color w:val="auto"/>
                <w:sz w:val="24"/>
                <w:lang w:eastAsia="zh-CN"/>
              </w:rPr>
              <w:t>大气</w:t>
            </w:r>
            <w:r>
              <w:rPr>
                <w:rFonts w:hint="eastAsia" w:ascii="Times New Roman"/>
                <w:b/>
                <w:bCs/>
                <w:color w:val="auto"/>
                <w:sz w:val="24"/>
              </w:rPr>
              <w:t>环境</w:t>
            </w:r>
          </w:p>
          <w:p w14:paraId="349ABE67">
            <w:pPr>
              <w:keepNext w:val="0"/>
              <w:keepLines w:val="0"/>
              <w:pageBreakBefore w:val="0"/>
              <w:kinsoku/>
              <w:overflowPunct/>
              <w:autoSpaceDE/>
              <w:autoSpaceDN/>
              <w:bidi w:val="0"/>
              <w:adjustRightInd w:val="0"/>
              <w:snapToGrid w:val="0"/>
              <w:spacing w:line="360" w:lineRule="auto"/>
              <w:ind w:firstLine="480" w:firstLineChars="200"/>
              <w:rPr>
                <w:rStyle w:val="32"/>
                <w:b/>
                <w:color w:val="auto"/>
                <w:sz w:val="24"/>
                <w:szCs w:val="24"/>
              </w:rPr>
            </w:pPr>
            <w:r>
              <w:rPr>
                <w:rFonts w:hint="eastAsia"/>
                <w:color w:val="auto"/>
                <w:sz w:val="24"/>
                <w:lang w:eastAsia="zh-CN"/>
              </w:rPr>
              <w:t>本项目大气环境质量标准执行</w:t>
            </w:r>
            <w:r>
              <w:rPr>
                <w:color w:val="auto"/>
                <w:sz w:val="24"/>
              </w:rPr>
              <w:t>《环境空气质量标准》（GB</w:t>
            </w:r>
            <w:r>
              <w:rPr>
                <w:rFonts w:hint="eastAsia"/>
                <w:color w:val="auto"/>
                <w:sz w:val="24"/>
                <w:lang w:val="en-US" w:eastAsia="zh-CN"/>
              </w:rPr>
              <w:t xml:space="preserve"> </w:t>
            </w:r>
            <w:r>
              <w:rPr>
                <w:color w:val="auto"/>
                <w:sz w:val="24"/>
              </w:rPr>
              <w:t>3095-2012）及2018年修改单二级标准，其标准限值见</w:t>
            </w:r>
            <w:r>
              <w:rPr>
                <w:rFonts w:hint="eastAsia"/>
                <w:color w:val="auto"/>
                <w:sz w:val="24"/>
              </w:rPr>
              <w:t>下</w:t>
            </w:r>
            <w:r>
              <w:rPr>
                <w:color w:val="auto"/>
                <w:sz w:val="24"/>
              </w:rPr>
              <w:t>表</w:t>
            </w:r>
            <w:r>
              <w:rPr>
                <w:rFonts w:hint="eastAsia"/>
                <w:color w:val="auto"/>
                <w:kern w:val="0"/>
                <w:sz w:val="24"/>
              </w:rPr>
              <w:t>。</w:t>
            </w:r>
          </w:p>
          <w:p w14:paraId="0D74578E">
            <w:pPr>
              <w:keepNext w:val="0"/>
              <w:keepLines w:val="0"/>
              <w:pageBreakBefore w:val="0"/>
              <w:kinsoku/>
              <w:overflowPunct/>
              <w:autoSpaceDE/>
              <w:autoSpaceDN/>
              <w:bidi w:val="0"/>
              <w:spacing w:line="240" w:lineRule="auto"/>
              <w:jc w:val="center"/>
              <w:rPr>
                <w:b/>
                <w:color w:val="auto"/>
                <w:sz w:val="21"/>
                <w:szCs w:val="21"/>
              </w:rPr>
            </w:pPr>
            <w:r>
              <w:rPr>
                <w:b/>
                <w:color w:val="auto"/>
                <w:sz w:val="24"/>
              </w:rPr>
              <w:t>表</w:t>
            </w:r>
            <w:r>
              <w:rPr>
                <w:rFonts w:hint="eastAsia"/>
                <w:b/>
                <w:color w:val="auto"/>
                <w:sz w:val="24"/>
                <w:lang w:val="en-US" w:eastAsia="zh-CN"/>
              </w:rPr>
              <w:t xml:space="preserve">1-1 </w:t>
            </w:r>
            <w:r>
              <w:rPr>
                <w:b/>
                <w:color w:val="auto"/>
                <w:sz w:val="24"/>
              </w:rPr>
              <w:t xml:space="preserve"> 环境空气质量标准  </w:t>
            </w:r>
            <w:r>
              <w:rPr>
                <w:color w:val="auto"/>
                <w:sz w:val="21"/>
                <w:szCs w:val="21"/>
              </w:rPr>
              <w:t>单位：</w:t>
            </w:r>
            <w:r>
              <w:rPr>
                <w:rFonts w:hint="eastAsia"/>
                <w:color w:val="auto"/>
                <w:sz w:val="21"/>
                <w:szCs w:val="21"/>
              </w:rPr>
              <w:t>m</w:t>
            </w:r>
            <w:r>
              <w:rPr>
                <w:color w:val="auto"/>
                <w:sz w:val="21"/>
                <w:szCs w:val="21"/>
              </w:rPr>
              <w:t>g/m</w:t>
            </w:r>
            <w:r>
              <w:rPr>
                <w:color w:val="auto"/>
                <w:sz w:val="21"/>
                <w:szCs w:val="21"/>
                <w:vertAlign w:val="superscript"/>
              </w:rPr>
              <w:t>3</w:t>
            </w:r>
          </w:p>
          <w:tbl>
            <w:tblPr>
              <w:tblStyle w:val="19"/>
              <w:tblpPr w:leftFromText="180" w:rightFromText="180" w:vertAnchor="text" w:tblpXSpec="center" w:tblpY="1"/>
              <w:tblOverlap w:val="never"/>
              <w:tblW w:w="6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13"/>
              <w:gridCol w:w="1477"/>
              <w:gridCol w:w="1133"/>
              <w:gridCol w:w="3015"/>
            </w:tblGrid>
            <w:tr w14:paraId="5AE43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79" w:hRule="atLeast"/>
                <w:jc w:val="center"/>
              </w:trPr>
              <w:tc>
                <w:tcPr>
                  <w:tcW w:w="698" w:type="pct"/>
                  <w:tcBorders>
                    <w:top w:val="single" w:color="auto" w:sz="4" w:space="0"/>
                    <w:left w:val="single" w:color="auto" w:sz="4" w:space="0"/>
                    <w:bottom w:val="single" w:color="auto" w:sz="4" w:space="0"/>
                    <w:right w:val="single" w:color="auto" w:sz="4" w:space="0"/>
                  </w:tcBorders>
                  <w:noWrap w:val="0"/>
                  <w:vAlign w:val="center"/>
                </w:tcPr>
                <w:p w14:paraId="50A6E1CA">
                  <w:pPr>
                    <w:pStyle w:val="26"/>
                    <w:keepNext w:val="0"/>
                    <w:keepLines w:val="0"/>
                    <w:pageBreakBefore w:val="0"/>
                    <w:kinsoku/>
                    <w:overflowPunct/>
                    <w:autoSpaceDE/>
                    <w:autoSpaceDN/>
                    <w:bidi w:val="0"/>
                    <w:rPr>
                      <w:b/>
                      <w:bCs/>
                      <w:color w:val="auto"/>
                    </w:rPr>
                  </w:pPr>
                  <w:r>
                    <w:rPr>
                      <w:b/>
                      <w:bCs/>
                      <w:color w:val="auto"/>
                    </w:rPr>
                    <w:t>污染物</w:t>
                  </w:r>
                </w:p>
                <w:p w14:paraId="3A117CE4">
                  <w:pPr>
                    <w:pStyle w:val="26"/>
                    <w:keepNext w:val="0"/>
                    <w:keepLines w:val="0"/>
                    <w:pageBreakBefore w:val="0"/>
                    <w:kinsoku/>
                    <w:overflowPunct/>
                    <w:autoSpaceDE/>
                    <w:autoSpaceDN/>
                    <w:bidi w:val="0"/>
                    <w:rPr>
                      <w:b/>
                      <w:bCs/>
                      <w:color w:val="auto"/>
                    </w:rPr>
                  </w:pPr>
                  <w:r>
                    <w:rPr>
                      <w:b/>
                      <w:bCs/>
                      <w:color w:val="auto"/>
                    </w:rPr>
                    <w:t>名称</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7E958A0F">
                  <w:pPr>
                    <w:pStyle w:val="26"/>
                    <w:keepNext w:val="0"/>
                    <w:keepLines w:val="0"/>
                    <w:pageBreakBefore w:val="0"/>
                    <w:kinsoku/>
                    <w:overflowPunct/>
                    <w:autoSpaceDE/>
                    <w:autoSpaceDN/>
                    <w:bidi w:val="0"/>
                    <w:rPr>
                      <w:b/>
                      <w:bCs/>
                      <w:color w:val="auto"/>
                    </w:rPr>
                  </w:pPr>
                  <w:r>
                    <w:rPr>
                      <w:b/>
                      <w:bCs/>
                      <w:color w:val="auto"/>
                    </w:rPr>
                    <w:t>取值时间</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7F80D3DE">
                  <w:pPr>
                    <w:pStyle w:val="26"/>
                    <w:keepNext w:val="0"/>
                    <w:keepLines w:val="0"/>
                    <w:pageBreakBefore w:val="0"/>
                    <w:kinsoku/>
                    <w:overflowPunct/>
                    <w:autoSpaceDE/>
                    <w:autoSpaceDN/>
                    <w:bidi w:val="0"/>
                    <w:rPr>
                      <w:b/>
                      <w:bCs/>
                      <w:color w:val="auto"/>
                    </w:rPr>
                  </w:pPr>
                  <w:r>
                    <w:rPr>
                      <w:b/>
                      <w:bCs/>
                      <w:color w:val="auto"/>
                    </w:rPr>
                    <w:t>浓度限值mg/m</w:t>
                  </w:r>
                  <w:r>
                    <w:rPr>
                      <w:b/>
                      <w:bCs/>
                      <w:color w:val="auto"/>
                      <w:vertAlign w:val="superscript"/>
                    </w:rPr>
                    <w:t>3</w:t>
                  </w:r>
                </w:p>
              </w:tc>
              <w:tc>
                <w:tcPr>
                  <w:tcW w:w="2305" w:type="pct"/>
                  <w:tcBorders>
                    <w:top w:val="single" w:color="auto" w:sz="4" w:space="0"/>
                    <w:left w:val="single" w:color="auto" w:sz="4" w:space="0"/>
                    <w:bottom w:val="single" w:color="auto" w:sz="4" w:space="0"/>
                    <w:right w:val="single" w:color="auto" w:sz="4" w:space="0"/>
                  </w:tcBorders>
                  <w:noWrap w:val="0"/>
                  <w:vAlign w:val="center"/>
                </w:tcPr>
                <w:p w14:paraId="57677A77">
                  <w:pPr>
                    <w:pStyle w:val="26"/>
                    <w:keepNext w:val="0"/>
                    <w:keepLines w:val="0"/>
                    <w:pageBreakBefore w:val="0"/>
                    <w:kinsoku/>
                    <w:overflowPunct/>
                    <w:autoSpaceDE/>
                    <w:autoSpaceDN/>
                    <w:bidi w:val="0"/>
                    <w:rPr>
                      <w:b/>
                      <w:bCs/>
                      <w:color w:val="auto"/>
                    </w:rPr>
                  </w:pPr>
                  <w:r>
                    <w:rPr>
                      <w:b/>
                      <w:bCs/>
                      <w:color w:val="auto"/>
                    </w:rPr>
                    <w:t>标准来源</w:t>
                  </w:r>
                </w:p>
              </w:tc>
            </w:tr>
            <w:tr w14:paraId="63D17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restart"/>
                  <w:tcBorders>
                    <w:top w:val="single" w:color="auto" w:sz="4" w:space="0"/>
                    <w:left w:val="single" w:color="auto" w:sz="4" w:space="0"/>
                    <w:bottom w:val="single" w:color="auto" w:sz="4" w:space="0"/>
                    <w:right w:val="single" w:color="auto" w:sz="4" w:space="0"/>
                  </w:tcBorders>
                  <w:noWrap w:val="0"/>
                  <w:vAlign w:val="center"/>
                </w:tcPr>
                <w:p w14:paraId="3F786A37">
                  <w:pPr>
                    <w:pStyle w:val="26"/>
                    <w:keepNext w:val="0"/>
                    <w:keepLines w:val="0"/>
                    <w:pageBreakBefore w:val="0"/>
                    <w:kinsoku/>
                    <w:overflowPunct/>
                    <w:autoSpaceDE/>
                    <w:autoSpaceDN/>
                    <w:bidi w:val="0"/>
                    <w:rPr>
                      <w:color w:val="auto"/>
                    </w:rPr>
                  </w:pPr>
                  <w:r>
                    <w:rPr>
                      <w:color w:val="auto"/>
                    </w:rPr>
                    <w:t>SO</w:t>
                  </w:r>
                  <w:r>
                    <w:rPr>
                      <w:color w:val="auto"/>
                      <w:vertAlign w:val="subscript"/>
                    </w:rPr>
                    <w:t>2</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6888E2A">
                  <w:pPr>
                    <w:pStyle w:val="26"/>
                    <w:keepNext w:val="0"/>
                    <w:keepLines w:val="0"/>
                    <w:pageBreakBefore w:val="0"/>
                    <w:kinsoku/>
                    <w:overflowPunct/>
                    <w:autoSpaceDE/>
                    <w:autoSpaceDN/>
                    <w:bidi w:val="0"/>
                    <w:rPr>
                      <w:color w:val="auto"/>
                    </w:rPr>
                  </w:pPr>
                  <w:r>
                    <w:rPr>
                      <w:color w:val="auto"/>
                    </w:rPr>
                    <w:t>24小时平均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64E0152F">
                  <w:pPr>
                    <w:pStyle w:val="26"/>
                    <w:keepNext w:val="0"/>
                    <w:keepLines w:val="0"/>
                    <w:pageBreakBefore w:val="0"/>
                    <w:kinsoku/>
                    <w:overflowPunct/>
                    <w:autoSpaceDE/>
                    <w:autoSpaceDN/>
                    <w:bidi w:val="0"/>
                    <w:rPr>
                      <w:color w:val="auto"/>
                    </w:rPr>
                  </w:pPr>
                  <w:r>
                    <w:rPr>
                      <w:color w:val="auto"/>
                    </w:rPr>
                    <w:t>0.15</w:t>
                  </w:r>
                </w:p>
              </w:tc>
              <w:tc>
                <w:tcPr>
                  <w:tcW w:w="2305" w:type="pct"/>
                  <w:vMerge w:val="restart"/>
                  <w:tcBorders>
                    <w:top w:val="single" w:color="auto" w:sz="4" w:space="0"/>
                    <w:left w:val="single" w:color="auto" w:sz="4" w:space="0"/>
                    <w:right w:val="single" w:color="auto" w:sz="4" w:space="0"/>
                  </w:tcBorders>
                  <w:noWrap w:val="0"/>
                  <w:vAlign w:val="center"/>
                </w:tcPr>
                <w:p w14:paraId="2ABEC7D3">
                  <w:pPr>
                    <w:pStyle w:val="26"/>
                    <w:keepNext w:val="0"/>
                    <w:keepLines w:val="0"/>
                    <w:pageBreakBefore w:val="0"/>
                    <w:kinsoku/>
                    <w:overflowPunct/>
                    <w:autoSpaceDE/>
                    <w:autoSpaceDN/>
                    <w:bidi w:val="0"/>
                    <w:rPr>
                      <w:color w:val="auto"/>
                    </w:rPr>
                  </w:pPr>
                  <w:r>
                    <w:rPr>
                      <w:color w:val="auto"/>
                    </w:rPr>
                    <w:t>《环境空气质量标准》（GB3095-2012）</w:t>
                  </w:r>
                  <w:r>
                    <w:rPr>
                      <w:rFonts w:hint="eastAsia"/>
                      <w:color w:val="auto"/>
                    </w:rPr>
                    <w:t>及2018年修改单</w:t>
                  </w:r>
                  <w:r>
                    <w:rPr>
                      <w:color w:val="auto"/>
                    </w:rPr>
                    <w:t>中二级标准</w:t>
                  </w:r>
                </w:p>
              </w:tc>
            </w:tr>
            <w:tr w14:paraId="05B16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continue"/>
                  <w:tcBorders>
                    <w:top w:val="single" w:color="auto" w:sz="4" w:space="0"/>
                    <w:left w:val="single" w:color="auto" w:sz="4" w:space="0"/>
                    <w:bottom w:val="single" w:color="auto" w:sz="4" w:space="0"/>
                    <w:right w:val="single" w:color="auto" w:sz="4" w:space="0"/>
                  </w:tcBorders>
                  <w:noWrap w:val="0"/>
                  <w:vAlign w:val="center"/>
                </w:tcPr>
                <w:p w14:paraId="67C4C34E">
                  <w:pPr>
                    <w:pStyle w:val="26"/>
                    <w:keepNext w:val="0"/>
                    <w:keepLines w:val="0"/>
                    <w:pageBreakBefore w:val="0"/>
                    <w:kinsoku/>
                    <w:overflowPunct/>
                    <w:autoSpaceDE/>
                    <w:autoSpaceDN/>
                    <w:bidi w:val="0"/>
                    <w:rPr>
                      <w:color w:val="auto"/>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70599B40">
                  <w:pPr>
                    <w:pStyle w:val="26"/>
                    <w:keepNext w:val="0"/>
                    <w:keepLines w:val="0"/>
                    <w:pageBreakBefore w:val="0"/>
                    <w:kinsoku/>
                    <w:overflowPunct/>
                    <w:autoSpaceDE/>
                    <w:autoSpaceDN/>
                    <w:bidi w:val="0"/>
                    <w:rPr>
                      <w:color w:val="auto"/>
                    </w:rPr>
                  </w:pPr>
                  <w:r>
                    <w:rPr>
                      <w:color w:val="auto"/>
                    </w:rPr>
                    <w:t>1小时平均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61CE20C9">
                  <w:pPr>
                    <w:pStyle w:val="26"/>
                    <w:keepNext w:val="0"/>
                    <w:keepLines w:val="0"/>
                    <w:pageBreakBefore w:val="0"/>
                    <w:kinsoku/>
                    <w:overflowPunct/>
                    <w:autoSpaceDE/>
                    <w:autoSpaceDN/>
                    <w:bidi w:val="0"/>
                    <w:rPr>
                      <w:color w:val="auto"/>
                    </w:rPr>
                  </w:pPr>
                  <w:r>
                    <w:rPr>
                      <w:color w:val="auto"/>
                    </w:rPr>
                    <w:t>0.50</w:t>
                  </w:r>
                </w:p>
              </w:tc>
              <w:tc>
                <w:tcPr>
                  <w:tcW w:w="2305" w:type="pct"/>
                  <w:vMerge w:val="continue"/>
                  <w:tcBorders>
                    <w:left w:val="single" w:color="auto" w:sz="4" w:space="0"/>
                    <w:right w:val="single" w:color="auto" w:sz="4" w:space="0"/>
                  </w:tcBorders>
                  <w:noWrap w:val="0"/>
                  <w:vAlign w:val="center"/>
                </w:tcPr>
                <w:p w14:paraId="4E6F6C4F">
                  <w:pPr>
                    <w:pStyle w:val="26"/>
                    <w:keepNext w:val="0"/>
                    <w:keepLines w:val="0"/>
                    <w:pageBreakBefore w:val="0"/>
                    <w:kinsoku/>
                    <w:overflowPunct/>
                    <w:autoSpaceDE/>
                    <w:autoSpaceDN/>
                    <w:bidi w:val="0"/>
                    <w:rPr>
                      <w:color w:val="auto"/>
                    </w:rPr>
                  </w:pPr>
                </w:p>
              </w:tc>
            </w:tr>
            <w:tr w14:paraId="69F09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restart"/>
                  <w:tcBorders>
                    <w:top w:val="single" w:color="auto" w:sz="4" w:space="0"/>
                    <w:left w:val="single" w:color="auto" w:sz="4" w:space="0"/>
                    <w:bottom w:val="single" w:color="auto" w:sz="4" w:space="0"/>
                    <w:right w:val="single" w:color="auto" w:sz="4" w:space="0"/>
                  </w:tcBorders>
                  <w:noWrap w:val="0"/>
                  <w:vAlign w:val="center"/>
                </w:tcPr>
                <w:p w14:paraId="6DC1747E">
                  <w:pPr>
                    <w:pStyle w:val="26"/>
                    <w:keepNext w:val="0"/>
                    <w:keepLines w:val="0"/>
                    <w:pageBreakBefore w:val="0"/>
                    <w:kinsoku/>
                    <w:overflowPunct/>
                    <w:autoSpaceDE/>
                    <w:autoSpaceDN/>
                    <w:bidi w:val="0"/>
                    <w:rPr>
                      <w:color w:val="auto"/>
                    </w:rPr>
                  </w:pPr>
                  <w:r>
                    <w:rPr>
                      <w:color w:val="auto"/>
                    </w:rPr>
                    <w:t>NO</w:t>
                  </w:r>
                  <w:r>
                    <w:rPr>
                      <w:color w:val="auto"/>
                      <w:vertAlign w:val="subscript"/>
                    </w:rPr>
                    <w:t>2</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1A9BD28">
                  <w:pPr>
                    <w:pStyle w:val="26"/>
                    <w:keepNext w:val="0"/>
                    <w:keepLines w:val="0"/>
                    <w:pageBreakBefore w:val="0"/>
                    <w:kinsoku/>
                    <w:overflowPunct/>
                    <w:autoSpaceDE/>
                    <w:autoSpaceDN/>
                    <w:bidi w:val="0"/>
                    <w:rPr>
                      <w:color w:val="auto"/>
                    </w:rPr>
                  </w:pPr>
                  <w:r>
                    <w:rPr>
                      <w:color w:val="auto"/>
                    </w:rPr>
                    <w:t>24小时平均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7FE1C568">
                  <w:pPr>
                    <w:pStyle w:val="26"/>
                    <w:keepNext w:val="0"/>
                    <w:keepLines w:val="0"/>
                    <w:pageBreakBefore w:val="0"/>
                    <w:kinsoku/>
                    <w:overflowPunct/>
                    <w:autoSpaceDE/>
                    <w:autoSpaceDN/>
                    <w:bidi w:val="0"/>
                    <w:rPr>
                      <w:color w:val="auto"/>
                    </w:rPr>
                  </w:pPr>
                  <w:r>
                    <w:rPr>
                      <w:color w:val="auto"/>
                    </w:rPr>
                    <w:t>0.08</w:t>
                  </w:r>
                </w:p>
              </w:tc>
              <w:tc>
                <w:tcPr>
                  <w:tcW w:w="2305" w:type="pct"/>
                  <w:vMerge w:val="continue"/>
                  <w:tcBorders>
                    <w:left w:val="single" w:color="auto" w:sz="4" w:space="0"/>
                    <w:right w:val="single" w:color="auto" w:sz="4" w:space="0"/>
                  </w:tcBorders>
                  <w:noWrap w:val="0"/>
                  <w:vAlign w:val="center"/>
                </w:tcPr>
                <w:p w14:paraId="7E1B2013">
                  <w:pPr>
                    <w:pStyle w:val="26"/>
                    <w:keepNext w:val="0"/>
                    <w:keepLines w:val="0"/>
                    <w:pageBreakBefore w:val="0"/>
                    <w:kinsoku/>
                    <w:overflowPunct/>
                    <w:autoSpaceDE/>
                    <w:autoSpaceDN/>
                    <w:bidi w:val="0"/>
                    <w:rPr>
                      <w:color w:val="auto"/>
                    </w:rPr>
                  </w:pPr>
                </w:p>
              </w:tc>
            </w:tr>
            <w:tr w14:paraId="6A94F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continue"/>
                  <w:tcBorders>
                    <w:top w:val="single" w:color="auto" w:sz="4" w:space="0"/>
                    <w:left w:val="single" w:color="auto" w:sz="4" w:space="0"/>
                    <w:bottom w:val="single" w:color="auto" w:sz="4" w:space="0"/>
                    <w:right w:val="single" w:color="auto" w:sz="4" w:space="0"/>
                  </w:tcBorders>
                  <w:noWrap w:val="0"/>
                  <w:vAlign w:val="center"/>
                </w:tcPr>
                <w:p w14:paraId="291AFA05">
                  <w:pPr>
                    <w:pStyle w:val="26"/>
                    <w:keepNext w:val="0"/>
                    <w:keepLines w:val="0"/>
                    <w:pageBreakBefore w:val="0"/>
                    <w:kinsoku/>
                    <w:overflowPunct/>
                    <w:autoSpaceDE/>
                    <w:autoSpaceDN/>
                    <w:bidi w:val="0"/>
                    <w:rPr>
                      <w:color w:val="auto"/>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923A6CF">
                  <w:pPr>
                    <w:pStyle w:val="26"/>
                    <w:keepNext w:val="0"/>
                    <w:keepLines w:val="0"/>
                    <w:pageBreakBefore w:val="0"/>
                    <w:kinsoku/>
                    <w:overflowPunct/>
                    <w:autoSpaceDE/>
                    <w:autoSpaceDN/>
                    <w:bidi w:val="0"/>
                    <w:rPr>
                      <w:color w:val="auto"/>
                    </w:rPr>
                  </w:pPr>
                  <w:r>
                    <w:rPr>
                      <w:color w:val="auto"/>
                    </w:rPr>
                    <w:t>1小时平均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5C3FC404">
                  <w:pPr>
                    <w:pStyle w:val="26"/>
                    <w:keepNext w:val="0"/>
                    <w:keepLines w:val="0"/>
                    <w:pageBreakBefore w:val="0"/>
                    <w:kinsoku/>
                    <w:overflowPunct/>
                    <w:autoSpaceDE/>
                    <w:autoSpaceDN/>
                    <w:bidi w:val="0"/>
                    <w:rPr>
                      <w:color w:val="auto"/>
                    </w:rPr>
                  </w:pPr>
                  <w:r>
                    <w:rPr>
                      <w:color w:val="auto"/>
                    </w:rPr>
                    <w:t>0.</w:t>
                  </w:r>
                  <w:r>
                    <w:rPr>
                      <w:rFonts w:hint="eastAsia"/>
                      <w:color w:val="auto"/>
                    </w:rPr>
                    <w:t>20</w:t>
                  </w:r>
                </w:p>
              </w:tc>
              <w:tc>
                <w:tcPr>
                  <w:tcW w:w="2305" w:type="pct"/>
                  <w:vMerge w:val="continue"/>
                  <w:tcBorders>
                    <w:left w:val="single" w:color="auto" w:sz="4" w:space="0"/>
                    <w:right w:val="single" w:color="auto" w:sz="4" w:space="0"/>
                  </w:tcBorders>
                  <w:noWrap w:val="0"/>
                  <w:vAlign w:val="center"/>
                </w:tcPr>
                <w:p w14:paraId="494D63E5">
                  <w:pPr>
                    <w:pStyle w:val="26"/>
                    <w:keepNext w:val="0"/>
                    <w:keepLines w:val="0"/>
                    <w:pageBreakBefore w:val="0"/>
                    <w:kinsoku/>
                    <w:overflowPunct/>
                    <w:autoSpaceDE/>
                    <w:autoSpaceDN/>
                    <w:bidi w:val="0"/>
                    <w:rPr>
                      <w:color w:val="auto"/>
                    </w:rPr>
                  </w:pPr>
                </w:p>
              </w:tc>
            </w:tr>
            <w:tr w14:paraId="1FB4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restart"/>
                  <w:tcBorders>
                    <w:top w:val="single" w:color="auto" w:sz="4" w:space="0"/>
                    <w:left w:val="single" w:color="auto" w:sz="4" w:space="0"/>
                    <w:bottom w:val="single" w:color="auto" w:sz="4" w:space="0"/>
                    <w:right w:val="single" w:color="auto" w:sz="4" w:space="0"/>
                  </w:tcBorders>
                  <w:noWrap w:val="0"/>
                  <w:vAlign w:val="center"/>
                </w:tcPr>
                <w:p w14:paraId="5F663D6B">
                  <w:pPr>
                    <w:pStyle w:val="26"/>
                    <w:keepNext w:val="0"/>
                    <w:keepLines w:val="0"/>
                    <w:pageBreakBefore w:val="0"/>
                    <w:kinsoku/>
                    <w:overflowPunct/>
                    <w:autoSpaceDE/>
                    <w:autoSpaceDN/>
                    <w:bidi w:val="0"/>
                    <w:rPr>
                      <w:color w:val="auto"/>
                    </w:rPr>
                  </w:pPr>
                  <w:r>
                    <w:rPr>
                      <w:color w:val="auto"/>
                    </w:rPr>
                    <w:t>TSP</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6F529C9">
                  <w:pPr>
                    <w:pStyle w:val="26"/>
                    <w:keepNext w:val="0"/>
                    <w:keepLines w:val="0"/>
                    <w:pageBreakBefore w:val="0"/>
                    <w:kinsoku/>
                    <w:overflowPunct/>
                    <w:autoSpaceDE/>
                    <w:autoSpaceDN/>
                    <w:bidi w:val="0"/>
                    <w:rPr>
                      <w:color w:val="auto"/>
                    </w:rPr>
                  </w:pPr>
                  <w:r>
                    <w:rPr>
                      <w:color w:val="auto"/>
                    </w:rPr>
                    <w:t>年平均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71FC2093">
                  <w:pPr>
                    <w:pStyle w:val="26"/>
                    <w:keepNext w:val="0"/>
                    <w:keepLines w:val="0"/>
                    <w:pageBreakBefore w:val="0"/>
                    <w:kinsoku/>
                    <w:overflowPunct/>
                    <w:autoSpaceDE/>
                    <w:autoSpaceDN/>
                    <w:bidi w:val="0"/>
                    <w:rPr>
                      <w:color w:val="auto"/>
                    </w:rPr>
                  </w:pPr>
                  <w:r>
                    <w:rPr>
                      <w:color w:val="auto"/>
                    </w:rPr>
                    <w:t>0.20</w:t>
                  </w:r>
                </w:p>
              </w:tc>
              <w:tc>
                <w:tcPr>
                  <w:tcW w:w="2305" w:type="pct"/>
                  <w:vMerge w:val="continue"/>
                  <w:tcBorders>
                    <w:left w:val="single" w:color="auto" w:sz="4" w:space="0"/>
                    <w:right w:val="single" w:color="auto" w:sz="4" w:space="0"/>
                  </w:tcBorders>
                  <w:noWrap w:val="0"/>
                  <w:vAlign w:val="center"/>
                </w:tcPr>
                <w:p w14:paraId="4E614D7C">
                  <w:pPr>
                    <w:pStyle w:val="26"/>
                    <w:keepNext w:val="0"/>
                    <w:keepLines w:val="0"/>
                    <w:pageBreakBefore w:val="0"/>
                    <w:kinsoku/>
                    <w:overflowPunct/>
                    <w:autoSpaceDE/>
                    <w:autoSpaceDN/>
                    <w:bidi w:val="0"/>
                    <w:rPr>
                      <w:color w:val="auto"/>
                    </w:rPr>
                  </w:pPr>
                </w:p>
              </w:tc>
            </w:tr>
            <w:tr w14:paraId="42AC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8" w:hRule="atLeast"/>
                <w:jc w:val="center"/>
              </w:trPr>
              <w:tc>
                <w:tcPr>
                  <w:tcW w:w="698" w:type="pct"/>
                  <w:vMerge w:val="continue"/>
                  <w:tcBorders>
                    <w:top w:val="single" w:color="auto" w:sz="4" w:space="0"/>
                    <w:left w:val="single" w:color="auto" w:sz="4" w:space="0"/>
                    <w:bottom w:val="single" w:color="auto" w:sz="4" w:space="0"/>
                    <w:right w:val="single" w:color="auto" w:sz="4" w:space="0"/>
                  </w:tcBorders>
                  <w:noWrap w:val="0"/>
                  <w:vAlign w:val="center"/>
                </w:tcPr>
                <w:p w14:paraId="286BDE4E">
                  <w:pPr>
                    <w:pStyle w:val="26"/>
                    <w:keepNext w:val="0"/>
                    <w:keepLines w:val="0"/>
                    <w:pageBreakBefore w:val="0"/>
                    <w:kinsoku/>
                    <w:overflowPunct/>
                    <w:autoSpaceDE/>
                    <w:autoSpaceDN/>
                    <w:bidi w:val="0"/>
                    <w:rPr>
                      <w:color w:val="auto"/>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9CE1EA7">
                  <w:pPr>
                    <w:pStyle w:val="26"/>
                    <w:keepNext w:val="0"/>
                    <w:keepLines w:val="0"/>
                    <w:pageBreakBefore w:val="0"/>
                    <w:kinsoku/>
                    <w:overflowPunct/>
                    <w:autoSpaceDE/>
                    <w:autoSpaceDN/>
                    <w:bidi w:val="0"/>
                    <w:rPr>
                      <w:color w:val="auto"/>
                    </w:rPr>
                  </w:pPr>
                  <w:r>
                    <w:rPr>
                      <w:color w:val="auto"/>
                    </w:rPr>
                    <w:t>24小时平均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4BFFB57E">
                  <w:pPr>
                    <w:pStyle w:val="26"/>
                    <w:keepNext w:val="0"/>
                    <w:keepLines w:val="0"/>
                    <w:pageBreakBefore w:val="0"/>
                    <w:kinsoku/>
                    <w:overflowPunct/>
                    <w:autoSpaceDE/>
                    <w:autoSpaceDN/>
                    <w:bidi w:val="0"/>
                    <w:rPr>
                      <w:color w:val="auto"/>
                    </w:rPr>
                  </w:pPr>
                  <w:r>
                    <w:rPr>
                      <w:color w:val="auto"/>
                    </w:rPr>
                    <w:t>0.30</w:t>
                  </w:r>
                </w:p>
              </w:tc>
              <w:tc>
                <w:tcPr>
                  <w:tcW w:w="2305" w:type="pct"/>
                  <w:vMerge w:val="continue"/>
                  <w:tcBorders>
                    <w:left w:val="single" w:color="auto" w:sz="4" w:space="0"/>
                    <w:right w:val="single" w:color="auto" w:sz="4" w:space="0"/>
                  </w:tcBorders>
                  <w:noWrap w:val="0"/>
                  <w:vAlign w:val="center"/>
                </w:tcPr>
                <w:p w14:paraId="2F7ED955">
                  <w:pPr>
                    <w:pStyle w:val="26"/>
                    <w:keepNext w:val="0"/>
                    <w:keepLines w:val="0"/>
                    <w:pageBreakBefore w:val="0"/>
                    <w:kinsoku/>
                    <w:overflowPunct/>
                    <w:autoSpaceDE/>
                    <w:autoSpaceDN/>
                    <w:bidi w:val="0"/>
                    <w:rPr>
                      <w:color w:val="auto"/>
                    </w:rPr>
                  </w:pPr>
                </w:p>
              </w:tc>
            </w:tr>
            <w:tr w14:paraId="35761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restart"/>
                  <w:tcBorders>
                    <w:top w:val="single" w:color="auto" w:sz="4" w:space="0"/>
                    <w:left w:val="single" w:color="auto" w:sz="4" w:space="0"/>
                    <w:bottom w:val="single" w:color="auto" w:sz="4" w:space="0"/>
                    <w:right w:val="single" w:color="auto" w:sz="4" w:space="0"/>
                  </w:tcBorders>
                  <w:noWrap w:val="0"/>
                  <w:vAlign w:val="center"/>
                </w:tcPr>
                <w:p w14:paraId="512F36A7">
                  <w:pPr>
                    <w:pStyle w:val="26"/>
                    <w:keepNext w:val="0"/>
                    <w:keepLines w:val="0"/>
                    <w:pageBreakBefore w:val="0"/>
                    <w:kinsoku/>
                    <w:overflowPunct/>
                    <w:autoSpaceDE/>
                    <w:autoSpaceDN/>
                    <w:bidi w:val="0"/>
                    <w:rPr>
                      <w:color w:val="auto"/>
                    </w:rPr>
                  </w:pPr>
                  <w:r>
                    <w:rPr>
                      <w:color w:val="auto"/>
                    </w:rPr>
                    <w:t>PM</w:t>
                  </w:r>
                  <w:r>
                    <w:rPr>
                      <w:color w:val="auto"/>
                      <w:vertAlign w:val="subscript"/>
                    </w:rPr>
                    <w:t>10</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22251DEC">
                  <w:pPr>
                    <w:pStyle w:val="26"/>
                    <w:keepNext w:val="0"/>
                    <w:keepLines w:val="0"/>
                    <w:pageBreakBefore w:val="0"/>
                    <w:kinsoku/>
                    <w:overflowPunct/>
                    <w:autoSpaceDE/>
                    <w:autoSpaceDN/>
                    <w:bidi w:val="0"/>
                    <w:rPr>
                      <w:color w:val="auto"/>
                    </w:rPr>
                  </w:pPr>
                  <w:r>
                    <w:rPr>
                      <w:color w:val="auto"/>
                    </w:rPr>
                    <w:t>年平均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4B9070F6">
                  <w:pPr>
                    <w:pStyle w:val="26"/>
                    <w:keepNext w:val="0"/>
                    <w:keepLines w:val="0"/>
                    <w:pageBreakBefore w:val="0"/>
                    <w:kinsoku/>
                    <w:overflowPunct/>
                    <w:autoSpaceDE/>
                    <w:autoSpaceDN/>
                    <w:bidi w:val="0"/>
                    <w:rPr>
                      <w:color w:val="auto"/>
                    </w:rPr>
                  </w:pPr>
                  <w:r>
                    <w:rPr>
                      <w:color w:val="auto"/>
                    </w:rPr>
                    <w:t>0.</w:t>
                  </w:r>
                  <w:r>
                    <w:rPr>
                      <w:rFonts w:hint="eastAsia"/>
                      <w:color w:val="auto"/>
                    </w:rPr>
                    <w:t>07</w:t>
                  </w:r>
                </w:p>
              </w:tc>
              <w:tc>
                <w:tcPr>
                  <w:tcW w:w="2305" w:type="pct"/>
                  <w:vMerge w:val="continue"/>
                  <w:tcBorders>
                    <w:left w:val="single" w:color="auto" w:sz="4" w:space="0"/>
                    <w:right w:val="single" w:color="auto" w:sz="4" w:space="0"/>
                  </w:tcBorders>
                  <w:noWrap w:val="0"/>
                  <w:vAlign w:val="center"/>
                </w:tcPr>
                <w:p w14:paraId="0E548E32">
                  <w:pPr>
                    <w:pStyle w:val="26"/>
                    <w:keepNext w:val="0"/>
                    <w:keepLines w:val="0"/>
                    <w:pageBreakBefore w:val="0"/>
                    <w:kinsoku/>
                    <w:overflowPunct/>
                    <w:autoSpaceDE/>
                    <w:autoSpaceDN/>
                    <w:bidi w:val="0"/>
                    <w:rPr>
                      <w:color w:val="auto"/>
                    </w:rPr>
                  </w:pPr>
                </w:p>
              </w:tc>
            </w:tr>
            <w:tr w14:paraId="2B76C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continue"/>
                  <w:tcBorders>
                    <w:top w:val="single" w:color="auto" w:sz="4" w:space="0"/>
                    <w:left w:val="single" w:color="auto" w:sz="4" w:space="0"/>
                    <w:bottom w:val="single" w:color="auto" w:sz="4" w:space="0"/>
                    <w:right w:val="single" w:color="auto" w:sz="4" w:space="0"/>
                  </w:tcBorders>
                  <w:noWrap w:val="0"/>
                  <w:vAlign w:val="center"/>
                </w:tcPr>
                <w:p w14:paraId="7D1BB4E9">
                  <w:pPr>
                    <w:pStyle w:val="26"/>
                    <w:keepNext w:val="0"/>
                    <w:keepLines w:val="0"/>
                    <w:pageBreakBefore w:val="0"/>
                    <w:kinsoku/>
                    <w:overflowPunct/>
                    <w:autoSpaceDE/>
                    <w:autoSpaceDN/>
                    <w:bidi w:val="0"/>
                    <w:rPr>
                      <w:color w:val="auto"/>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361C1737">
                  <w:pPr>
                    <w:pStyle w:val="26"/>
                    <w:keepNext w:val="0"/>
                    <w:keepLines w:val="0"/>
                    <w:pageBreakBefore w:val="0"/>
                    <w:kinsoku/>
                    <w:overflowPunct/>
                    <w:autoSpaceDE/>
                    <w:autoSpaceDN/>
                    <w:bidi w:val="0"/>
                    <w:rPr>
                      <w:color w:val="auto"/>
                    </w:rPr>
                  </w:pPr>
                  <w:r>
                    <w:rPr>
                      <w:color w:val="auto"/>
                    </w:rPr>
                    <w:t>24小时平均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20E5F155">
                  <w:pPr>
                    <w:pStyle w:val="26"/>
                    <w:keepNext w:val="0"/>
                    <w:keepLines w:val="0"/>
                    <w:pageBreakBefore w:val="0"/>
                    <w:kinsoku/>
                    <w:overflowPunct/>
                    <w:autoSpaceDE/>
                    <w:autoSpaceDN/>
                    <w:bidi w:val="0"/>
                    <w:rPr>
                      <w:color w:val="auto"/>
                    </w:rPr>
                  </w:pPr>
                  <w:r>
                    <w:rPr>
                      <w:color w:val="auto"/>
                    </w:rPr>
                    <w:t>0.15</w:t>
                  </w:r>
                </w:p>
              </w:tc>
              <w:tc>
                <w:tcPr>
                  <w:tcW w:w="2305" w:type="pct"/>
                  <w:vMerge w:val="continue"/>
                  <w:tcBorders>
                    <w:left w:val="single" w:color="auto" w:sz="4" w:space="0"/>
                    <w:right w:val="single" w:color="auto" w:sz="4" w:space="0"/>
                  </w:tcBorders>
                  <w:noWrap w:val="0"/>
                  <w:vAlign w:val="center"/>
                </w:tcPr>
                <w:p w14:paraId="77BC36B2">
                  <w:pPr>
                    <w:pStyle w:val="26"/>
                    <w:keepNext w:val="0"/>
                    <w:keepLines w:val="0"/>
                    <w:pageBreakBefore w:val="0"/>
                    <w:kinsoku/>
                    <w:overflowPunct/>
                    <w:autoSpaceDE/>
                    <w:autoSpaceDN/>
                    <w:bidi w:val="0"/>
                    <w:rPr>
                      <w:color w:val="auto"/>
                    </w:rPr>
                  </w:pPr>
                </w:p>
              </w:tc>
            </w:tr>
            <w:tr w14:paraId="7211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98" w:hRule="atLeast"/>
                <w:jc w:val="center"/>
              </w:trPr>
              <w:tc>
                <w:tcPr>
                  <w:tcW w:w="698" w:type="pct"/>
                  <w:vMerge w:val="restart"/>
                  <w:tcBorders>
                    <w:top w:val="single" w:color="auto" w:sz="4" w:space="0"/>
                    <w:left w:val="single" w:color="auto" w:sz="4" w:space="0"/>
                    <w:right w:val="single" w:color="auto" w:sz="4" w:space="0"/>
                  </w:tcBorders>
                  <w:noWrap w:val="0"/>
                  <w:vAlign w:val="center"/>
                </w:tcPr>
                <w:p w14:paraId="7BD3FDF1">
                  <w:pPr>
                    <w:pStyle w:val="26"/>
                    <w:keepNext w:val="0"/>
                    <w:keepLines w:val="0"/>
                    <w:pageBreakBefore w:val="0"/>
                    <w:kinsoku/>
                    <w:overflowPunct/>
                    <w:autoSpaceDE/>
                    <w:autoSpaceDN/>
                    <w:bidi w:val="0"/>
                    <w:rPr>
                      <w:color w:val="auto"/>
                    </w:rPr>
                  </w:pPr>
                  <w:r>
                    <w:rPr>
                      <w:color w:val="auto"/>
                    </w:rPr>
                    <w:t>PM</w:t>
                  </w:r>
                  <w:r>
                    <w:rPr>
                      <w:rFonts w:hint="eastAsia"/>
                      <w:color w:val="auto"/>
                      <w:vertAlign w:val="subscript"/>
                    </w:rPr>
                    <w:t>2.5</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1842D1D">
                  <w:pPr>
                    <w:pStyle w:val="26"/>
                    <w:keepNext w:val="0"/>
                    <w:keepLines w:val="0"/>
                    <w:pageBreakBefore w:val="0"/>
                    <w:kinsoku/>
                    <w:overflowPunct/>
                    <w:autoSpaceDE/>
                    <w:autoSpaceDN/>
                    <w:bidi w:val="0"/>
                    <w:rPr>
                      <w:color w:val="auto"/>
                    </w:rPr>
                  </w:pPr>
                  <w:r>
                    <w:rPr>
                      <w:color w:val="auto"/>
                    </w:rPr>
                    <w:t>年平均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3293703F">
                  <w:pPr>
                    <w:pStyle w:val="26"/>
                    <w:keepNext w:val="0"/>
                    <w:keepLines w:val="0"/>
                    <w:pageBreakBefore w:val="0"/>
                    <w:kinsoku/>
                    <w:overflowPunct/>
                    <w:autoSpaceDE/>
                    <w:autoSpaceDN/>
                    <w:bidi w:val="0"/>
                    <w:rPr>
                      <w:color w:val="auto"/>
                    </w:rPr>
                  </w:pPr>
                  <w:r>
                    <w:rPr>
                      <w:rFonts w:hint="eastAsia"/>
                      <w:color w:val="auto"/>
                    </w:rPr>
                    <w:t>0.035</w:t>
                  </w:r>
                </w:p>
              </w:tc>
              <w:tc>
                <w:tcPr>
                  <w:tcW w:w="2305" w:type="pct"/>
                  <w:vMerge w:val="continue"/>
                  <w:tcBorders>
                    <w:left w:val="single" w:color="auto" w:sz="4" w:space="0"/>
                    <w:right w:val="single" w:color="auto" w:sz="4" w:space="0"/>
                  </w:tcBorders>
                  <w:noWrap w:val="0"/>
                  <w:vAlign w:val="center"/>
                </w:tcPr>
                <w:p w14:paraId="64D8D6C1">
                  <w:pPr>
                    <w:pStyle w:val="26"/>
                    <w:keepNext w:val="0"/>
                    <w:keepLines w:val="0"/>
                    <w:pageBreakBefore w:val="0"/>
                    <w:kinsoku/>
                    <w:overflowPunct/>
                    <w:autoSpaceDE/>
                    <w:autoSpaceDN/>
                    <w:bidi w:val="0"/>
                    <w:rPr>
                      <w:color w:val="auto"/>
                    </w:rPr>
                  </w:pPr>
                </w:p>
              </w:tc>
            </w:tr>
            <w:tr w14:paraId="7B5A7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continue"/>
                  <w:tcBorders>
                    <w:left w:val="single" w:color="auto" w:sz="4" w:space="0"/>
                    <w:bottom w:val="single" w:color="auto" w:sz="4" w:space="0"/>
                    <w:right w:val="single" w:color="auto" w:sz="4" w:space="0"/>
                  </w:tcBorders>
                  <w:noWrap w:val="0"/>
                  <w:vAlign w:val="center"/>
                </w:tcPr>
                <w:p w14:paraId="4D8019F3">
                  <w:pPr>
                    <w:pStyle w:val="26"/>
                    <w:keepNext w:val="0"/>
                    <w:keepLines w:val="0"/>
                    <w:pageBreakBefore w:val="0"/>
                    <w:kinsoku/>
                    <w:overflowPunct/>
                    <w:autoSpaceDE/>
                    <w:autoSpaceDN/>
                    <w:bidi w:val="0"/>
                    <w:rPr>
                      <w:color w:val="auto"/>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00D73CF">
                  <w:pPr>
                    <w:pStyle w:val="26"/>
                    <w:keepNext w:val="0"/>
                    <w:keepLines w:val="0"/>
                    <w:pageBreakBefore w:val="0"/>
                    <w:kinsoku/>
                    <w:overflowPunct/>
                    <w:autoSpaceDE/>
                    <w:autoSpaceDN/>
                    <w:bidi w:val="0"/>
                    <w:rPr>
                      <w:color w:val="auto"/>
                    </w:rPr>
                  </w:pPr>
                  <w:r>
                    <w:rPr>
                      <w:color w:val="auto"/>
                    </w:rPr>
                    <w:t>24小时平均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74A2F7F9">
                  <w:pPr>
                    <w:pStyle w:val="26"/>
                    <w:keepNext w:val="0"/>
                    <w:keepLines w:val="0"/>
                    <w:pageBreakBefore w:val="0"/>
                    <w:kinsoku/>
                    <w:overflowPunct/>
                    <w:autoSpaceDE/>
                    <w:autoSpaceDN/>
                    <w:bidi w:val="0"/>
                    <w:rPr>
                      <w:color w:val="auto"/>
                    </w:rPr>
                  </w:pPr>
                  <w:r>
                    <w:rPr>
                      <w:rFonts w:hint="eastAsia"/>
                      <w:color w:val="auto"/>
                    </w:rPr>
                    <w:t>0.075</w:t>
                  </w:r>
                </w:p>
              </w:tc>
              <w:tc>
                <w:tcPr>
                  <w:tcW w:w="2305" w:type="pct"/>
                  <w:vMerge w:val="continue"/>
                  <w:tcBorders>
                    <w:left w:val="single" w:color="auto" w:sz="4" w:space="0"/>
                    <w:right w:val="single" w:color="auto" w:sz="4" w:space="0"/>
                  </w:tcBorders>
                  <w:noWrap w:val="0"/>
                  <w:vAlign w:val="center"/>
                </w:tcPr>
                <w:p w14:paraId="3745B05B">
                  <w:pPr>
                    <w:pStyle w:val="26"/>
                    <w:keepNext w:val="0"/>
                    <w:keepLines w:val="0"/>
                    <w:pageBreakBefore w:val="0"/>
                    <w:kinsoku/>
                    <w:overflowPunct/>
                    <w:autoSpaceDE/>
                    <w:autoSpaceDN/>
                    <w:bidi w:val="0"/>
                    <w:rPr>
                      <w:color w:val="auto"/>
                    </w:rPr>
                  </w:pPr>
                </w:p>
              </w:tc>
            </w:tr>
            <w:tr w14:paraId="6234F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8" w:hRule="atLeast"/>
                <w:jc w:val="center"/>
              </w:trPr>
              <w:tc>
                <w:tcPr>
                  <w:tcW w:w="698" w:type="pct"/>
                  <w:vMerge w:val="restart"/>
                  <w:tcBorders>
                    <w:top w:val="single" w:color="auto" w:sz="4" w:space="0"/>
                    <w:left w:val="single" w:color="auto" w:sz="4" w:space="0"/>
                    <w:bottom w:val="single" w:color="auto" w:sz="4" w:space="0"/>
                    <w:right w:val="single" w:color="auto" w:sz="4" w:space="0"/>
                  </w:tcBorders>
                  <w:noWrap w:val="0"/>
                  <w:vAlign w:val="center"/>
                </w:tcPr>
                <w:p w14:paraId="532CA84D">
                  <w:pPr>
                    <w:pStyle w:val="26"/>
                    <w:keepNext w:val="0"/>
                    <w:keepLines w:val="0"/>
                    <w:pageBreakBefore w:val="0"/>
                    <w:kinsoku/>
                    <w:overflowPunct/>
                    <w:autoSpaceDE/>
                    <w:autoSpaceDN/>
                    <w:bidi w:val="0"/>
                    <w:rPr>
                      <w:color w:val="auto"/>
                    </w:rPr>
                  </w:pPr>
                  <w:r>
                    <w:rPr>
                      <w:color w:val="auto"/>
                    </w:rPr>
                    <w:t>CO</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A6D6299">
                  <w:pPr>
                    <w:pStyle w:val="26"/>
                    <w:keepNext w:val="0"/>
                    <w:keepLines w:val="0"/>
                    <w:pageBreakBefore w:val="0"/>
                    <w:kinsoku/>
                    <w:overflowPunct/>
                    <w:autoSpaceDE/>
                    <w:autoSpaceDN/>
                    <w:bidi w:val="0"/>
                    <w:rPr>
                      <w:color w:val="auto"/>
                    </w:rPr>
                  </w:pPr>
                  <w:r>
                    <w:rPr>
                      <w:color w:val="auto"/>
                    </w:rPr>
                    <w:t>24小时平均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56B32ED0">
                  <w:pPr>
                    <w:pStyle w:val="26"/>
                    <w:keepNext w:val="0"/>
                    <w:keepLines w:val="0"/>
                    <w:pageBreakBefore w:val="0"/>
                    <w:kinsoku/>
                    <w:overflowPunct/>
                    <w:autoSpaceDE/>
                    <w:autoSpaceDN/>
                    <w:bidi w:val="0"/>
                    <w:rPr>
                      <w:color w:val="auto"/>
                    </w:rPr>
                  </w:pPr>
                  <w:r>
                    <w:rPr>
                      <w:color w:val="auto"/>
                    </w:rPr>
                    <w:t>4.00</w:t>
                  </w:r>
                </w:p>
              </w:tc>
              <w:tc>
                <w:tcPr>
                  <w:tcW w:w="2305" w:type="pct"/>
                  <w:vMerge w:val="continue"/>
                  <w:tcBorders>
                    <w:left w:val="single" w:color="auto" w:sz="4" w:space="0"/>
                    <w:right w:val="single" w:color="auto" w:sz="4" w:space="0"/>
                  </w:tcBorders>
                  <w:noWrap w:val="0"/>
                  <w:vAlign w:val="center"/>
                </w:tcPr>
                <w:p w14:paraId="5B072C97">
                  <w:pPr>
                    <w:pStyle w:val="26"/>
                    <w:keepNext w:val="0"/>
                    <w:keepLines w:val="0"/>
                    <w:pageBreakBefore w:val="0"/>
                    <w:kinsoku/>
                    <w:overflowPunct/>
                    <w:autoSpaceDE/>
                    <w:autoSpaceDN/>
                    <w:bidi w:val="0"/>
                    <w:rPr>
                      <w:color w:val="auto"/>
                    </w:rPr>
                  </w:pPr>
                </w:p>
              </w:tc>
            </w:tr>
            <w:tr w14:paraId="4F827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1" w:hRule="atLeast"/>
                <w:jc w:val="center"/>
              </w:trPr>
              <w:tc>
                <w:tcPr>
                  <w:tcW w:w="698" w:type="pct"/>
                  <w:vMerge w:val="continue"/>
                  <w:tcBorders>
                    <w:top w:val="single" w:color="auto" w:sz="4" w:space="0"/>
                    <w:left w:val="single" w:color="auto" w:sz="4" w:space="0"/>
                    <w:bottom w:val="single" w:color="auto" w:sz="4" w:space="0"/>
                    <w:right w:val="single" w:color="auto" w:sz="4" w:space="0"/>
                  </w:tcBorders>
                  <w:noWrap w:val="0"/>
                  <w:vAlign w:val="center"/>
                </w:tcPr>
                <w:p w14:paraId="0C5B7A9D">
                  <w:pPr>
                    <w:pStyle w:val="26"/>
                    <w:keepNext w:val="0"/>
                    <w:keepLines w:val="0"/>
                    <w:pageBreakBefore w:val="0"/>
                    <w:kinsoku/>
                    <w:overflowPunct/>
                    <w:autoSpaceDE/>
                    <w:autoSpaceDN/>
                    <w:bidi w:val="0"/>
                    <w:rPr>
                      <w:color w:val="auto"/>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478A8168">
                  <w:pPr>
                    <w:pStyle w:val="26"/>
                    <w:keepNext w:val="0"/>
                    <w:keepLines w:val="0"/>
                    <w:pageBreakBefore w:val="0"/>
                    <w:kinsoku/>
                    <w:overflowPunct/>
                    <w:autoSpaceDE/>
                    <w:autoSpaceDN/>
                    <w:bidi w:val="0"/>
                    <w:rPr>
                      <w:color w:val="auto"/>
                    </w:rPr>
                  </w:pPr>
                  <w:r>
                    <w:rPr>
                      <w:color w:val="auto"/>
                    </w:rPr>
                    <w:t>1小时平均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123332F1">
                  <w:pPr>
                    <w:pStyle w:val="26"/>
                    <w:keepNext w:val="0"/>
                    <w:keepLines w:val="0"/>
                    <w:pageBreakBefore w:val="0"/>
                    <w:kinsoku/>
                    <w:overflowPunct/>
                    <w:autoSpaceDE/>
                    <w:autoSpaceDN/>
                    <w:bidi w:val="0"/>
                    <w:rPr>
                      <w:color w:val="auto"/>
                    </w:rPr>
                  </w:pPr>
                  <w:r>
                    <w:rPr>
                      <w:color w:val="auto"/>
                    </w:rPr>
                    <w:t>10.00</w:t>
                  </w:r>
                </w:p>
              </w:tc>
              <w:tc>
                <w:tcPr>
                  <w:tcW w:w="2305" w:type="pct"/>
                  <w:vMerge w:val="continue"/>
                  <w:tcBorders>
                    <w:left w:val="single" w:color="auto" w:sz="4" w:space="0"/>
                    <w:right w:val="single" w:color="auto" w:sz="4" w:space="0"/>
                  </w:tcBorders>
                  <w:noWrap w:val="0"/>
                  <w:vAlign w:val="center"/>
                </w:tcPr>
                <w:p w14:paraId="5514395A">
                  <w:pPr>
                    <w:pStyle w:val="26"/>
                    <w:keepNext w:val="0"/>
                    <w:keepLines w:val="0"/>
                    <w:pageBreakBefore w:val="0"/>
                    <w:kinsoku/>
                    <w:overflowPunct/>
                    <w:autoSpaceDE/>
                    <w:autoSpaceDN/>
                    <w:bidi w:val="0"/>
                    <w:rPr>
                      <w:color w:val="auto"/>
                    </w:rPr>
                  </w:pPr>
                </w:p>
              </w:tc>
            </w:tr>
            <w:tr w14:paraId="38E49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79" w:hRule="atLeast"/>
                <w:jc w:val="center"/>
              </w:trPr>
              <w:tc>
                <w:tcPr>
                  <w:tcW w:w="698" w:type="pct"/>
                  <w:vMerge w:val="restart"/>
                  <w:tcBorders>
                    <w:top w:val="single" w:color="auto" w:sz="4" w:space="0"/>
                    <w:left w:val="single" w:color="auto" w:sz="4" w:space="0"/>
                    <w:right w:val="single" w:color="auto" w:sz="4" w:space="0"/>
                  </w:tcBorders>
                  <w:noWrap w:val="0"/>
                  <w:vAlign w:val="center"/>
                </w:tcPr>
                <w:p w14:paraId="4373F473">
                  <w:pPr>
                    <w:pStyle w:val="26"/>
                    <w:keepNext w:val="0"/>
                    <w:keepLines w:val="0"/>
                    <w:pageBreakBefore w:val="0"/>
                    <w:kinsoku/>
                    <w:overflowPunct/>
                    <w:autoSpaceDE/>
                    <w:autoSpaceDN/>
                    <w:bidi w:val="0"/>
                    <w:rPr>
                      <w:color w:val="auto"/>
                    </w:rPr>
                  </w:pPr>
                  <w:r>
                    <w:rPr>
                      <w:rFonts w:hint="eastAsia"/>
                      <w:color w:val="auto"/>
                    </w:rPr>
                    <w:t>O</w:t>
                  </w:r>
                  <w:r>
                    <w:rPr>
                      <w:rFonts w:hint="eastAsia"/>
                      <w:color w:val="auto"/>
                      <w:vertAlign w:val="subscript"/>
                    </w:rPr>
                    <w:t>3</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354A928F">
                  <w:pPr>
                    <w:pStyle w:val="26"/>
                    <w:keepNext w:val="0"/>
                    <w:keepLines w:val="0"/>
                    <w:pageBreakBefore w:val="0"/>
                    <w:kinsoku/>
                    <w:overflowPunct/>
                    <w:autoSpaceDE/>
                    <w:autoSpaceDN/>
                    <w:bidi w:val="0"/>
                    <w:rPr>
                      <w:color w:val="auto"/>
                    </w:rPr>
                  </w:pPr>
                  <w:r>
                    <w:rPr>
                      <w:rFonts w:hint="eastAsia"/>
                      <w:color w:val="auto"/>
                    </w:rPr>
                    <w:t>日最大8小时平均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725BF254">
                  <w:pPr>
                    <w:pStyle w:val="26"/>
                    <w:keepNext w:val="0"/>
                    <w:keepLines w:val="0"/>
                    <w:pageBreakBefore w:val="0"/>
                    <w:kinsoku/>
                    <w:overflowPunct/>
                    <w:autoSpaceDE/>
                    <w:autoSpaceDN/>
                    <w:bidi w:val="0"/>
                    <w:rPr>
                      <w:color w:val="auto"/>
                    </w:rPr>
                  </w:pPr>
                  <w:r>
                    <w:rPr>
                      <w:rFonts w:hint="eastAsia"/>
                      <w:color w:val="auto"/>
                    </w:rPr>
                    <w:t>0.16</w:t>
                  </w:r>
                </w:p>
              </w:tc>
              <w:tc>
                <w:tcPr>
                  <w:tcW w:w="2305" w:type="pct"/>
                  <w:vMerge w:val="continue"/>
                  <w:tcBorders>
                    <w:left w:val="single" w:color="auto" w:sz="4" w:space="0"/>
                    <w:right w:val="single" w:color="auto" w:sz="4" w:space="0"/>
                  </w:tcBorders>
                  <w:noWrap w:val="0"/>
                  <w:vAlign w:val="center"/>
                </w:tcPr>
                <w:p w14:paraId="2BDFBF08">
                  <w:pPr>
                    <w:pStyle w:val="26"/>
                    <w:keepNext w:val="0"/>
                    <w:keepLines w:val="0"/>
                    <w:pageBreakBefore w:val="0"/>
                    <w:kinsoku/>
                    <w:overflowPunct/>
                    <w:autoSpaceDE/>
                    <w:autoSpaceDN/>
                    <w:bidi w:val="0"/>
                    <w:rPr>
                      <w:color w:val="auto"/>
                    </w:rPr>
                  </w:pPr>
                </w:p>
              </w:tc>
            </w:tr>
            <w:tr w14:paraId="1878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53" w:hRule="atLeast"/>
                <w:jc w:val="center"/>
              </w:trPr>
              <w:tc>
                <w:tcPr>
                  <w:tcW w:w="698" w:type="pct"/>
                  <w:vMerge w:val="continue"/>
                  <w:tcBorders>
                    <w:left w:val="single" w:color="auto" w:sz="4" w:space="0"/>
                    <w:bottom w:val="single" w:color="auto" w:sz="4" w:space="0"/>
                    <w:right w:val="single" w:color="auto" w:sz="4" w:space="0"/>
                  </w:tcBorders>
                  <w:noWrap w:val="0"/>
                  <w:vAlign w:val="center"/>
                </w:tcPr>
                <w:p w14:paraId="5BD07645">
                  <w:pPr>
                    <w:pStyle w:val="26"/>
                    <w:keepNext w:val="0"/>
                    <w:keepLines w:val="0"/>
                    <w:pageBreakBefore w:val="0"/>
                    <w:kinsoku/>
                    <w:overflowPunct/>
                    <w:autoSpaceDE/>
                    <w:autoSpaceDN/>
                    <w:bidi w:val="0"/>
                    <w:rPr>
                      <w:color w:val="auto"/>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339180B6">
                  <w:pPr>
                    <w:pStyle w:val="26"/>
                    <w:keepNext w:val="0"/>
                    <w:keepLines w:val="0"/>
                    <w:pageBreakBefore w:val="0"/>
                    <w:kinsoku/>
                    <w:overflowPunct/>
                    <w:autoSpaceDE/>
                    <w:autoSpaceDN/>
                    <w:bidi w:val="0"/>
                    <w:rPr>
                      <w:color w:val="auto"/>
                    </w:rPr>
                  </w:pPr>
                  <w:r>
                    <w:rPr>
                      <w:rFonts w:hint="eastAsia"/>
                      <w:color w:val="auto"/>
                    </w:rPr>
                    <w:t>1小时平均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3D8DAFB1">
                  <w:pPr>
                    <w:pStyle w:val="26"/>
                    <w:keepNext w:val="0"/>
                    <w:keepLines w:val="0"/>
                    <w:pageBreakBefore w:val="0"/>
                    <w:kinsoku/>
                    <w:overflowPunct/>
                    <w:autoSpaceDE/>
                    <w:autoSpaceDN/>
                    <w:bidi w:val="0"/>
                    <w:rPr>
                      <w:color w:val="auto"/>
                    </w:rPr>
                  </w:pPr>
                  <w:r>
                    <w:rPr>
                      <w:rFonts w:hint="eastAsia"/>
                      <w:color w:val="auto"/>
                    </w:rPr>
                    <w:t>0.20</w:t>
                  </w:r>
                </w:p>
              </w:tc>
              <w:tc>
                <w:tcPr>
                  <w:tcW w:w="2305" w:type="pct"/>
                  <w:vMerge w:val="continue"/>
                  <w:tcBorders>
                    <w:left w:val="single" w:color="auto" w:sz="4" w:space="0"/>
                    <w:bottom w:val="single" w:color="auto" w:sz="4" w:space="0"/>
                    <w:right w:val="single" w:color="auto" w:sz="4" w:space="0"/>
                  </w:tcBorders>
                  <w:noWrap w:val="0"/>
                  <w:vAlign w:val="center"/>
                </w:tcPr>
                <w:p w14:paraId="745D1184">
                  <w:pPr>
                    <w:pStyle w:val="26"/>
                    <w:keepNext w:val="0"/>
                    <w:keepLines w:val="0"/>
                    <w:pageBreakBefore w:val="0"/>
                    <w:kinsoku/>
                    <w:overflowPunct/>
                    <w:autoSpaceDE/>
                    <w:autoSpaceDN/>
                    <w:bidi w:val="0"/>
                    <w:rPr>
                      <w:color w:val="auto"/>
                    </w:rPr>
                  </w:pPr>
                </w:p>
              </w:tc>
            </w:tr>
            <w:tr w14:paraId="63BFD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79" w:hRule="atLeast"/>
                <w:jc w:val="center"/>
              </w:trPr>
              <w:tc>
                <w:tcPr>
                  <w:tcW w:w="698" w:type="pct"/>
                  <w:tcBorders>
                    <w:left w:val="single" w:color="auto" w:sz="4" w:space="0"/>
                    <w:bottom w:val="single" w:color="auto" w:sz="4" w:space="0"/>
                    <w:right w:val="single" w:color="auto" w:sz="4" w:space="0"/>
                  </w:tcBorders>
                  <w:noWrap w:val="0"/>
                  <w:vAlign w:val="center"/>
                </w:tcPr>
                <w:p w14:paraId="0B5C3E5F">
                  <w:pPr>
                    <w:pStyle w:val="26"/>
                    <w:keepNext w:val="0"/>
                    <w:keepLines w:val="0"/>
                    <w:pageBreakBefore w:val="0"/>
                    <w:kinsoku/>
                    <w:overflowPunct/>
                    <w:autoSpaceDE/>
                    <w:autoSpaceDN/>
                    <w:bidi w:val="0"/>
                    <w:rPr>
                      <w:color w:val="auto"/>
                    </w:rPr>
                  </w:pPr>
                  <w:r>
                    <w:rPr>
                      <w:rFonts w:hint="eastAsia"/>
                      <w:color w:val="auto"/>
                    </w:rPr>
                    <w:t>TVOC</w:t>
                  </w:r>
                </w:p>
              </w:tc>
              <w:tc>
                <w:tcPr>
                  <w:tcW w:w="1129" w:type="pct"/>
                  <w:tcBorders>
                    <w:top w:val="single" w:color="auto" w:sz="4" w:space="0"/>
                    <w:left w:val="single" w:color="auto" w:sz="4" w:space="0"/>
                    <w:bottom w:val="single" w:color="auto" w:sz="4" w:space="0"/>
                    <w:right w:val="single" w:color="auto" w:sz="4" w:space="0"/>
                  </w:tcBorders>
                  <w:noWrap w:val="0"/>
                  <w:vAlign w:val="center"/>
                </w:tcPr>
                <w:p w14:paraId="76DB0EDB">
                  <w:pPr>
                    <w:pStyle w:val="26"/>
                    <w:keepNext w:val="0"/>
                    <w:keepLines w:val="0"/>
                    <w:pageBreakBefore w:val="0"/>
                    <w:kinsoku/>
                    <w:overflowPunct/>
                    <w:autoSpaceDE/>
                    <w:autoSpaceDN/>
                    <w:bidi w:val="0"/>
                    <w:rPr>
                      <w:color w:val="auto"/>
                    </w:rPr>
                  </w:pPr>
                  <w:r>
                    <w:rPr>
                      <w:rFonts w:hint="eastAsia"/>
                      <w:color w:val="auto"/>
                    </w:rPr>
                    <w:t>1小时平均</w:t>
                  </w:r>
                </w:p>
              </w:tc>
              <w:tc>
                <w:tcPr>
                  <w:tcW w:w="866" w:type="pct"/>
                  <w:tcBorders>
                    <w:top w:val="single" w:color="auto" w:sz="4" w:space="0"/>
                    <w:left w:val="single" w:color="auto" w:sz="4" w:space="0"/>
                    <w:bottom w:val="single" w:color="auto" w:sz="4" w:space="0"/>
                    <w:right w:val="single" w:color="auto" w:sz="4" w:space="0"/>
                  </w:tcBorders>
                  <w:noWrap w:val="0"/>
                  <w:vAlign w:val="center"/>
                </w:tcPr>
                <w:p w14:paraId="56B73A19">
                  <w:pPr>
                    <w:pStyle w:val="26"/>
                    <w:keepNext w:val="0"/>
                    <w:keepLines w:val="0"/>
                    <w:pageBreakBefore w:val="0"/>
                    <w:kinsoku/>
                    <w:overflowPunct/>
                    <w:autoSpaceDE/>
                    <w:autoSpaceDN/>
                    <w:bidi w:val="0"/>
                    <w:rPr>
                      <w:color w:val="auto"/>
                    </w:rPr>
                  </w:pPr>
                  <w:r>
                    <w:rPr>
                      <w:rFonts w:hint="eastAsia"/>
                      <w:color w:val="auto"/>
                    </w:rPr>
                    <w:t>600</w:t>
                  </w:r>
                </w:p>
              </w:tc>
              <w:tc>
                <w:tcPr>
                  <w:tcW w:w="2305" w:type="pct"/>
                  <w:tcBorders>
                    <w:left w:val="single" w:color="auto" w:sz="4" w:space="0"/>
                    <w:bottom w:val="single" w:color="auto" w:sz="4" w:space="0"/>
                    <w:right w:val="single" w:color="auto" w:sz="4" w:space="0"/>
                  </w:tcBorders>
                  <w:noWrap w:val="0"/>
                  <w:vAlign w:val="center"/>
                </w:tcPr>
                <w:p w14:paraId="5819E1BA">
                  <w:pPr>
                    <w:pStyle w:val="26"/>
                    <w:keepNext w:val="0"/>
                    <w:keepLines w:val="0"/>
                    <w:pageBreakBefore w:val="0"/>
                    <w:kinsoku/>
                    <w:overflowPunct/>
                    <w:autoSpaceDE/>
                    <w:autoSpaceDN/>
                    <w:bidi w:val="0"/>
                    <w:rPr>
                      <w:color w:val="auto"/>
                    </w:rPr>
                  </w:pPr>
                  <w:r>
                    <w:rPr>
                      <w:rFonts w:hint="eastAsia"/>
                      <w:color w:val="auto"/>
                    </w:rPr>
                    <w:t>《环境影响评价技术导则 大气环境》附录D中浓度限值要求</w:t>
                  </w:r>
                </w:p>
              </w:tc>
            </w:tr>
            <w:tr w14:paraId="5B364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val="0"/>
                  <w:vAlign w:val="center"/>
                </w:tcPr>
                <w:p w14:paraId="6E77618E">
                  <w:pPr>
                    <w:pStyle w:val="26"/>
                    <w:keepNext w:val="0"/>
                    <w:keepLines w:val="0"/>
                    <w:pageBreakBefore w:val="0"/>
                    <w:kinsoku/>
                    <w:overflowPunct/>
                    <w:autoSpaceDE/>
                    <w:autoSpaceDN/>
                    <w:bidi w:val="0"/>
                    <w:jc w:val="left"/>
                    <w:rPr>
                      <w:color w:val="auto"/>
                    </w:rPr>
                  </w:pPr>
                  <w:r>
                    <w:rPr>
                      <w:rFonts w:hint="eastAsia"/>
                      <w:color w:val="auto"/>
                    </w:rPr>
                    <w:t>GB3095-2012标准2018年修改单内容：标准中的二氧化硫、二氧化氮、一氧化碳、臭氧、氮氧化物等气态污染物浓度为参比状态下的浓度。</w:t>
                  </w:r>
                  <w:r>
                    <w:rPr>
                      <w:color w:val="auto"/>
                    </w:rPr>
                    <w:t>颗粒物（粒径小于等于10μm）</w:t>
                  </w:r>
                  <w:r>
                    <w:rPr>
                      <w:rFonts w:hint="eastAsia"/>
                      <w:color w:val="auto"/>
                    </w:rPr>
                    <w:t>、</w:t>
                  </w:r>
                  <w:r>
                    <w:rPr>
                      <w:color w:val="auto"/>
                    </w:rPr>
                    <w:t>颗粒物（粒径小于等于</w:t>
                  </w:r>
                  <w:r>
                    <w:rPr>
                      <w:rFonts w:hint="eastAsia"/>
                      <w:color w:val="auto"/>
                    </w:rPr>
                    <w:t>2.5</w:t>
                  </w:r>
                  <w:r>
                    <w:rPr>
                      <w:color w:val="auto"/>
                    </w:rPr>
                    <w:t>μm）</w:t>
                  </w:r>
                  <w:r>
                    <w:rPr>
                      <w:rFonts w:hint="eastAsia"/>
                      <w:color w:val="auto"/>
                    </w:rPr>
                    <w:t>、总悬浮颗粒物及其组分铅、苯并</w:t>
                  </w:r>
                  <w:r>
                    <w:rPr>
                      <w:rFonts w:hint="default" w:ascii="Times New Roman" w:hAnsi="Times New Roman" w:cs="Times New Roman"/>
                      <w:color w:val="auto"/>
                      <w:lang w:eastAsia="zh-CN"/>
                    </w:rPr>
                    <w:t>〔</w:t>
                  </w:r>
                  <w:r>
                    <w:rPr>
                      <w:rFonts w:hint="default" w:ascii="Times New Roman" w:hAnsi="Times New Roman" w:cs="Times New Roman"/>
                      <w:color w:val="auto"/>
                    </w:rPr>
                    <w:t>α</w:t>
                  </w:r>
                  <w:r>
                    <w:rPr>
                      <w:rFonts w:hint="default" w:ascii="Times New Roman" w:hAnsi="Times New Roman" w:cs="Times New Roman"/>
                      <w:color w:val="auto"/>
                      <w:lang w:eastAsia="zh-CN"/>
                    </w:rPr>
                    <w:t>〕</w:t>
                  </w:r>
                  <w:r>
                    <w:rPr>
                      <w:rFonts w:hint="eastAsia"/>
                      <w:color w:val="auto"/>
                    </w:rPr>
                    <w:t>芘等浓度为监测时大气温度和压力下的浓度。</w:t>
                  </w:r>
                </w:p>
              </w:tc>
            </w:tr>
          </w:tbl>
          <w:p w14:paraId="45309027">
            <w:pPr>
              <w:pStyle w:val="26"/>
              <w:keepNext w:val="0"/>
              <w:keepLines w:val="0"/>
              <w:pageBreakBefore w:val="0"/>
              <w:widowControl/>
              <w:numPr>
                <w:ilvl w:val="0"/>
                <w:numId w:val="0"/>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Times New Roman"/>
                <w:b/>
                <w:bCs/>
                <w:color w:val="auto"/>
                <w:sz w:val="24"/>
              </w:rPr>
            </w:pPr>
            <w:r>
              <w:rPr>
                <w:rFonts w:hint="eastAsia" w:ascii="Times New Roman" w:hAnsi="Times New Roman" w:eastAsia="宋体" w:cs="Times New Roman"/>
                <w:b/>
                <w:bCs/>
                <w:color w:val="auto"/>
                <w:sz w:val="24"/>
                <w:szCs w:val="24"/>
                <w:lang w:val="en-US" w:eastAsia="zh-CN" w:bidi="ar-SA"/>
              </w:rPr>
              <w:t>（2）</w:t>
            </w:r>
            <w:r>
              <w:rPr>
                <w:rFonts w:hint="eastAsia" w:ascii="Times New Roman"/>
                <w:b/>
                <w:bCs/>
                <w:color w:val="auto"/>
                <w:sz w:val="24"/>
              </w:rPr>
              <w:t>地表水环境</w:t>
            </w:r>
          </w:p>
          <w:p w14:paraId="53E385E7">
            <w:pPr>
              <w:keepNext w:val="0"/>
              <w:keepLines w:val="0"/>
              <w:pageBreakBefore w:val="0"/>
              <w:kinsoku/>
              <w:overflowPunct/>
              <w:autoSpaceDE/>
              <w:autoSpaceDN/>
              <w:bidi w:val="0"/>
              <w:adjustRightInd w:val="0"/>
              <w:snapToGrid w:val="0"/>
              <w:spacing w:line="360" w:lineRule="auto"/>
              <w:ind w:firstLine="480" w:firstLineChars="200"/>
              <w:rPr>
                <w:color w:val="auto"/>
                <w:sz w:val="24"/>
              </w:rPr>
            </w:pPr>
            <w:r>
              <w:rPr>
                <w:rFonts w:hint="eastAsia"/>
                <w:color w:val="auto"/>
                <w:sz w:val="24"/>
              </w:rPr>
              <w:t>三里河</w:t>
            </w:r>
            <w:r>
              <w:rPr>
                <w:color w:val="auto"/>
                <w:sz w:val="24"/>
              </w:rPr>
              <w:t>地表水执行《地表水环境质量标准》（GB3838-2002）</w:t>
            </w:r>
            <w:r>
              <w:rPr>
                <w:rFonts w:hint="eastAsia"/>
                <w:color w:val="auto"/>
                <w:sz w:val="24"/>
              </w:rPr>
              <w:t>IV</w:t>
            </w:r>
            <w:r>
              <w:rPr>
                <w:color w:val="auto"/>
                <w:sz w:val="24"/>
              </w:rPr>
              <w:t>类水质标准，其标准限值见</w:t>
            </w:r>
            <w:r>
              <w:rPr>
                <w:rFonts w:hint="eastAsia"/>
                <w:color w:val="auto"/>
                <w:sz w:val="24"/>
              </w:rPr>
              <w:t>下</w:t>
            </w:r>
            <w:r>
              <w:rPr>
                <w:color w:val="auto"/>
                <w:sz w:val="24"/>
              </w:rPr>
              <w:t>表。</w:t>
            </w:r>
          </w:p>
          <w:p w14:paraId="3911A4FF">
            <w:pPr>
              <w:keepNext w:val="0"/>
              <w:keepLines w:val="0"/>
              <w:pageBreakBefore w:val="0"/>
              <w:kinsoku/>
              <w:overflowPunct/>
              <w:autoSpaceDE/>
              <w:autoSpaceDN/>
              <w:bidi w:val="0"/>
              <w:spacing w:line="240" w:lineRule="auto"/>
              <w:ind w:right="480"/>
              <w:jc w:val="center"/>
              <w:rPr>
                <w:color w:val="auto"/>
                <w:sz w:val="24"/>
              </w:rPr>
            </w:pPr>
            <w:r>
              <w:rPr>
                <w:b/>
                <w:color w:val="auto"/>
                <w:sz w:val="24"/>
              </w:rPr>
              <w:t>表</w:t>
            </w:r>
            <w:r>
              <w:rPr>
                <w:rFonts w:hint="eastAsia"/>
                <w:b/>
                <w:color w:val="auto"/>
                <w:sz w:val="24"/>
                <w:lang w:val="en-US" w:eastAsia="zh-CN"/>
              </w:rPr>
              <w:t xml:space="preserve">1-2 </w:t>
            </w:r>
            <w:r>
              <w:rPr>
                <w:b/>
                <w:color w:val="auto"/>
                <w:sz w:val="24"/>
              </w:rPr>
              <w:t xml:space="preserve"> 地表水环境质量标准</w:t>
            </w:r>
          </w:p>
          <w:tbl>
            <w:tblPr>
              <w:tblStyle w:val="19"/>
              <w:tblW w:w="647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531"/>
              <w:gridCol w:w="892"/>
              <w:gridCol w:w="908"/>
              <w:gridCol w:w="991"/>
              <w:gridCol w:w="1115"/>
              <w:gridCol w:w="1041"/>
            </w:tblGrid>
            <w:tr w14:paraId="08A9A0C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2" w:hRule="atLeast"/>
                <w:jc w:val="center"/>
              </w:trPr>
              <w:tc>
                <w:tcPr>
                  <w:tcW w:w="1531" w:type="dxa"/>
                  <w:noWrap w:val="0"/>
                  <w:vAlign w:val="center"/>
                </w:tcPr>
                <w:p w14:paraId="583A3791">
                  <w:pPr>
                    <w:pStyle w:val="26"/>
                    <w:keepNext w:val="0"/>
                    <w:keepLines w:val="0"/>
                    <w:pageBreakBefore w:val="0"/>
                    <w:kinsoku/>
                    <w:overflowPunct/>
                    <w:autoSpaceDE/>
                    <w:autoSpaceDN/>
                    <w:bidi w:val="0"/>
                    <w:rPr>
                      <w:color w:val="auto"/>
                    </w:rPr>
                  </w:pPr>
                  <w:r>
                    <w:rPr>
                      <w:color w:val="auto"/>
                    </w:rPr>
                    <w:t>执行标准类别</w:t>
                  </w:r>
                </w:p>
              </w:tc>
              <w:tc>
                <w:tcPr>
                  <w:tcW w:w="892" w:type="dxa"/>
                  <w:noWrap w:val="0"/>
                  <w:vAlign w:val="center"/>
                </w:tcPr>
                <w:p w14:paraId="61374DBC">
                  <w:pPr>
                    <w:pStyle w:val="26"/>
                    <w:keepNext w:val="0"/>
                    <w:keepLines w:val="0"/>
                    <w:pageBreakBefore w:val="0"/>
                    <w:kinsoku/>
                    <w:overflowPunct/>
                    <w:autoSpaceDE/>
                    <w:autoSpaceDN/>
                    <w:bidi w:val="0"/>
                    <w:rPr>
                      <w:color w:val="auto"/>
                    </w:rPr>
                  </w:pPr>
                  <w:r>
                    <w:rPr>
                      <w:color w:val="auto"/>
                    </w:rPr>
                    <w:t>pH</w:t>
                  </w:r>
                </w:p>
              </w:tc>
              <w:tc>
                <w:tcPr>
                  <w:tcW w:w="908" w:type="dxa"/>
                  <w:noWrap w:val="0"/>
                  <w:vAlign w:val="center"/>
                </w:tcPr>
                <w:p w14:paraId="0D1C5340">
                  <w:pPr>
                    <w:pStyle w:val="26"/>
                    <w:keepNext w:val="0"/>
                    <w:keepLines w:val="0"/>
                    <w:pageBreakBefore w:val="0"/>
                    <w:kinsoku/>
                    <w:overflowPunct/>
                    <w:autoSpaceDE/>
                    <w:autoSpaceDN/>
                    <w:bidi w:val="0"/>
                    <w:rPr>
                      <w:color w:val="auto"/>
                    </w:rPr>
                  </w:pPr>
                  <w:r>
                    <w:rPr>
                      <w:color w:val="auto"/>
                    </w:rPr>
                    <w:t>COD</w:t>
                  </w:r>
                </w:p>
              </w:tc>
              <w:tc>
                <w:tcPr>
                  <w:tcW w:w="991" w:type="dxa"/>
                  <w:noWrap w:val="0"/>
                  <w:vAlign w:val="center"/>
                </w:tcPr>
                <w:p w14:paraId="115B2C7A">
                  <w:pPr>
                    <w:pStyle w:val="26"/>
                    <w:keepNext w:val="0"/>
                    <w:keepLines w:val="0"/>
                    <w:pageBreakBefore w:val="0"/>
                    <w:kinsoku/>
                    <w:overflowPunct/>
                    <w:autoSpaceDE/>
                    <w:autoSpaceDN/>
                    <w:bidi w:val="0"/>
                    <w:rPr>
                      <w:color w:val="auto"/>
                    </w:rPr>
                  </w:pPr>
                  <w:r>
                    <w:rPr>
                      <w:color w:val="auto"/>
                    </w:rPr>
                    <w:t>BOD</w:t>
                  </w:r>
                  <w:r>
                    <w:rPr>
                      <w:color w:val="auto"/>
                      <w:vertAlign w:val="subscript"/>
                    </w:rPr>
                    <w:t>5</w:t>
                  </w:r>
                </w:p>
              </w:tc>
              <w:tc>
                <w:tcPr>
                  <w:tcW w:w="1115" w:type="dxa"/>
                  <w:noWrap w:val="0"/>
                  <w:vAlign w:val="center"/>
                </w:tcPr>
                <w:p w14:paraId="680B229A">
                  <w:pPr>
                    <w:pStyle w:val="26"/>
                    <w:keepNext w:val="0"/>
                    <w:keepLines w:val="0"/>
                    <w:pageBreakBefore w:val="0"/>
                    <w:kinsoku/>
                    <w:overflowPunct/>
                    <w:autoSpaceDE/>
                    <w:autoSpaceDN/>
                    <w:bidi w:val="0"/>
                    <w:rPr>
                      <w:color w:val="auto"/>
                    </w:rPr>
                  </w:pPr>
                  <w:r>
                    <w:rPr>
                      <w:color w:val="auto"/>
                    </w:rPr>
                    <w:t>NH</w:t>
                  </w:r>
                  <w:r>
                    <w:rPr>
                      <w:color w:val="auto"/>
                      <w:vertAlign w:val="subscript"/>
                    </w:rPr>
                    <w:t>3</w:t>
                  </w:r>
                  <w:r>
                    <w:rPr>
                      <w:color w:val="auto"/>
                    </w:rPr>
                    <w:t>-N</w:t>
                  </w:r>
                </w:p>
              </w:tc>
              <w:tc>
                <w:tcPr>
                  <w:tcW w:w="1041" w:type="dxa"/>
                  <w:noWrap w:val="0"/>
                  <w:vAlign w:val="center"/>
                </w:tcPr>
                <w:p w14:paraId="54856807">
                  <w:pPr>
                    <w:pStyle w:val="26"/>
                    <w:keepNext w:val="0"/>
                    <w:keepLines w:val="0"/>
                    <w:pageBreakBefore w:val="0"/>
                    <w:kinsoku/>
                    <w:overflowPunct/>
                    <w:autoSpaceDE/>
                    <w:autoSpaceDN/>
                    <w:bidi w:val="0"/>
                    <w:rPr>
                      <w:color w:val="auto"/>
                    </w:rPr>
                  </w:pPr>
                  <w:r>
                    <w:rPr>
                      <w:color w:val="auto"/>
                    </w:rPr>
                    <w:t>总磷</w:t>
                  </w:r>
                </w:p>
              </w:tc>
            </w:tr>
            <w:tr w14:paraId="1A1CF2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0" w:hRule="atLeast"/>
                <w:jc w:val="center"/>
              </w:trPr>
              <w:tc>
                <w:tcPr>
                  <w:tcW w:w="1531" w:type="dxa"/>
                  <w:noWrap w:val="0"/>
                  <w:vAlign w:val="center"/>
                </w:tcPr>
                <w:p w14:paraId="7FC335A3">
                  <w:pPr>
                    <w:pStyle w:val="26"/>
                    <w:keepNext w:val="0"/>
                    <w:keepLines w:val="0"/>
                    <w:pageBreakBefore w:val="0"/>
                    <w:kinsoku/>
                    <w:overflowPunct/>
                    <w:autoSpaceDE/>
                    <w:autoSpaceDN/>
                    <w:bidi w:val="0"/>
                    <w:rPr>
                      <w:color w:val="auto"/>
                    </w:rPr>
                  </w:pPr>
                  <w:r>
                    <w:rPr>
                      <w:color w:val="auto"/>
                    </w:rPr>
                    <w:t>I</w:t>
                  </w:r>
                  <w:r>
                    <w:rPr>
                      <w:rFonts w:hint="eastAsia"/>
                      <w:color w:val="auto"/>
                    </w:rPr>
                    <w:t>V</w:t>
                  </w:r>
                  <w:r>
                    <w:rPr>
                      <w:color w:val="auto"/>
                    </w:rPr>
                    <w:t>类标准限值</w:t>
                  </w:r>
                </w:p>
              </w:tc>
              <w:tc>
                <w:tcPr>
                  <w:tcW w:w="892" w:type="dxa"/>
                  <w:noWrap w:val="0"/>
                  <w:vAlign w:val="center"/>
                </w:tcPr>
                <w:p w14:paraId="5AFA3BE4">
                  <w:pPr>
                    <w:pStyle w:val="26"/>
                    <w:keepNext w:val="0"/>
                    <w:keepLines w:val="0"/>
                    <w:pageBreakBefore w:val="0"/>
                    <w:kinsoku/>
                    <w:overflowPunct/>
                    <w:autoSpaceDE/>
                    <w:autoSpaceDN/>
                    <w:bidi w:val="0"/>
                    <w:rPr>
                      <w:color w:val="auto"/>
                    </w:rPr>
                  </w:pPr>
                  <w:r>
                    <w:rPr>
                      <w:color w:val="auto"/>
                    </w:rPr>
                    <w:t>6～9</w:t>
                  </w:r>
                </w:p>
              </w:tc>
              <w:tc>
                <w:tcPr>
                  <w:tcW w:w="908" w:type="dxa"/>
                  <w:noWrap w:val="0"/>
                  <w:vAlign w:val="center"/>
                </w:tcPr>
                <w:p w14:paraId="48FD2649">
                  <w:pPr>
                    <w:pStyle w:val="26"/>
                    <w:keepNext w:val="0"/>
                    <w:keepLines w:val="0"/>
                    <w:pageBreakBefore w:val="0"/>
                    <w:kinsoku/>
                    <w:overflowPunct/>
                    <w:autoSpaceDE/>
                    <w:autoSpaceDN/>
                    <w:bidi w:val="0"/>
                    <w:rPr>
                      <w:color w:val="auto"/>
                    </w:rPr>
                  </w:pPr>
                  <w:r>
                    <w:rPr>
                      <w:rFonts w:hint="eastAsia"/>
                      <w:color w:val="auto"/>
                    </w:rPr>
                    <w:t>30</w:t>
                  </w:r>
                </w:p>
              </w:tc>
              <w:tc>
                <w:tcPr>
                  <w:tcW w:w="991" w:type="dxa"/>
                  <w:noWrap w:val="0"/>
                  <w:vAlign w:val="center"/>
                </w:tcPr>
                <w:p w14:paraId="105A7619">
                  <w:pPr>
                    <w:pStyle w:val="26"/>
                    <w:keepNext w:val="0"/>
                    <w:keepLines w:val="0"/>
                    <w:pageBreakBefore w:val="0"/>
                    <w:kinsoku/>
                    <w:overflowPunct/>
                    <w:autoSpaceDE/>
                    <w:autoSpaceDN/>
                    <w:bidi w:val="0"/>
                    <w:rPr>
                      <w:rFonts w:hint="eastAsia"/>
                      <w:color w:val="auto"/>
                    </w:rPr>
                  </w:pPr>
                  <w:r>
                    <w:rPr>
                      <w:rFonts w:hint="eastAsia"/>
                      <w:color w:val="auto"/>
                    </w:rPr>
                    <w:t>6</w:t>
                  </w:r>
                </w:p>
              </w:tc>
              <w:tc>
                <w:tcPr>
                  <w:tcW w:w="1115" w:type="dxa"/>
                  <w:noWrap w:val="0"/>
                  <w:vAlign w:val="center"/>
                </w:tcPr>
                <w:p w14:paraId="52D9D164">
                  <w:pPr>
                    <w:pStyle w:val="26"/>
                    <w:keepNext w:val="0"/>
                    <w:keepLines w:val="0"/>
                    <w:pageBreakBefore w:val="0"/>
                    <w:kinsoku/>
                    <w:overflowPunct/>
                    <w:autoSpaceDE/>
                    <w:autoSpaceDN/>
                    <w:bidi w:val="0"/>
                    <w:rPr>
                      <w:rFonts w:hint="eastAsia"/>
                      <w:color w:val="auto"/>
                    </w:rPr>
                  </w:pPr>
                  <w:r>
                    <w:rPr>
                      <w:color w:val="auto"/>
                    </w:rPr>
                    <w:t>1.</w:t>
                  </w:r>
                  <w:r>
                    <w:rPr>
                      <w:rFonts w:hint="eastAsia"/>
                      <w:color w:val="auto"/>
                    </w:rPr>
                    <w:t>5</w:t>
                  </w:r>
                </w:p>
              </w:tc>
              <w:tc>
                <w:tcPr>
                  <w:tcW w:w="1041" w:type="dxa"/>
                  <w:noWrap w:val="0"/>
                  <w:vAlign w:val="center"/>
                </w:tcPr>
                <w:p w14:paraId="3DBA52B8">
                  <w:pPr>
                    <w:pStyle w:val="26"/>
                    <w:keepNext w:val="0"/>
                    <w:keepLines w:val="0"/>
                    <w:pageBreakBefore w:val="0"/>
                    <w:kinsoku/>
                    <w:overflowPunct/>
                    <w:autoSpaceDE/>
                    <w:autoSpaceDN/>
                    <w:bidi w:val="0"/>
                    <w:rPr>
                      <w:rFonts w:hint="eastAsia"/>
                      <w:color w:val="auto"/>
                    </w:rPr>
                  </w:pPr>
                  <w:r>
                    <w:rPr>
                      <w:color w:val="auto"/>
                    </w:rPr>
                    <w:t>0.</w:t>
                  </w:r>
                  <w:r>
                    <w:rPr>
                      <w:rFonts w:hint="eastAsia"/>
                      <w:color w:val="auto"/>
                    </w:rPr>
                    <w:t>3</w:t>
                  </w:r>
                </w:p>
              </w:tc>
            </w:tr>
          </w:tbl>
          <w:p w14:paraId="465FC0B4">
            <w:pPr>
              <w:pStyle w:val="26"/>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Times New Roman"/>
                <w:b/>
                <w:bCs/>
                <w:color w:val="auto"/>
                <w:sz w:val="24"/>
              </w:rPr>
            </w:pPr>
            <w:bookmarkStart w:id="0" w:name="_Toc23973"/>
            <w:bookmarkStart w:id="1" w:name="_Toc7509"/>
            <w:r>
              <w:rPr>
                <w:rFonts w:hint="eastAsia"/>
                <w:b/>
                <w:bCs/>
                <w:color w:val="auto"/>
                <w:sz w:val="24"/>
                <w:lang w:val="en-US" w:eastAsia="zh-CN"/>
              </w:rPr>
              <w:t>（</w:t>
            </w:r>
            <w:r>
              <w:rPr>
                <w:rFonts w:hint="eastAsia" w:ascii="Times New Roman"/>
                <w:b/>
                <w:bCs/>
                <w:color w:val="auto"/>
                <w:sz w:val="24"/>
                <w:lang w:val="en-US" w:eastAsia="zh-CN"/>
              </w:rPr>
              <w:t>3</w:t>
            </w:r>
            <w:r>
              <w:rPr>
                <w:rFonts w:hint="eastAsia" w:ascii="Times New Roman"/>
                <w:b/>
                <w:bCs/>
                <w:color w:val="auto"/>
                <w:sz w:val="24"/>
                <w:lang w:eastAsia="zh-CN"/>
              </w:rPr>
              <w:t>）</w:t>
            </w:r>
            <w:r>
              <w:rPr>
                <w:rFonts w:ascii="Times New Roman"/>
                <w:b/>
                <w:bCs/>
                <w:color w:val="auto"/>
                <w:sz w:val="24"/>
              </w:rPr>
              <w:t>声环境</w:t>
            </w:r>
            <w:bookmarkEnd w:id="0"/>
            <w:bookmarkEnd w:id="1"/>
          </w:p>
          <w:p w14:paraId="0FF0321B">
            <w:pPr>
              <w:pStyle w:val="26"/>
              <w:keepNext w:val="0"/>
              <w:keepLines w:val="0"/>
              <w:pageBreakBefore w:val="0"/>
              <w:widowControl/>
              <w:kinsoku/>
              <w:wordWrap/>
              <w:overflowPunct/>
              <w:topLinePunct w:val="0"/>
              <w:autoSpaceDE/>
              <w:autoSpaceDN/>
              <w:bidi w:val="0"/>
              <w:adjustRightInd/>
              <w:snapToGrid w:val="0"/>
              <w:spacing w:line="360" w:lineRule="auto"/>
              <w:ind w:firstLine="480"/>
              <w:jc w:val="left"/>
              <w:textAlignment w:val="auto"/>
              <w:rPr>
                <w:rFonts w:ascii="Times New Roman"/>
                <w:bCs/>
                <w:color w:val="auto"/>
                <w:sz w:val="24"/>
              </w:rPr>
            </w:pPr>
            <w:r>
              <w:rPr>
                <w:rFonts w:hint="eastAsia" w:ascii="Times New Roman"/>
                <w:bCs/>
                <w:color w:val="auto"/>
                <w:sz w:val="24"/>
              </w:rPr>
              <w:t>评价区域声环境执行《声环境质量标准》（GB3096-2008）中3类区标准，其标准限值见下表。</w:t>
            </w:r>
          </w:p>
          <w:p w14:paraId="74202D5E">
            <w:pPr>
              <w:pStyle w:val="26"/>
              <w:keepNext w:val="0"/>
              <w:keepLines w:val="0"/>
              <w:pageBreakBefore w:val="0"/>
              <w:widowControl/>
              <w:kinsoku/>
              <w:wordWrap/>
              <w:overflowPunct/>
              <w:topLinePunct w:val="0"/>
              <w:autoSpaceDE/>
              <w:autoSpaceDN/>
              <w:bidi w:val="0"/>
              <w:adjustRightInd/>
              <w:snapToGrid w:val="0"/>
              <w:spacing w:line="240" w:lineRule="auto"/>
              <w:ind w:firstLine="474"/>
              <w:jc w:val="center"/>
              <w:textAlignment w:val="auto"/>
              <w:rPr>
                <w:rFonts w:ascii="Times New Roman"/>
                <w:b/>
                <w:color w:val="auto"/>
                <w:spacing w:val="-2"/>
                <w:kern w:val="2"/>
                <w:sz w:val="21"/>
                <w:szCs w:val="21"/>
              </w:rPr>
            </w:pPr>
            <w:r>
              <w:rPr>
                <w:rFonts w:hint="eastAsia" w:ascii="Times New Roman"/>
                <w:b/>
                <w:color w:val="auto"/>
                <w:spacing w:val="-2"/>
                <w:kern w:val="2"/>
                <w:sz w:val="24"/>
                <w:szCs w:val="24"/>
              </w:rPr>
              <w:t>表</w:t>
            </w:r>
            <w:r>
              <w:rPr>
                <w:rFonts w:hint="eastAsia" w:ascii="Times New Roman"/>
                <w:b/>
                <w:color w:val="auto"/>
                <w:spacing w:val="-2"/>
                <w:kern w:val="2"/>
                <w:sz w:val="24"/>
                <w:szCs w:val="24"/>
                <w:lang w:val="en-US" w:eastAsia="zh-CN"/>
              </w:rPr>
              <w:t>1-3</w:t>
            </w:r>
            <w:r>
              <w:rPr>
                <w:rFonts w:hint="eastAsia" w:ascii="Times New Roman"/>
                <w:b/>
                <w:color w:val="auto"/>
                <w:spacing w:val="-2"/>
                <w:kern w:val="2"/>
                <w:sz w:val="24"/>
                <w:szCs w:val="24"/>
              </w:rPr>
              <w:t xml:space="preserve"> </w:t>
            </w:r>
            <w:r>
              <w:rPr>
                <w:rFonts w:hint="eastAsia"/>
                <w:b/>
                <w:color w:val="auto"/>
                <w:spacing w:val="-2"/>
                <w:kern w:val="2"/>
                <w:sz w:val="24"/>
                <w:szCs w:val="24"/>
                <w:lang w:val="en-US" w:eastAsia="zh-CN"/>
              </w:rPr>
              <w:t xml:space="preserve"> </w:t>
            </w:r>
            <w:r>
              <w:rPr>
                <w:rFonts w:hint="eastAsia" w:ascii="Times New Roman"/>
                <w:b/>
                <w:color w:val="auto"/>
                <w:spacing w:val="-2"/>
                <w:kern w:val="2"/>
                <w:sz w:val="24"/>
                <w:szCs w:val="24"/>
              </w:rPr>
              <w:t>声环境评价执行标准</w:t>
            </w:r>
            <w:r>
              <w:rPr>
                <w:rFonts w:hint="eastAsia" w:ascii="Times New Roman"/>
                <w:b/>
                <w:color w:val="auto"/>
                <w:spacing w:val="-2"/>
                <w:kern w:val="2"/>
                <w:sz w:val="24"/>
                <w:szCs w:val="24"/>
                <w:lang w:val="en-US" w:eastAsia="zh-CN"/>
              </w:rPr>
              <w:t xml:space="preserve">  </w:t>
            </w:r>
            <w:r>
              <w:rPr>
                <w:rFonts w:hint="eastAsia" w:ascii="Times New Roman"/>
                <w:color w:val="auto"/>
                <w:spacing w:val="-2"/>
                <w:kern w:val="2"/>
                <w:sz w:val="21"/>
                <w:szCs w:val="21"/>
              </w:rPr>
              <w:t>单位：dB（A）</w:t>
            </w:r>
          </w:p>
          <w:tbl>
            <w:tblPr>
              <w:tblStyle w:val="19"/>
              <w:tblW w:w="6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85"/>
              <w:gridCol w:w="1515"/>
              <w:gridCol w:w="1459"/>
            </w:tblGrid>
            <w:tr w14:paraId="379F4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3485" w:type="dxa"/>
                  <w:shd w:val="clear" w:color="auto" w:fill="auto"/>
                  <w:noWrap w:val="0"/>
                  <w:vAlign w:val="center"/>
                </w:tcPr>
                <w:p w14:paraId="5F224381">
                  <w:pPr>
                    <w:keepNext w:val="0"/>
                    <w:keepLines w:val="0"/>
                    <w:pageBreakBefore w:val="0"/>
                    <w:widowControl/>
                    <w:kinsoku/>
                    <w:wordWrap/>
                    <w:overflowPunct/>
                    <w:topLinePunct w:val="0"/>
                    <w:autoSpaceDE/>
                    <w:autoSpaceDN/>
                    <w:bidi w:val="0"/>
                    <w:snapToGrid w:val="0"/>
                    <w:spacing w:line="240" w:lineRule="auto"/>
                    <w:jc w:val="center"/>
                    <w:textAlignment w:val="auto"/>
                    <w:rPr>
                      <w:bCs/>
                      <w:color w:val="auto"/>
                      <w:kern w:val="0"/>
                      <w:sz w:val="21"/>
                      <w:szCs w:val="21"/>
                    </w:rPr>
                  </w:pPr>
                  <w:r>
                    <w:rPr>
                      <w:rFonts w:hint="eastAsia"/>
                      <w:bCs/>
                      <w:color w:val="auto"/>
                      <w:kern w:val="0"/>
                      <w:sz w:val="21"/>
                      <w:szCs w:val="21"/>
                    </w:rPr>
                    <w:t>标准类别</w:t>
                  </w:r>
                </w:p>
              </w:tc>
              <w:tc>
                <w:tcPr>
                  <w:tcW w:w="1515" w:type="dxa"/>
                  <w:shd w:val="clear" w:color="auto" w:fill="auto"/>
                  <w:noWrap w:val="0"/>
                  <w:vAlign w:val="center"/>
                </w:tcPr>
                <w:p w14:paraId="00486837">
                  <w:pPr>
                    <w:keepNext w:val="0"/>
                    <w:keepLines w:val="0"/>
                    <w:pageBreakBefore w:val="0"/>
                    <w:widowControl/>
                    <w:kinsoku/>
                    <w:wordWrap/>
                    <w:overflowPunct/>
                    <w:topLinePunct w:val="0"/>
                    <w:autoSpaceDE/>
                    <w:autoSpaceDN/>
                    <w:bidi w:val="0"/>
                    <w:snapToGrid w:val="0"/>
                    <w:spacing w:line="240" w:lineRule="auto"/>
                    <w:jc w:val="center"/>
                    <w:textAlignment w:val="auto"/>
                    <w:rPr>
                      <w:bCs/>
                      <w:color w:val="auto"/>
                      <w:kern w:val="0"/>
                      <w:sz w:val="21"/>
                      <w:szCs w:val="21"/>
                    </w:rPr>
                  </w:pPr>
                  <w:r>
                    <w:rPr>
                      <w:rFonts w:hint="eastAsia"/>
                      <w:bCs/>
                      <w:color w:val="auto"/>
                      <w:kern w:val="0"/>
                      <w:sz w:val="21"/>
                      <w:szCs w:val="21"/>
                    </w:rPr>
                    <w:t>昼间</w:t>
                  </w:r>
                </w:p>
              </w:tc>
              <w:tc>
                <w:tcPr>
                  <w:tcW w:w="1459" w:type="dxa"/>
                  <w:shd w:val="clear" w:color="auto" w:fill="auto"/>
                  <w:noWrap w:val="0"/>
                  <w:vAlign w:val="center"/>
                </w:tcPr>
                <w:p w14:paraId="4F987A04">
                  <w:pPr>
                    <w:keepNext w:val="0"/>
                    <w:keepLines w:val="0"/>
                    <w:pageBreakBefore w:val="0"/>
                    <w:widowControl/>
                    <w:kinsoku/>
                    <w:wordWrap/>
                    <w:overflowPunct/>
                    <w:topLinePunct w:val="0"/>
                    <w:autoSpaceDE/>
                    <w:autoSpaceDN/>
                    <w:bidi w:val="0"/>
                    <w:snapToGrid w:val="0"/>
                    <w:spacing w:line="240" w:lineRule="auto"/>
                    <w:jc w:val="center"/>
                    <w:textAlignment w:val="auto"/>
                    <w:rPr>
                      <w:bCs/>
                      <w:color w:val="auto"/>
                      <w:kern w:val="0"/>
                      <w:sz w:val="21"/>
                      <w:szCs w:val="21"/>
                    </w:rPr>
                  </w:pPr>
                  <w:r>
                    <w:rPr>
                      <w:rFonts w:hint="eastAsia"/>
                      <w:bCs/>
                      <w:color w:val="auto"/>
                      <w:kern w:val="0"/>
                      <w:sz w:val="21"/>
                      <w:szCs w:val="21"/>
                    </w:rPr>
                    <w:t>夜间</w:t>
                  </w:r>
                </w:p>
              </w:tc>
            </w:tr>
            <w:tr w14:paraId="54F75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3485" w:type="dxa"/>
                  <w:shd w:val="clear" w:color="auto" w:fill="auto"/>
                  <w:noWrap w:val="0"/>
                  <w:vAlign w:val="center"/>
                </w:tcPr>
                <w:p w14:paraId="7768D048">
                  <w:pPr>
                    <w:keepNext w:val="0"/>
                    <w:keepLines w:val="0"/>
                    <w:pageBreakBefore w:val="0"/>
                    <w:widowControl/>
                    <w:kinsoku/>
                    <w:wordWrap/>
                    <w:overflowPunct/>
                    <w:topLinePunct w:val="0"/>
                    <w:autoSpaceDE/>
                    <w:autoSpaceDN/>
                    <w:bidi w:val="0"/>
                    <w:snapToGrid w:val="0"/>
                    <w:spacing w:line="240" w:lineRule="auto"/>
                    <w:jc w:val="center"/>
                    <w:textAlignment w:val="auto"/>
                    <w:rPr>
                      <w:bCs/>
                      <w:color w:val="auto"/>
                      <w:kern w:val="0"/>
                      <w:sz w:val="21"/>
                      <w:szCs w:val="21"/>
                    </w:rPr>
                  </w:pPr>
                  <w:r>
                    <w:rPr>
                      <w:rFonts w:hint="eastAsia"/>
                      <w:bCs/>
                      <w:color w:val="auto"/>
                      <w:kern w:val="0"/>
                      <w:sz w:val="21"/>
                      <w:szCs w:val="21"/>
                    </w:rPr>
                    <w:t>GB3096-2008《声环境质量标准》中3类区标准</w:t>
                  </w:r>
                </w:p>
              </w:tc>
              <w:tc>
                <w:tcPr>
                  <w:tcW w:w="1515" w:type="dxa"/>
                  <w:shd w:val="clear" w:color="auto" w:fill="auto"/>
                  <w:noWrap w:val="0"/>
                  <w:vAlign w:val="center"/>
                </w:tcPr>
                <w:p w14:paraId="56D92D3C">
                  <w:pPr>
                    <w:keepNext w:val="0"/>
                    <w:keepLines w:val="0"/>
                    <w:pageBreakBefore w:val="0"/>
                    <w:widowControl/>
                    <w:kinsoku/>
                    <w:wordWrap/>
                    <w:overflowPunct/>
                    <w:topLinePunct w:val="0"/>
                    <w:autoSpaceDE/>
                    <w:autoSpaceDN/>
                    <w:bidi w:val="0"/>
                    <w:snapToGrid w:val="0"/>
                    <w:spacing w:line="240" w:lineRule="auto"/>
                    <w:jc w:val="center"/>
                    <w:textAlignment w:val="auto"/>
                    <w:rPr>
                      <w:bCs/>
                      <w:color w:val="auto"/>
                      <w:kern w:val="0"/>
                      <w:sz w:val="21"/>
                      <w:szCs w:val="21"/>
                    </w:rPr>
                  </w:pPr>
                  <w:r>
                    <w:rPr>
                      <w:rFonts w:hint="eastAsia"/>
                      <w:bCs/>
                      <w:color w:val="auto"/>
                      <w:kern w:val="0"/>
                      <w:sz w:val="21"/>
                      <w:szCs w:val="21"/>
                    </w:rPr>
                    <w:t>65</w:t>
                  </w:r>
                </w:p>
              </w:tc>
              <w:tc>
                <w:tcPr>
                  <w:tcW w:w="1459" w:type="dxa"/>
                  <w:shd w:val="clear" w:color="auto" w:fill="auto"/>
                  <w:noWrap w:val="0"/>
                  <w:vAlign w:val="center"/>
                </w:tcPr>
                <w:p w14:paraId="6DAEB4CE">
                  <w:pPr>
                    <w:keepNext w:val="0"/>
                    <w:keepLines w:val="0"/>
                    <w:pageBreakBefore w:val="0"/>
                    <w:widowControl/>
                    <w:kinsoku/>
                    <w:wordWrap/>
                    <w:overflowPunct/>
                    <w:topLinePunct w:val="0"/>
                    <w:autoSpaceDE/>
                    <w:autoSpaceDN/>
                    <w:bidi w:val="0"/>
                    <w:snapToGrid w:val="0"/>
                    <w:spacing w:line="240" w:lineRule="auto"/>
                    <w:jc w:val="center"/>
                    <w:textAlignment w:val="auto"/>
                    <w:rPr>
                      <w:bCs/>
                      <w:color w:val="auto"/>
                      <w:kern w:val="0"/>
                      <w:sz w:val="21"/>
                      <w:szCs w:val="21"/>
                    </w:rPr>
                  </w:pPr>
                  <w:r>
                    <w:rPr>
                      <w:rFonts w:hint="eastAsia"/>
                      <w:bCs/>
                      <w:color w:val="auto"/>
                      <w:kern w:val="0"/>
                      <w:sz w:val="21"/>
                      <w:szCs w:val="21"/>
                    </w:rPr>
                    <w:t>55</w:t>
                  </w:r>
                </w:p>
              </w:tc>
            </w:tr>
          </w:tbl>
          <w:p w14:paraId="2E4320BC">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0" w:firstLineChars="0"/>
              <w:textAlignment w:val="auto"/>
              <w:rPr>
                <w:rFonts w:hint="default"/>
                <w:b/>
                <w:bCs/>
                <w:color w:val="auto"/>
                <w:lang w:val="en-US" w:eastAsia="zh-CN"/>
              </w:rPr>
            </w:pPr>
            <w:r>
              <w:rPr>
                <w:rFonts w:hint="default" w:ascii="Times New Roman" w:hAnsi="Times New Roman" w:eastAsia="宋体" w:cs="Times New Roman"/>
                <w:b/>
                <w:bCs/>
                <w:color w:val="auto"/>
                <w:sz w:val="24"/>
                <w:szCs w:val="24"/>
                <w:lang w:val="en-US" w:eastAsia="zh-CN" w:bidi="ar-SA"/>
              </w:rPr>
              <w:t>2、</w:t>
            </w:r>
            <w:r>
              <w:rPr>
                <w:rFonts w:hint="default"/>
                <w:b/>
                <w:bCs/>
                <w:color w:val="auto"/>
                <w:lang w:val="en-US" w:eastAsia="zh-CN"/>
              </w:rPr>
              <w:t>污染物排放标准</w:t>
            </w:r>
          </w:p>
          <w:p w14:paraId="28B0E02A">
            <w:pPr>
              <w:bidi w:val="0"/>
              <w:ind w:firstLine="482" w:firstLineChars="200"/>
              <w:rPr>
                <w:rFonts w:hint="default"/>
                <w:b/>
                <w:bCs/>
                <w:color w:val="auto"/>
                <w:lang w:val="en-US" w:eastAsia="zh-CN"/>
              </w:rPr>
            </w:pPr>
            <w:r>
              <w:rPr>
                <w:rFonts w:hint="eastAsia"/>
                <w:b/>
                <w:bCs/>
                <w:color w:val="auto"/>
                <w:lang w:val="en-US" w:eastAsia="zh-CN"/>
              </w:rPr>
              <w:t>（1）大气污染物排放标准</w:t>
            </w:r>
          </w:p>
          <w:p w14:paraId="6918E470">
            <w:pPr>
              <w:keepNext w:val="0"/>
              <w:keepLines w:val="0"/>
              <w:pageBreakBefore w:val="0"/>
              <w:kinsoku/>
              <w:overflowPunct/>
              <w:autoSpaceDE/>
              <w:autoSpaceDN/>
              <w:bidi w:val="0"/>
              <w:spacing w:line="360" w:lineRule="auto"/>
              <w:ind w:firstLine="480" w:firstLineChars="200"/>
              <w:rPr>
                <w:rFonts w:hint="default" w:eastAsia="宋体"/>
                <w:color w:val="auto"/>
                <w:sz w:val="24"/>
                <w:lang w:val="en-US" w:eastAsia="zh-CN"/>
              </w:rPr>
            </w:pPr>
            <w:r>
              <w:rPr>
                <w:rFonts w:hint="eastAsia"/>
                <w:color w:val="auto"/>
                <w:sz w:val="24"/>
                <w:lang w:eastAsia="zh-CN"/>
              </w:rPr>
              <w:t>非甲烷总烃有组织排放及厂区内无组织排放执行安徽省《固定源挥发性有机物综合排放标准》（</w:t>
            </w:r>
            <w:r>
              <w:rPr>
                <w:rFonts w:hint="eastAsia"/>
                <w:color w:val="auto"/>
                <w:sz w:val="24"/>
                <w:lang w:val="en-US" w:eastAsia="zh-CN"/>
              </w:rPr>
              <w:t>DB34/4812.6-2024</w:t>
            </w:r>
            <w:r>
              <w:rPr>
                <w:rFonts w:hint="eastAsia"/>
                <w:color w:val="auto"/>
                <w:sz w:val="24"/>
                <w:lang w:eastAsia="zh-CN"/>
              </w:rPr>
              <w:t>）</w:t>
            </w:r>
            <w:r>
              <w:rPr>
                <w:color w:val="auto"/>
                <w:sz w:val="24"/>
              </w:rPr>
              <w:t>；</w:t>
            </w:r>
            <w:r>
              <w:rPr>
                <w:rFonts w:hint="eastAsia"/>
                <w:color w:val="auto"/>
                <w:sz w:val="24"/>
                <w:lang w:eastAsia="zh-CN"/>
              </w:rPr>
              <w:t>颗粒物有组织排及颗粒物、非甲烷总烃厂界浓度浓度限值执行上海市《大气污染物综合排放标准》（</w:t>
            </w:r>
            <w:r>
              <w:rPr>
                <w:rFonts w:hint="eastAsia"/>
                <w:color w:val="auto"/>
                <w:sz w:val="24"/>
                <w:lang w:val="en-US" w:eastAsia="zh-CN"/>
              </w:rPr>
              <w:t>DB31/933-2015</w:t>
            </w:r>
            <w:r>
              <w:rPr>
                <w:rFonts w:hint="eastAsia"/>
                <w:color w:val="auto"/>
                <w:sz w:val="24"/>
                <w:lang w:eastAsia="zh-CN"/>
              </w:rPr>
              <w:t>）</w:t>
            </w:r>
            <w:r>
              <w:rPr>
                <w:rFonts w:hint="eastAsia"/>
                <w:color w:val="auto"/>
                <w:sz w:val="24"/>
                <w:lang w:val="en-US" w:eastAsia="zh-CN"/>
              </w:rPr>
              <w:t>.</w:t>
            </w:r>
          </w:p>
          <w:p w14:paraId="11F3350A">
            <w:pPr>
              <w:keepNext w:val="0"/>
              <w:keepLines w:val="0"/>
              <w:pageBreakBefore w:val="0"/>
              <w:kinsoku/>
              <w:overflowPunct/>
              <w:autoSpaceDE/>
              <w:autoSpaceDN/>
              <w:bidi w:val="0"/>
              <w:adjustRightInd w:val="0"/>
              <w:spacing w:line="240" w:lineRule="auto"/>
              <w:jc w:val="center"/>
              <w:rPr>
                <w:rFonts w:hint="default"/>
                <w:b/>
                <w:color w:val="auto"/>
                <w:sz w:val="24"/>
                <w:szCs w:val="24"/>
                <w:lang w:val="en-US"/>
              </w:rPr>
            </w:pPr>
            <w:r>
              <w:rPr>
                <w:b/>
                <w:color w:val="auto"/>
                <w:sz w:val="24"/>
              </w:rPr>
              <w:t>表</w:t>
            </w:r>
            <w:r>
              <w:rPr>
                <w:rFonts w:hint="eastAsia"/>
                <w:b/>
                <w:color w:val="auto"/>
                <w:sz w:val="24"/>
                <w:lang w:val="en-US" w:eastAsia="zh-CN"/>
              </w:rPr>
              <w:t>1-4  非甲烷总烃有组织排放标准限值</w:t>
            </w:r>
          </w:p>
          <w:tbl>
            <w:tblPr>
              <w:tblStyle w:val="19"/>
              <w:tblW w:w="49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2747"/>
              <w:gridCol w:w="2638"/>
            </w:tblGrid>
            <w:tr w14:paraId="5EF95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58" w:type="pct"/>
                  <w:noWrap w:val="0"/>
                  <w:vAlign w:val="center"/>
                </w:tcPr>
                <w:p w14:paraId="6D339ED4">
                  <w:pPr>
                    <w:pStyle w:val="26"/>
                    <w:keepNext w:val="0"/>
                    <w:keepLines w:val="0"/>
                    <w:pageBreakBefore w:val="0"/>
                    <w:kinsoku/>
                    <w:overflowPunct/>
                    <w:autoSpaceDE/>
                    <w:autoSpaceDN/>
                    <w:bidi w:val="0"/>
                    <w:rPr>
                      <w:b/>
                      <w:bCs/>
                      <w:color w:val="auto"/>
                    </w:rPr>
                  </w:pPr>
                  <w:r>
                    <w:rPr>
                      <w:b/>
                      <w:bCs/>
                      <w:color w:val="auto"/>
                    </w:rPr>
                    <w:t>污染物项目</w:t>
                  </w:r>
                </w:p>
              </w:tc>
              <w:tc>
                <w:tcPr>
                  <w:tcW w:w="2061" w:type="pct"/>
                  <w:noWrap w:val="0"/>
                  <w:vAlign w:val="center"/>
                </w:tcPr>
                <w:p w14:paraId="2EF4BD86">
                  <w:pPr>
                    <w:pStyle w:val="26"/>
                    <w:keepNext w:val="0"/>
                    <w:keepLines w:val="0"/>
                    <w:pageBreakBefore w:val="0"/>
                    <w:kinsoku/>
                    <w:overflowPunct/>
                    <w:autoSpaceDE/>
                    <w:autoSpaceDN/>
                    <w:bidi w:val="0"/>
                    <w:rPr>
                      <w:b/>
                      <w:bCs/>
                      <w:color w:val="auto"/>
                    </w:rPr>
                  </w:pPr>
                  <w:r>
                    <w:rPr>
                      <w:b/>
                      <w:bCs/>
                      <w:color w:val="auto"/>
                    </w:rPr>
                    <w:t>最高允许排放浓度（mg/m</w:t>
                  </w:r>
                  <w:r>
                    <w:rPr>
                      <w:b/>
                      <w:bCs/>
                      <w:color w:val="auto"/>
                      <w:vertAlign w:val="superscript"/>
                    </w:rPr>
                    <w:t>3</w:t>
                  </w:r>
                  <w:r>
                    <w:rPr>
                      <w:b/>
                      <w:bCs/>
                      <w:color w:val="auto"/>
                    </w:rPr>
                    <w:t>）</w:t>
                  </w:r>
                </w:p>
              </w:tc>
              <w:tc>
                <w:tcPr>
                  <w:tcW w:w="1979" w:type="pct"/>
                  <w:noWrap w:val="0"/>
                  <w:vAlign w:val="center"/>
                </w:tcPr>
                <w:p w14:paraId="7BA7EE3E">
                  <w:pPr>
                    <w:pStyle w:val="26"/>
                    <w:keepNext w:val="0"/>
                    <w:keepLines w:val="0"/>
                    <w:pageBreakBefore w:val="0"/>
                    <w:kinsoku/>
                    <w:overflowPunct/>
                    <w:autoSpaceDE/>
                    <w:autoSpaceDN/>
                    <w:bidi w:val="0"/>
                    <w:rPr>
                      <w:b/>
                      <w:bCs/>
                      <w:color w:val="auto"/>
                    </w:rPr>
                  </w:pPr>
                  <w:r>
                    <w:rPr>
                      <w:b/>
                      <w:bCs/>
                      <w:color w:val="auto"/>
                    </w:rPr>
                    <w:t>最高允许排放速率（kg/h）</w:t>
                  </w:r>
                </w:p>
              </w:tc>
            </w:tr>
            <w:tr w14:paraId="173AA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958" w:type="pct"/>
                  <w:noWrap w:val="0"/>
                  <w:vAlign w:val="center"/>
                </w:tcPr>
                <w:p w14:paraId="490ED628">
                  <w:pPr>
                    <w:pStyle w:val="26"/>
                    <w:keepNext w:val="0"/>
                    <w:keepLines w:val="0"/>
                    <w:pageBreakBefore w:val="0"/>
                    <w:kinsoku/>
                    <w:overflowPunct/>
                    <w:autoSpaceDE/>
                    <w:autoSpaceDN/>
                    <w:bidi w:val="0"/>
                    <w:ind w:firstLine="0" w:firstLineChars="0"/>
                    <w:rPr>
                      <w:rFonts w:ascii="Times New Roman" w:hAnsi="Times New Roman" w:eastAsia="宋体" w:cs="Times New Roman"/>
                      <w:color w:val="auto"/>
                      <w:sz w:val="21"/>
                      <w:szCs w:val="24"/>
                      <w:lang w:val="en-US" w:eastAsia="zh-CN" w:bidi="ar-SA"/>
                    </w:rPr>
                  </w:pPr>
                  <w:r>
                    <w:rPr>
                      <w:rFonts w:hint="eastAsia"/>
                      <w:color w:val="auto"/>
                    </w:rPr>
                    <w:t>非甲烷总烃</w:t>
                  </w:r>
                </w:p>
              </w:tc>
              <w:tc>
                <w:tcPr>
                  <w:tcW w:w="2061" w:type="pct"/>
                  <w:noWrap w:val="0"/>
                  <w:vAlign w:val="center"/>
                </w:tcPr>
                <w:p w14:paraId="2B5EB7E5">
                  <w:pPr>
                    <w:pStyle w:val="26"/>
                    <w:keepNext w:val="0"/>
                    <w:keepLines w:val="0"/>
                    <w:pageBreakBefore w:val="0"/>
                    <w:kinsoku/>
                    <w:overflowPunct/>
                    <w:autoSpaceDE/>
                    <w:autoSpaceDN/>
                    <w:bidi w:val="0"/>
                    <w:ind w:firstLine="0" w:firstLineChars="0"/>
                    <w:rPr>
                      <w:rFonts w:hint="default" w:ascii="Times New Roman" w:hAnsi="Times New Roman" w:eastAsia="宋体" w:cs="Times New Roman"/>
                      <w:color w:val="auto"/>
                      <w:sz w:val="21"/>
                      <w:szCs w:val="24"/>
                      <w:lang w:val="en-US" w:eastAsia="zh-CN" w:bidi="ar-SA"/>
                    </w:rPr>
                  </w:pPr>
                  <w:r>
                    <w:rPr>
                      <w:rFonts w:hint="eastAsia"/>
                      <w:color w:val="auto"/>
                      <w:lang w:val="en-US" w:eastAsia="zh-CN"/>
                    </w:rPr>
                    <w:t>70</w:t>
                  </w:r>
                </w:p>
              </w:tc>
              <w:tc>
                <w:tcPr>
                  <w:tcW w:w="1979" w:type="pct"/>
                  <w:noWrap w:val="0"/>
                  <w:vAlign w:val="center"/>
                </w:tcPr>
                <w:p w14:paraId="3F0C1AA1">
                  <w:pPr>
                    <w:pStyle w:val="26"/>
                    <w:keepNext w:val="0"/>
                    <w:keepLines w:val="0"/>
                    <w:pageBreakBefore w:val="0"/>
                    <w:kinsoku/>
                    <w:overflowPunct/>
                    <w:autoSpaceDE/>
                    <w:autoSpaceDN/>
                    <w:bidi w:val="0"/>
                    <w:ind w:firstLine="0" w:firstLineChars="0"/>
                    <w:rPr>
                      <w:rFonts w:hint="default" w:ascii="Times New Roman" w:hAnsi="Times New Roman" w:eastAsia="宋体" w:cs="Times New Roman"/>
                      <w:color w:val="auto"/>
                      <w:sz w:val="21"/>
                      <w:szCs w:val="24"/>
                      <w:lang w:val="en-US" w:eastAsia="zh-CN" w:bidi="ar-SA"/>
                    </w:rPr>
                  </w:pPr>
                  <w:r>
                    <w:rPr>
                      <w:rFonts w:hint="eastAsia"/>
                      <w:color w:val="auto"/>
                      <w:lang w:val="en-US" w:eastAsia="zh-CN"/>
                    </w:rPr>
                    <w:t>3.0</w:t>
                  </w:r>
                </w:p>
              </w:tc>
            </w:tr>
          </w:tbl>
          <w:p w14:paraId="16CF2A5D">
            <w:pPr>
              <w:keepNext w:val="0"/>
              <w:keepLines w:val="0"/>
              <w:pageBreakBefore w:val="0"/>
              <w:kinsoku/>
              <w:wordWrap w:val="0"/>
              <w:overflowPunct/>
              <w:topLinePunct/>
              <w:autoSpaceDE/>
              <w:autoSpaceDN/>
              <w:bidi w:val="0"/>
              <w:spacing w:line="240" w:lineRule="auto"/>
              <w:contextualSpacing/>
              <w:jc w:val="center"/>
              <w:textAlignment w:val="center"/>
              <w:rPr>
                <w:rFonts w:hint="eastAsia" w:eastAsia="宋体"/>
                <w:b/>
                <w:color w:val="auto"/>
                <w:sz w:val="24"/>
                <w:lang w:eastAsia="zh-CN"/>
              </w:rPr>
            </w:pPr>
            <w:r>
              <w:rPr>
                <w:b/>
                <w:color w:val="auto"/>
                <w:sz w:val="24"/>
              </w:rPr>
              <w:t>表</w:t>
            </w:r>
            <w:r>
              <w:rPr>
                <w:rFonts w:hint="eastAsia"/>
                <w:b/>
                <w:color w:val="auto"/>
                <w:sz w:val="24"/>
                <w:lang w:val="en-US" w:eastAsia="zh-CN"/>
              </w:rPr>
              <w:t xml:space="preserve">1-5  </w:t>
            </w:r>
            <w:r>
              <w:rPr>
                <w:rFonts w:hint="eastAsia"/>
                <w:b/>
                <w:color w:val="auto"/>
                <w:sz w:val="24"/>
                <w:lang w:eastAsia="zh-CN"/>
              </w:rPr>
              <w:t>非甲烷总烃厂区内标准浓度限值</w:t>
            </w:r>
          </w:p>
          <w:tbl>
            <w:tblPr>
              <w:tblStyle w:val="19"/>
              <w:tblW w:w="6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568"/>
              <w:gridCol w:w="1611"/>
              <w:gridCol w:w="2179"/>
            </w:tblGrid>
            <w:tr w14:paraId="0EB0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988" w:type="pct"/>
                  <w:shd w:val="clear" w:color="auto" w:fill="auto"/>
                  <w:noWrap w:val="0"/>
                  <w:vAlign w:val="center"/>
                </w:tcPr>
                <w:p w14:paraId="30F33E28">
                  <w:pPr>
                    <w:pStyle w:val="26"/>
                    <w:keepNext w:val="0"/>
                    <w:keepLines w:val="0"/>
                    <w:pageBreakBefore w:val="0"/>
                    <w:kinsoku/>
                    <w:overflowPunct/>
                    <w:autoSpaceDE/>
                    <w:autoSpaceDN/>
                    <w:bidi w:val="0"/>
                    <w:rPr>
                      <w:b/>
                      <w:bCs/>
                      <w:color w:val="auto"/>
                    </w:rPr>
                  </w:pPr>
                  <w:r>
                    <w:rPr>
                      <w:b/>
                      <w:bCs/>
                      <w:color w:val="auto"/>
                    </w:rPr>
                    <w:t>污染物项目</w:t>
                  </w:r>
                </w:p>
              </w:tc>
              <w:tc>
                <w:tcPr>
                  <w:tcW w:w="1174" w:type="pct"/>
                  <w:shd w:val="clear" w:color="auto" w:fill="auto"/>
                  <w:noWrap w:val="0"/>
                  <w:vAlign w:val="center"/>
                </w:tcPr>
                <w:p w14:paraId="3A5DF3C3">
                  <w:pPr>
                    <w:pStyle w:val="26"/>
                    <w:keepNext w:val="0"/>
                    <w:keepLines w:val="0"/>
                    <w:pageBreakBefore w:val="0"/>
                    <w:kinsoku/>
                    <w:overflowPunct/>
                    <w:autoSpaceDE/>
                    <w:autoSpaceDN/>
                    <w:bidi w:val="0"/>
                    <w:rPr>
                      <w:b/>
                      <w:bCs/>
                      <w:color w:val="auto"/>
                    </w:rPr>
                  </w:pPr>
                  <w:r>
                    <w:rPr>
                      <w:b/>
                      <w:bCs/>
                      <w:color w:val="auto"/>
                    </w:rPr>
                    <w:t>特别排放限值</w:t>
                  </w:r>
                </w:p>
              </w:tc>
              <w:tc>
                <w:tcPr>
                  <w:tcW w:w="1206" w:type="pct"/>
                  <w:noWrap w:val="0"/>
                  <w:vAlign w:val="center"/>
                </w:tcPr>
                <w:p w14:paraId="7C6B22F7">
                  <w:pPr>
                    <w:pStyle w:val="26"/>
                    <w:keepNext w:val="0"/>
                    <w:keepLines w:val="0"/>
                    <w:pageBreakBefore w:val="0"/>
                    <w:kinsoku/>
                    <w:overflowPunct/>
                    <w:autoSpaceDE/>
                    <w:autoSpaceDN/>
                    <w:bidi w:val="0"/>
                    <w:rPr>
                      <w:b/>
                      <w:bCs/>
                      <w:color w:val="auto"/>
                    </w:rPr>
                  </w:pPr>
                  <w:r>
                    <w:rPr>
                      <w:b/>
                      <w:bCs/>
                      <w:color w:val="auto"/>
                    </w:rPr>
                    <w:t>限值含义</w:t>
                  </w:r>
                </w:p>
              </w:tc>
              <w:tc>
                <w:tcPr>
                  <w:tcW w:w="1631" w:type="pct"/>
                  <w:noWrap w:val="0"/>
                  <w:vAlign w:val="center"/>
                </w:tcPr>
                <w:p w14:paraId="6C228D34">
                  <w:pPr>
                    <w:pStyle w:val="26"/>
                    <w:keepNext w:val="0"/>
                    <w:keepLines w:val="0"/>
                    <w:pageBreakBefore w:val="0"/>
                    <w:kinsoku/>
                    <w:overflowPunct/>
                    <w:autoSpaceDE/>
                    <w:autoSpaceDN/>
                    <w:bidi w:val="0"/>
                    <w:rPr>
                      <w:b/>
                      <w:bCs/>
                      <w:color w:val="auto"/>
                    </w:rPr>
                  </w:pPr>
                  <w:r>
                    <w:rPr>
                      <w:b/>
                      <w:bCs/>
                      <w:color w:val="auto"/>
                    </w:rPr>
                    <w:t>无组织排放监控位置</w:t>
                  </w:r>
                </w:p>
              </w:tc>
            </w:tr>
            <w:tr w14:paraId="591CB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988" w:type="pct"/>
                  <w:vMerge w:val="restart"/>
                  <w:shd w:val="clear" w:color="auto" w:fill="auto"/>
                  <w:noWrap w:val="0"/>
                  <w:vAlign w:val="center"/>
                </w:tcPr>
                <w:p w14:paraId="30F6D1D1">
                  <w:pPr>
                    <w:pStyle w:val="26"/>
                    <w:keepNext w:val="0"/>
                    <w:keepLines w:val="0"/>
                    <w:pageBreakBefore w:val="0"/>
                    <w:kinsoku/>
                    <w:overflowPunct/>
                    <w:autoSpaceDE/>
                    <w:autoSpaceDN/>
                    <w:bidi w:val="0"/>
                    <w:rPr>
                      <w:color w:val="auto"/>
                    </w:rPr>
                  </w:pPr>
                  <w:r>
                    <w:rPr>
                      <w:color w:val="auto"/>
                    </w:rPr>
                    <w:t>NMHC</w:t>
                  </w:r>
                </w:p>
              </w:tc>
              <w:tc>
                <w:tcPr>
                  <w:tcW w:w="1174" w:type="pct"/>
                  <w:shd w:val="clear" w:color="auto" w:fill="auto"/>
                  <w:noWrap w:val="0"/>
                  <w:vAlign w:val="center"/>
                </w:tcPr>
                <w:p w14:paraId="37A7678E">
                  <w:pPr>
                    <w:pStyle w:val="26"/>
                    <w:keepNext w:val="0"/>
                    <w:keepLines w:val="0"/>
                    <w:pageBreakBefore w:val="0"/>
                    <w:kinsoku/>
                    <w:overflowPunct/>
                    <w:autoSpaceDE/>
                    <w:autoSpaceDN/>
                    <w:bidi w:val="0"/>
                    <w:rPr>
                      <w:color w:val="auto"/>
                    </w:rPr>
                  </w:pPr>
                  <w:r>
                    <w:rPr>
                      <w:color w:val="auto"/>
                    </w:rPr>
                    <w:t>6</w:t>
                  </w:r>
                </w:p>
              </w:tc>
              <w:tc>
                <w:tcPr>
                  <w:tcW w:w="1206" w:type="pct"/>
                  <w:noWrap w:val="0"/>
                  <w:vAlign w:val="center"/>
                </w:tcPr>
                <w:p w14:paraId="42122B3C">
                  <w:pPr>
                    <w:pStyle w:val="26"/>
                    <w:keepNext w:val="0"/>
                    <w:keepLines w:val="0"/>
                    <w:pageBreakBefore w:val="0"/>
                    <w:kinsoku/>
                    <w:overflowPunct/>
                    <w:autoSpaceDE/>
                    <w:autoSpaceDN/>
                    <w:bidi w:val="0"/>
                    <w:rPr>
                      <w:color w:val="auto"/>
                    </w:rPr>
                  </w:pPr>
                  <w:r>
                    <w:rPr>
                      <w:color w:val="auto"/>
                    </w:rPr>
                    <w:t>监控点处1h平均浓度值</w:t>
                  </w:r>
                </w:p>
              </w:tc>
              <w:tc>
                <w:tcPr>
                  <w:tcW w:w="1631" w:type="pct"/>
                  <w:vMerge w:val="restart"/>
                  <w:noWrap w:val="0"/>
                  <w:vAlign w:val="center"/>
                </w:tcPr>
                <w:p w14:paraId="22CEE7ED">
                  <w:pPr>
                    <w:pStyle w:val="26"/>
                    <w:keepNext w:val="0"/>
                    <w:keepLines w:val="0"/>
                    <w:pageBreakBefore w:val="0"/>
                    <w:kinsoku/>
                    <w:overflowPunct/>
                    <w:autoSpaceDE/>
                    <w:autoSpaceDN/>
                    <w:bidi w:val="0"/>
                    <w:rPr>
                      <w:color w:val="auto"/>
                    </w:rPr>
                  </w:pPr>
                  <w:r>
                    <w:rPr>
                      <w:color w:val="auto"/>
                    </w:rPr>
                    <w:t>在厂房外设置监控点</w:t>
                  </w:r>
                </w:p>
              </w:tc>
            </w:tr>
            <w:tr w14:paraId="73608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988" w:type="pct"/>
                  <w:vMerge w:val="continue"/>
                  <w:shd w:val="clear" w:color="auto" w:fill="auto"/>
                  <w:noWrap w:val="0"/>
                  <w:vAlign w:val="center"/>
                </w:tcPr>
                <w:p w14:paraId="2D284AD9">
                  <w:pPr>
                    <w:pStyle w:val="26"/>
                    <w:keepNext w:val="0"/>
                    <w:keepLines w:val="0"/>
                    <w:pageBreakBefore w:val="0"/>
                    <w:kinsoku/>
                    <w:overflowPunct/>
                    <w:autoSpaceDE/>
                    <w:autoSpaceDN/>
                    <w:bidi w:val="0"/>
                    <w:rPr>
                      <w:color w:val="auto"/>
                    </w:rPr>
                  </w:pPr>
                </w:p>
              </w:tc>
              <w:tc>
                <w:tcPr>
                  <w:tcW w:w="1174" w:type="pct"/>
                  <w:shd w:val="clear" w:color="auto" w:fill="auto"/>
                  <w:noWrap w:val="0"/>
                  <w:vAlign w:val="center"/>
                </w:tcPr>
                <w:p w14:paraId="5767F20D">
                  <w:pPr>
                    <w:pStyle w:val="26"/>
                    <w:keepNext w:val="0"/>
                    <w:keepLines w:val="0"/>
                    <w:pageBreakBefore w:val="0"/>
                    <w:kinsoku/>
                    <w:overflowPunct/>
                    <w:autoSpaceDE/>
                    <w:autoSpaceDN/>
                    <w:bidi w:val="0"/>
                    <w:rPr>
                      <w:color w:val="auto"/>
                    </w:rPr>
                  </w:pPr>
                  <w:r>
                    <w:rPr>
                      <w:color w:val="auto"/>
                    </w:rPr>
                    <w:t>20</w:t>
                  </w:r>
                </w:p>
              </w:tc>
              <w:tc>
                <w:tcPr>
                  <w:tcW w:w="1206" w:type="pct"/>
                  <w:noWrap w:val="0"/>
                  <w:vAlign w:val="center"/>
                </w:tcPr>
                <w:p w14:paraId="56A06653">
                  <w:pPr>
                    <w:pStyle w:val="26"/>
                    <w:keepNext w:val="0"/>
                    <w:keepLines w:val="0"/>
                    <w:pageBreakBefore w:val="0"/>
                    <w:kinsoku/>
                    <w:overflowPunct/>
                    <w:autoSpaceDE/>
                    <w:autoSpaceDN/>
                    <w:bidi w:val="0"/>
                    <w:rPr>
                      <w:color w:val="auto"/>
                    </w:rPr>
                  </w:pPr>
                  <w:r>
                    <w:rPr>
                      <w:color w:val="auto"/>
                    </w:rPr>
                    <w:t>监控点处任意一次浓度值</w:t>
                  </w:r>
                </w:p>
              </w:tc>
              <w:tc>
                <w:tcPr>
                  <w:tcW w:w="1631" w:type="pct"/>
                  <w:vMerge w:val="continue"/>
                  <w:noWrap w:val="0"/>
                  <w:vAlign w:val="center"/>
                </w:tcPr>
                <w:p w14:paraId="479D2EBC">
                  <w:pPr>
                    <w:pStyle w:val="26"/>
                    <w:keepNext w:val="0"/>
                    <w:keepLines w:val="0"/>
                    <w:pageBreakBefore w:val="0"/>
                    <w:kinsoku/>
                    <w:overflowPunct/>
                    <w:autoSpaceDE/>
                    <w:autoSpaceDN/>
                    <w:bidi w:val="0"/>
                    <w:rPr>
                      <w:color w:val="auto"/>
                    </w:rPr>
                  </w:pPr>
                </w:p>
              </w:tc>
            </w:tr>
          </w:tbl>
          <w:p w14:paraId="325DA883">
            <w:pPr>
              <w:keepNext w:val="0"/>
              <w:keepLines w:val="0"/>
              <w:pageBreakBefore w:val="0"/>
              <w:kinsoku/>
              <w:overflowPunct/>
              <w:autoSpaceDE/>
              <w:autoSpaceDN/>
              <w:bidi w:val="0"/>
              <w:spacing w:line="240" w:lineRule="auto"/>
              <w:jc w:val="center"/>
              <w:rPr>
                <w:rFonts w:hint="eastAsia"/>
                <w:b/>
                <w:bCs/>
                <w:color w:val="auto"/>
                <w:sz w:val="24"/>
                <w:lang w:val="en-US" w:eastAsia="zh-CN"/>
              </w:rPr>
            </w:pPr>
            <w:r>
              <w:rPr>
                <w:rFonts w:hint="eastAsia"/>
                <w:b/>
                <w:bCs/>
                <w:color w:val="auto"/>
                <w:sz w:val="24"/>
                <w:lang w:val="zh-CN"/>
              </w:rPr>
              <w:t>表</w:t>
            </w:r>
            <w:r>
              <w:rPr>
                <w:rFonts w:hint="eastAsia"/>
                <w:b/>
                <w:bCs/>
                <w:color w:val="auto"/>
                <w:sz w:val="24"/>
                <w:lang w:val="en-US" w:eastAsia="zh-CN"/>
              </w:rPr>
              <w:t>1-6  颗粒物有组织排放标准限值</w:t>
            </w:r>
          </w:p>
          <w:tbl>
            <w:tblPr>
              <w:tblStyle w:val="20"/>
              <w:tblW w:w="6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2751"/>
              <w:gridCol w:w="2584"/>
            </w:tblGrid>
            <w:tr w14:paraId="2DA3E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324" w:type="dxa"/>
                  <w:shd w:val="clear" w:color="auto" w:fill="auto"/>
                  <w:vAlign w:val="center"/>
                </w:tcPr>
                <w:p w14:paraId="79BF741A">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b/>
                      <w:bCs/>
                      <w:color w:val="auto"/>
                      <w:sz w:val="21"/>
                      <w:szCs w:val="24"/>
                      <w:lang w:val="en-US" w:eastAsia="zh-CN" w:bidi="ar-SA"/>
                    </w:rPr>
                  </w:pPr>
                  <w:r>
                    <w:rPr>
                      <w:b/>
                      <w:bCs/>
                      <w:color w:val="auto"/>
                    </w:rPr>
                    <w:t>污染物项目</w:t>
                  </w:r>
                </w:p>
              </w:tc>
              <w:tc>
                <w:tcPr>
                  <w:tcW w:w="2751" w:type="dxa"/>
                  <w:shd w:val="clear" w:color="auto" w:fill="auto"/>
                  <w:vAlign w:val="center"/>
                </w:tcPr>
                <w:p w14:paraId="57ED1343">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b/>
                      <w:bCs/>
                      <w:color w:val="auto"/>
                      <w:sz w:val="21"/>
                      <w:szCs w:val="24"/>
                      <w:lang w:val="en-US" w:eastAsia="zh-CN" w:bidi="ar-SA"/>
                    </w:rPr>
                  </w:pPr>
                  <w:r>
                    <w:rPr>
                      <w:b/>
                      <w:bCs/>
                      <w:color w:val="auto"/>
                    </w:rPr>
                    <w:t>最高允许排放浓度（mg/m</w:t>
                  </w:r>
                  <w:r>
                    <w:rPr>
                      <w:b/>
                      <w:bCs/>
                      <w:color w:val="auto"/>
                      <w:vertAlign w:val="superscript"/>
                    </w:rPr>
                    <w:t>3</w:t>
                  </w:r>
                  <w:r>
                    <w:rPr>
                      <w:b/>
                      <w:bCs/>
                      <w:color w:val="auto"/>
                    </w:rPr>
                    <w:t>）</w:t>
                  </w:r>
                </w:p>
              </w:tc>
              <w:tc>
                <w:tcPr>
                  <w:tcW w:w="2584" w:type="dxa"/>
                  <w:shd w:val="clear" w:color="auto" w:fill="auto"/>
                  <w:vAlign w:val="center"/>
                </w:tcPr>
                <w:p w14:paraId="4CC6413E">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b/>
                      <w:bCs/>
                      <w:color w:val="auto"/>
                      <w:sz w:val="21"/>
                      <w:szCs w:val="24"/>
                      <w:lang w:val="en-US" w:eastAsia="zh-CN" w:bidi="ar-SA"/>
                    </w:rPr>
                  </w:pPr>
                  <w:r>
                    <w:rPr>
                      <w:b/>
                      <w:bCs/>
                      <w:color w:val="auto"/>
                    </w:rPr>
                    <w:t>最高允许排放速率（kg/h）</w:t>
                  </w:r>
                </w:p>
              </w:tc>
            </w:tr>
            <w:tr w14:paraId="4BB2C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24" w:type="dxa"/>
                  <w:shd w:val="clear" w:color="auto" w:fill="auto"/>
                  <w:vAlign w:val="center"/>
                </w:tcPr>
                <w:p w14:paraId="1D4841C5">
                  <w:pPr>
                    <w:pStyle w:val="26"/>
                    <w:keepNext w:val="0"/>
                    <w:keepLines w:val="0"/>
                    <w:pageBreakBefore w:val="0"/>
                    <w:widowControl w:val="0"/>
                    <w:kinsoku/>
                    <w:overflowPunct/>
                    <w:autoSpaceDE/>
                    <w:autoSpaceDN/>
                    <w:bidi w:val="0"/>
                    <w:ind w:firstLine="0" w:firstLineChars="0"/>
                    <w:rPr>
                      <w:rFonts w:hint="eastAsia" w:ascii="Times New Roman" w:hAnsi="Times New Roman" w:eastAsia="宋体" w:cs="Times New Roman"/>
                      <w:color w:val="auto"/>
                      <w:sz w:val="21"/>
                      <w:szCs w:val="24"/>
                      <w:lang w:val="en-US" w:eastAsia="zh-CN" w:bidi="ar-SA"/>
                    </w:rPr>
                  </w:pPr>
                  <w:r>
                    <w:rPr>
                      <w:rFonts w:hint="eastAsia"/>
                      <w:color w:val="auto"/>
                      <w:lang w:eastAsia="zh-CN"/>
                    </w:rPr>
                    <w:t>颗粒物</w:t>
                  </w:r>
                </w:p>
              </w:tc>
              <w:tc>
                <w:tcPr>
                  <w:tcW w:w="2751" w:type="dxa"/>
                  <w:shd w:val="clear" w:color="auto" w:fill="auto"/>
                  <w:vAlign w:val="center"/>
                </w:tcPr>
                <w:p w14:paraId="279874F4">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color w:val="auto"/>
                      <w:sz w:val="21"/>
                      <w:szCs w:val="24"/>
                      <w:lang w:val="en-US" w:eastAsia="zh-CN" w:bidi="ar-SA"/>
                    </w:rPr>
                  </w:pPr>
                  <w:r>
                    <w:rPr>
                      <w:rFonts w:hint="eastAsia"/>
                      <w:color w:val="auto"/>
                      <w:lang w:val="en-US" w:eastAsia="zh-CN"/>
                    </w:rPr>
                    <w:t>30</w:t>
                  </w:r>
                </w:p>
              </w:tc>
              <w:tc>
                <w:tcPr>
                  <w:tcW w:w="2584" w:type="dxa"/>
                  <w:shd w:val="clear" w:color="auto" w:fill="auto"/>
                  <w:vAlign w:val="center"/>
                </w:tcPr>
                <w:p w14:paraId="3132B999">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1.5</w:t>
                  </w:r>
                </w:p>
              </w:tc>
            </w:tr>
          </w:tbl>
          <w:p w14:paraId="1A404AC5">
            <w:pPr>
              <w:keepNext w:val="0"/>
              <w:keepLines w:val="0"/>
              <w:pageBreakBefore w:val="0"/>
              <w:kinsoku/>
              <w:overflowPunct/>
              <w:autoSpaceDE/>
              <w:autoSpaceDN/>
              <w:bidi w:val="0"/>
              <w:spacing w:line="360" w:lineRule="auto"/>
              <w:rPr>
                <w:rFonts w:hint="eastAsia"/>
                <w:b/>
                <w:bCs/>
                <w:color w:val="auto"/>
                <w:sz w:val="24"/>
                <w:lang w:val="en-US" w:eastAsia="zh-CN"/>
              </w:rPr>
            </w:pPr>
          </w:p>
          <w:p w14:paraId="25B13470">
            <w:pPr>
              <w:keepNext w:val="0"/>
              <w:keepLines w:val="0"/>
              <w:pageBreakBefore w:val="0"/>
              <w:kinsoku/>
              <w:overflowPunct/>
              <w:autoSpaceDE/>
              <w:autoSpaceDN/>
              <w:bidi w:val="0"/>
              <w:spacing w:line="360" w:lineRule="auto"/>
              <w:rPr>
                <w:rFonts w:hint="eastAsia"/>
                <w:b/>
                <w:bCs/>
                <w:color w:val="auto"/>
                <w:sz w:val="24"/>
                <w:lang w:val="en-US" w:eastAsia="zh-CN"/>
              </w:rPr>
            </w:pPr>
          </w:p>
          <w:p w14:paraId="5B1ABEC2">
            <w:pPr>
              <w:keepNext w:val="0"/>
              <w:keepLines w:val="0"/>
              <w:pageBreakBefore w:val="0"/>
              <w:kinsoku/>
              <w:overflowPunct/>
              <w:autoSpaceDE/>
              <w:autoSpaceDN/>
              <w:bidi w:val="0"/>
              <w:spacing w:line="240" w:lineRule="auto"/>
              <w:jc w:val="center"/>
              <w:rPr>
                <w:rFonts w:hint="default"/>
                <w:b/>
                <w:bCs/>
                <w:color w:val="auto"/>
                <w:sz w:val="24"/>
                <w:lang w:val="en-US" w:eastAsia="zh-CN"/>
              </w:rPr>
            </w:pPr>
            <w:r>
              <w:rPr>
                <w:rFonts w:hint="eastAsia"/>
                <w:b/>
                <w:bCs/>
                <w:color w:val="auto"/>
                <w:sz w:val="24"/>
                <w:lang w:val="en-US" w:eastAsia="zh-CN"/>
              </w:rPr>
              <w:t>表1-7  厂界污染物标准浓度限值</w:t>
            </w:r>
          </w:p>
          <w:tbl>
            <w:tblPr>
              <w:tblStyle w:val="20"/>
              <w:tblW w:w="66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2767"/>
              <w:gridCol w:w="2600"/>
            </w:tblGrid>
            <w:tr w14:paraId="0415D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332" w:type="dxa"/>
                  <w:shd w:val="clear" w:color="auto" w:fill="auto"/>
                  <w:vAlign w:val="center"/>
                </w:tcPr>
                <w:p w14:paraId="1CEA9F22">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b/>
                      <w:bCs/>
                      <w:color w:val="auto"/>
                      <w:sz w:val="21"/>
                      <w:szCs w:val="24"/>
                      <w:lang w:val="en-US" w:eastAsia="zh-CN" w:bidi="ar-SA"/>
                    </w:rPr>
                  </w:pPr>
                  <w:r>
                    <w:rPr>
                      <w:b/>
                      <w:bCs/>
                      <w:color w:val="auto"/>
                    </w:rPr>
                    <w:t>污染物项目</w:t>
                  </w:r>
                </w:p>
              </w:tc>
              <w:tc>
                <w:tcPr>
                  <w:tcW w:w="2767" w:type="dxa"/>
                  <w:shd w:val="clear" w:color="auto" w:fill="auto"/>
                  <w:vAlign w:val="center"/>
                </w:tcPr>
                <w:p w14:paraId="39896468">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b/>
                      <w:bCs/>
                      <w:color w:val="auto"/>
                      <w:sz w:val="21"/>
                      <w:szCs w:val="24"/>
                      <w:lang w:val="en-US" w:eastAsia="zh-CN" w:bidi="ar-SA"/>
                    </w:rPr>
                  </w:pPr>
                  <w:r>
                    <w:rPr>
                      <w:rFonts w:hint="eastAsia"/>
                      <w:b/>
                      <w:bCs/>
                      <w:color w:val="auto"/>
                      <w:lang w:eastAsia="zh-CN"/>
                    </w:rPr>
                    <w:t>颗粒物</w:t>
                  </w:r>
                  <w:r>
                    <w:rPr>
                      <w:b/>
                      <w:bCs/>
                      <w:color w:val="auto"/>
                    </w:rPr>
                    <w:t>（mg/m</w:t>
                  </w:r>
                  <w:r>
                    <w:rPr>
                      <w:b/>
                      <w:bCs/>
                      <w:color w:val="auto"/>
                      <w:vertAlign w:val="superscript"/>
                    </w:rPr>
                    <w:t>3</w:t>
                  </w:r>
                  <w:r>
                    <w:rPr>
                      <w:b/>
                      <w:bCs/>
                      <w:color w:val="auto"/>
                    </w:rPr>
                    <w:t>）</w:t>
                  </w:r>
                </w:p>
              </w:tc>
              <w:tc>
                <w:tcPr>
                  <w:tcW w:w="2600" w:type="dxa"/>
                  <w:shd w:val="clear" w:color="auto" w:fill="auto"/>
                  <w:vAlign w:val="center"/>
                </w:tcPr>
                <w:p w14:paraId="2F0781B2">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b/>
                      <w:bCs/>
                      <w:color w:val="auto"/>
                      <w:sz w:val="21"/>
                      <w:szCs w:val="24"/>
                      <w:lang w:val="en-US" w:eastAsia="zh-CN" w:bidi="ar-SA"/>
                    </w:rPr>
                  </w:pPr>
                  <w:r>
                    <w:rPr>
                      <w:rFonts w:hint="eastAsia"/>
                      <w:b/>
                      <w:bCs/>
                      <w:color w:val="auto"/>
                      <w:lang w:eastAsia="zh-CN"/>
                    </w:rPr>
                    <w:t>非甲烷总烃</w:t>
                  </w:r>
                  <w:r>
                    <w:rPr>
                      <w:b/>
                      <w:bCs/>
                      <w:color w:val="auto"/>
                    </w:rPr>
                    <w:t>（mg/m</w:t>
                  </w:r>
                  <w:r>
                    <w:rPr>
                      <w:b/>
                      <w:bCs/>
                      <w:color w:val="auto"/>
                      <w:vertAlign w:val="superscript"/>
                    </w:rPr>
                    <w:t>3</w:t>
                  </w:r>
                  <w:r>
                    <w:rPr>
                      <w:b/>
                      <w:bCs/>
                      <w:color w:val="auto"/>
                    </w:rPr>
                    <w:t>）</w:t>
                  </w:r>
                </w:p>
              </w:tc>
            </w:tr>
            <w:tr w14:paraId="0297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32" w:type="dxa"/>
                  <w:shd w:val="clear" w:color="auto" w:fill="auto"/>
                  <w:vAlign w:val="center"/>
                </w:tcPr>
                <w:p w14:paraId="1D805158">
                  <w:pPr>
                    <w:pStyle w:val="26"/>
                    <w:keepNext w:val="0"/>
                    <w:keepLines w:val="0"/>
                    <w:pageBreakBefore w:val="0"/>
                    <w:widowControl w:val="0"/>
                    <w:kinsoku/>
                    <w:overflowPunct/>
                    <w:autoSpaceDE/>
                    <w:autoSpaceDN/>
                    <w:bidi w:val="0"/>
                    <w:ind w:firstLine="0" w:firstLineChars="0"/>
                    <w:rPr>
                      <w:rFonts w:hint="eastAsia" w:ascii="Times New Roman" w:hAnsi="Times New Roman" w:eastAsia="宋体" w:cs="Times New Roman"/>
                      <w:color w:val="auto"/>
                      <w:sz w:val="21"/>
                      <w:szCs w:val="24"/>
                      <w:lang w:val="en-US" w:eastAsia="zh-CN" w:bidi="ar-SA"/>
                    </w:rPr>
                  </w:pPr>
                  <w:r>
                    <w:rPr>
                      <w:rFonts w:hint="eastAsia"/>
                      <w:color w:val="auto"/>
                      <w:lang w:eastAsia="zh-CN"/>
                    </w:rPr>
                    <w:t>浓度限值</w:t>
                  </w:r>
                </w:p>
              </w:tc>
              <w:tc>
                <w:tcPr>
                  <w:tcW w:w="2767" w:type="dxa"/>
                  <w:shd w:val="clear" w:color="auto" w:fill="auto"/>
                  <w:vAlign w:val="center"/>
                </w:tcPr>
                <w:p w14:paraId="4B1F26B8">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color w:val="auto"/>
                      <w:sz w:val="21"/>
                      <w:szCs w:val="24"/>
                      <w:lang w:val="en-US" w:eastAsia="zh-CN" w:bidi="ar-SA"/>
                    </w:rPr>
                  </w:pPr>
                  <w:r>
                    <w:rPr>
                      <w:rFonts w:hint="eastAsia"/>
                      <w:color w:val="auto"/>
                      <w:lang w:val="en-US" w:eastAsia="zh-CN"/>
                    </w:rPr>
                    <w:t>0.5</w:t>
                  </w:r>
                </w:p>
              </w:tc>
              <w:tc>
                <w:tcPr>
                  <w:tcW w:w="2600" w:type="dxa"/>
                  <w:shd w:val="clear" w:color="auto" w:fill="auto"/>
                  <w:vAlign w:val="center"/>
                </w:tcPr>
                <w:p w14:paraId="7F4BA4D8">
                  <w:pPr>
                    <w:pStyle w:val="26"/>
                    <w:keepNext w:val="0"/>
                    <w:keepLines w:val="0"/>
                    <w:pageBreakBefore w:val="0"/>
                    <w:widowControl w:val="0"/>
                    <w:kinsoku/>
                    <w:overflowPunct/>
                    <w:autoSpaceDE/>
                    <w:autoSpaceDN/>
                    <w:bidi w:val="0"/>
                    <w:ind w:firstLine="0" w:firstLineChars="0"/>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4.0</w:t>
                  </w:r>
                </w:p>
              </w:tc>
            </w:tr>
          </w:tbl>
          <w:p w14:paraId="080EB7A8">
            <w:pPr>
              <w:keepNext w:val="0"/>
              <w:keepLines w:val="0"/>
              <w:pageBreakBefore w:val="0"/>
              <w:kinsoku/>
              <w:overflowPunct/>
              <w:autoSpaceDE/>
              <w:autoSpaceDN/>
              <w:bidi w:val="0"/>
              <w:spacing w:line="360" w:lineRule="auto"/>
              <w:ind w:firstLine="482" w:firstLineChars="200"/>
              <w:rPr>
                <w:b/>
                <w:bCs/>
                <w:color w:val="auto"/>
                <w:sz w:val="24"/>
                <w:lang w:val="zh-CN"/>
              </w:rPr>
            </w:pPr>
            <w:r>
              <w:rPr>
                <w:rFonts w:hint="eastAsia"/>
                <w:b/>
                <w:bCs/>
                <w:color w:val="auto"/>
                <w:sz w:val="24"/>
                <w:lang w:val="zh-CN"/>
              </w:rPr>
              <w:t>（</w:t>
            </w:r>
            <w:r>
              <w:rPr>
                <w:rFonts w:hint="eastAsia"/>
                <w:b/>
                <w:bCs/>
                <w:color w:val="auto"/>
                <w:sz w:val="24"/>
                <w:lang w:val="en-US" w:eastAsia="zh-CN"/>
              </w:rPr>
              <w:t>2</w:t>
            </w:r>
            <w:r>
              <w:rPr>
                <w:rFonts w:hint="eastAsia"/>
                <w:b/>
                <w:bCs/>
                <w:color w:val="auto"/>
                <w:sz w:val="24"/>
                <w:lang w:val="zh-CN"/>
              </w:rPr>
              <w:t>）</w:t>
            </w:r>
            <w:r>
              <w:rPr>
                <w:b/>
                <w:bCs/>
                <w:color w:val="auto"/>
                <w:sz w:val="24"/>
                <w:lang w:val="zh-CN"/>
              </w:rPr>
              <w:t>废水排放标准</w:t>
            </w:r>
          </w:p>
          <w:p w14:paraId="4BB5CDC8">
            <w:pPr>
              <w:keepNext w:val="0"/>
              <w:keepLines w:val="0"/>
              <w:pageBreakBefore w:val="0"/>
              <w:kinsoku/>
              <w:overflowPunct/>
              <w:autoSpaceDE/>
              <w:autoSpaceDN/>
              <w:bidi w:val="0"/>
              <w:spacing w:line="360" w:lineRule="auto"/>
              <w:ind w:firstLine="480" w:firstLineChars="200"/>
              <w:rPr>
                <w:color w:val="auto"/>
                <w:kern w:val="2"/>
                <w:sz w:val="24"/>
              </w:rPr>
            </w:pPr>
            <w:r>
              <w:rPr>
                <w:rFonts w:hint="eastAsia"/>
                <w:color w:val="auto"/>
                <w:sz w:val="24"/>
              </w:rPr>
              <w:t>外排废水执行舒城经济开发区污水处理厂接管标准</w:t>
            </w:r>
            <w:r>
              <w:rPr>
                <w:rFonts w:hint="eastAsia"/>
                <w:color w:val="auto"/>
                <w:sz w:val="24"/>
                <w:lang w:eastAsia="zh-CN"/>
              </w:rPr>
              <w:t>及《污水综合排放标准》（</w:t>
            </w:r>
            <w:r>
              <w:rPr>
                <w:rFonts w:hint="eastAsia"/>
                <w:color w:val="auto"/>
                <w:sz w:val="24"/>
                <w:lang w:val="en-US" w:eastAsia="zh-CN"/>
              </w:rPr>
              <w:t>GB8978-1996</w:t>
            </w:r>
            <w:r>
              <w:rPr>
                <w:rFonts w:hint="eastAsia"/>
                <w:color w:val="auto"/>
                <w:sz w:val="24"/>
                <w:lang w:eastAsia="zh-CN"/>
              </w:rPr>
              <w:t>）</w:t>
            </w:r>
            <w:r>
              <w:rPr>
                <w:rFonts w:hint="eastAsia"/>
                <w:color w:val="auto"/>
                <w:sz w:val="24"/>
                <w:lang w:val="en-US" w:eastAsia="zh-CN"/>
              </w:rPr>
              <w:t>三级标准</w:t>
            </w:r>
            <w:r>
              <w:rPr>
                <w:rFonts w:hint="eastAsia"/>
                <w:color w:val="auto"/>
                <w:sz w:val="24"/>
              </w:rPr>
              <w:t>，</w:t>
            </w:r>
            <w:r>
              <w:rPr>
                <w:rFonts w:hint="eastAsia"/>
                <w:color w:val="auto"/>
                <w:sz w:val="24"/>
                <w:lang w:eastAsia="zh-CN"/>
              </w:rPr>
              <w:t>其标准限值见下表。</w:t>
            </w:r>
          </w:p>
          <w:p w14:paraId="72E1382F">
            <w:pPr>
              <w:pStyle w:val="34"/>
              <w:keepNext w:val="0"/>
              <w:keepLines w:val="0"/>
              <w:pageBreakBefore w:val="0"/>
              <w:widowControl/>
              <w:kinsoku/>
              <w:overflowPunct/>
              <w:autoSpaceDE/>
              <w:autoSpaceDN/>
              <w:bidi w:val="0"/>
              <w:spacing w:line="240" w:lineRule="auto"/>
              <w:rPr>
                <w:b w:val="0"/>
                <w:bCs w:val="0"/>
                <w:color w:val="auto"/>
                <w:kern w:val="2"/>
                <w:sz w:val="21"/>
                <w:szCs w:val="21"/>
              </w:rPr>
            </w:pPr>
            <w:r>
              <w:rPr>
                <w:color w:val="auto"/>
                <w:kern w:val="2"/>
                <w:sz w:val="24"/>
              </w:rPr>
              <w:t>表</w:t>
            </w:r>
            <w:r>
              <w:rPr>
                <w:rFonts w:hint="eastAsia"/>
                <w:color w:val="auto"/>
                <w:kern w:val="2"/>
                <w:sz w:val="24"/>
                <w:lang w:val="en-US" w:eastAsia="zh-CN"/>
              </w:rPr>
              <w:t>1-8</w:t>
            </w:r>
            <w:r>
              <w:rPr>
                <w:color w:val="auto"/>
                <w:kern w:val="2"/>
                <w:sz w:val="24"/>
              </w:rPr>
              <w:t xml:space="preserve"> </w:t>
            </w:r>
            <w:r>
              <w:rPr>
                <w:rFonts w:hint="eastAsia"/>
                <w:color w:val="auto"/>
                <w:kern w:val="2"/>
                <w:sz w:val="24"/>
                <w:lang w:val="en-US" w:eastAsia="zh-CN"/>
              </w:rPr>
              <w:t xml:space="preserve"> </w:t>
            </w:r>
            <w:r>
              <w:rPr>
                <w:color w:val="auto"/>
                <w:kern w:val="2"/>
                <w:sz w:val="24"/>
              </w:rPr>
              <w:t xml:space="preserve">污水接管水质标准  </w:t>
            </w:r>
            <w:r>
              <w:rPr>
                <w:b w:val="0"/>
                <w:bCs w:val="0"/>
                <w:color w:val="auto"/>
                <w:kern w:val="2"/>
                <w:sz w:val="21"/>
                <w:szCs w:val="21"/>
              </w:rPr>
              <w:t>单位：mg/L，pH无量纲</w:t>
            </w:r>
          </w:p>
          <w:tbl>
            <w:tblPr>
              <w:tblStyle w:val="19"/>
              <w:tblW w:w="492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70"/>
              <w:gridCol w:w="725"/>
              <w:gridCol w:w="795"/>
              <w:gridCol w:w="572"/>
              <w:gridCol w:w="840"/>
              <w:gridCol w:w="552"/>
              <w:gridCol w:w="879"/>
              <w:gridCol w:w="763"/>
            </w:tblGrid>
            <w:tr w14:paraId="36CD38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9" w:hRule="atLeast"/>
                <w:jc w:val="center"/>
              </w:trPr>
              <w:tc>
                <w:tcPr>
                  <w:tcW w:w="1114" w:type="pct"/>
                  <w:tcBorders>
                    <w:top w:val="single" w:color="auto" w:sz="2" w:space="0"/>
                    <w:left w:val="single" w:color="auto" w:sz="2" w:space="0"/>
                    <w:bottom w:val="single" w:color="auto" w:sz="2" w:space="0"/>
                    <w:right w:val="single" w:color="auto" w:sz="2" w:space="0"/>
                  </w:tcBorders>
                  <w:noWrap w:val="0"/>
                  <w:vAlign w:val="center"/>
                </w:tcPr>
                <w:p w14:paraId="05B7BF02">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执行标准</w:t>
                  </w:r>
                </w:p>
              </w:tc>
              <w:tc>
                <w:tcPr>
                  <w:tcW w:w="549" w:type="pct"/>
                  <w:tcBorders>
                    <w:top w:val="single" w:color="auto" w:sz="2" w:space="0"/>
                    <w:left w:val="single" w:color="auto" w:sz="2" w:space="0"/>
                    <w:bottom w:val="single" w:color="auto" w:sz="2" w:space="0"/>
                    <w:right w:val="single" w:color="auto" w:sz="2" w:space="0"/>
                  </w:tcBorders>
                  <w:noWrap w:val="0"/>
                  <w:vAlign w:val="center"/>
                </w:tcPr>
                <w:p w14:paraId="7780FDAC">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COD</w:t>
                  </w:r>
                </w:p>
              </w:tc>
              <w:tc>
                <w:tcPr>
                  <w:tcW w:w="602" w:type="pct"/>
                  <w:tcBorders>
                    <w:top w:val="single" w:color="auto" w:sz="2" w:space="0"/>
                    <w:left w:val="single" w:color="auto" w:sz="2" w:space="0"/>
                    <w:bottom w:val="single" w:color="auto" w:sz="2" w:space="0"/>
                    <w:right w:val="single" w:color="auto" w:sz="2" w:space="0"/>
                  </w:tcBorders>
                  <w:noWrap w:val="0"/>
                  <w:vAlign w:val="center"/>
                </w:tcPr>
                <w:p w14:paraId="6C04359E">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BOD</w:t>
                  </w:r>
                  <w:r>
                    <w:rPr>
                      <w:rFonts w:hint="default" w:ascii="Times New Roman" w:hAnsi="Times New Roman" w:eastAsia="宋体" w:cs="Times New Roman"/>
                      <w:bCs/>
                      <w:color w:val="auto"/>
                      <w:kern w:val="2"/>
                      <w:sz w:val="21"/>
                      <w:szCs w:val="21"/>
                      <w:vertAlign w:val="subscript"/>
                      <w:lang w:val="en-US" w:eastAsia="zh-CN"/>
                    </w:rPr>
                    <w:t>5</w:t>
                  </w:r>
                </w:p>
              </w:tc>
              <w:tc>
                <w:tcPr>
                  <w:tcW w:w="433" w:type="pct"/>
                  <w:tcBorders>
                    <w:top w:val="single" w:color="auto" w:sz="2" w:space="0"/>
                    <w:left w:val="single" w:color="auto" w:sz="2" w:space="0"/>
                    <w:bottom w:val="single" w:color="auto" w:sz="2" w:space="0"/>
                    <w:right w:val="single" w:color="auto" w:sz="2" w:space="0"/>
                  </w:tcBorders>
                  <w:noWrap w:val="0"/>
                  <w:vAlign w:val="center"/>
                </w:tcPr>
                <w:p w14:paraId="0D6CFF85">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SS</w:t>
                  </w:r>
                </w:p>
              </w:tc>
              <w:tc>
                <w:tcPr>
                  <w:tcW w:w="636" w:type="pct"/>
                  <w:tcBorders>
                    <w:top w:val="single" w:color="auto" w:sz="2" w:space="0"/>
                    <w:left w:val="single" w:color="auto" w:sz="2" w:space="0"/>
                    <w:bottom w:val="single" w:color="auto" w:sz="2" w:space="0"/>
                    <w:right w:val="single" w:color="auto" w:sz="2" w:space="0"/>
                  </w:tcBorders>
                  <w:noWrap w:val="0"/>
                  <w:vAlign w:val="center"/>
                </w:tcPr>
                <w:p w14:paraId="1E43B6B7">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NH</w:t>
                  </w:r>
                  <w:r>
                    <w:rPr>
                      <w:rFonts w:hint="default" w:ascii="Times New Roman" w:hAnsi="Times New Roman" w:eastAsia="宋体" w:cs="Times New Roman"/>
                      <w:bCs/>
                      <w:color w:val="auto"/>
                      <w:kern w:val="2"/>
                      <w:sz w:val="21"/>
                      <w:szCs w:val="21"/>
                      <w:vertAlign w:val="subscript"/>
                      <w:lang w:val="en-US" w:eastAsia="zh-CN"/>
                    </w:rPr>
                    <w:t>3</w:t>
                  </w:r>
                  <w:r>
                    <w:rPr>
                      <w:rFonts w:hint="default" w:ascii="Times New Roman" w:hAnsi="Times New Roman" w:eastAsia="宋体" w:cs="Times New Roman"/>
                      <w:bCs/>
                      <w:color w:val="auto"/>
                      <w:kern w:val="2"/>
                      <w:sz w:val="21"/>
                      <w:szCs w:val="21"/>
                      <w:lang w:val="en-US" w:eastAsia="zh-CN"/>
                    </w:rPr>
                    <w:t>-N</w:t>
                  </w:r>
                </w:p>
              </w:tc>
              <w:tc>
                <w:tcPr>
                  <w:tcW w:w="418" w:type="pct"/>
                  <w:tcBorders>
                    <w:top w:val="single" w:color="auto" w:sz="2" w:space="0"/>
                    <w:left w:val="single" w:color="auto" w:sz="2" w:space="0"/>
                    <w:bottom w:val="single" w:color="auto" w:sz="2" w:space="0"/>
                    <w:right w:val="single" w:color="auto" w:sz="2" w:space="0"/>
                  </w:tcBorders>
                  <w:noWrap w:val="0"/>
                  <w:vAlign w:val="center"/>
                </w:tcPr>
                <w:p w14:paraId="23BC1148">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TP</w:t>
                  </w:r>
                </w:p>
              </w:tc>
              <w:tc>
                <w:tcPr>
                  <w:tcW w:w="666" w:type="pct"/>
                  <w:tcBorders>
                    <w:top w:val="single" w:color="auto" w:sz="2" w:space="0"/>
                    <w:left w:val="single" w:color="auto" w:sz="2" w:space="0"/>
                    <w:bottom w:val="single" w:color="auto" w:sz="2" w:space="0"/>
                    <w:right w:val="single" w:color="auto" w:sz="2" w:space="0"/>
                  </w:tcBorders>
                  <w:noWrap w:val="0"/>
                  <w:vAlign w:val="center"/>
                </w:tcPr>
                <w:p w14:paraId="7D7CF052">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pH</w:t>
                  </w:r>
                </w:p>
              </w:tc>
              <w:tc>
                <w:tcPr>
                  <w:tcW w:w="578" w:type="pct"/>
                  <w:tcBorders>
                    <w:top w:val="single" w:color="auto" w:sz="2" w:space="0"/>
                    <w:left w:val="single" w:color="auto" w:sz="2" w:space="0"/>
                    <w:bottom w:val="single" w:color="auto" w:sz="2" w:space="0"/>
                    <w:right w:val="single" w:color="auto" w:sz="2" w:space="0"/>
                  </w:tcBorders>
                  <w:noWrap w:val="0"/>
                  <w:vAlign w:val="center"/>
                </w:tcPr>
                <w:p w14:paraId="464C353D">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动植</w:t>
                  </w:r>
                </w:p>
                <w:p w14:paraId="6D565E50">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物油</w:t>
                  </w:r>
                </w:p>
              </w:tc>
            </w:tr>
            <w:tr w14:paraId="392098E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00" w:hRule="atLeast"/>
                <w:jc w:val="center"/>
              </w:trPr>
              <w:tc>
                <w:tcPr>
                  <w:tcW w:w="1114" w:type="pct"/>
                  <w:tcBorders>
                    <w:top w:val="single" w:color="auto" w:sz="2" w:space="0"/>
                    <w:left w:val="single" w:color="auto" w:sz="2" w:space="0"/>
                    <w:bottom w:val="single" w:color="auto" w:sz="2" w:space="0"/>
                    <w:right w:val="single" w:color="auto" w:sz="2" w:space="0"/>
                  </w:tcBorders>
                  <w:noWrap w:val="0"/>
                  <w:vAlign w:val="center"/>
                </w:tcPr>
                <w:p w14:paraId="4C0DFAC9">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本项目标准</w:t>
                  </w:r>
                </w:p>
              </w:tc>
              <w:tc>
                <w:tcPr>
                  <w:tcW w:w="549" w:type="pct"/>
                  <w:tcBorders>
                    <w:top w:val="single" w:color="auto" w:sz="2" w:space="0"/>
                    <w:left w:val="single" w:color="auto" w:sz="2" w:space="0"/>
                    <w:bottom w:val="single" w:color="auto" w:sz="2" w:space="0"/>
                    <w:right w:val="single" w:color="auto" w:sz="2" w:space="0"/>
                  </w:tcBorders>
                  <w:noWrap w:val="0"/>
                  <w:vAlign w:val="center"/>
                </w:tcPr>
                <w:p w14:paraId="18033373">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500</w:t>
                  </w:r>
                </w:p>
              </w:tc>
              <w:tc>
                <w:tcPr>
                  <w:tcW w:w="602" w:type="pct"/>
                  <w:tcBorders>
                    <w:top w:val="single" w:color="auto" w:sz="2" w:space="0"/>
                    <w:left w:val="single" w:color="auto" w:sz="2" w:space="0"/>
                    <w:bottom w:val="single" w:color="auto" w:sz="2" w:space="0"/>
                    <w:right w:val="single" w:color="auto" w:sz="2" w:space="0"/>
                  </w:tcBorders>
                  <w:noWrap w:val="0"/>
                  <w:vAlign w:val="center"/>
                </w:tcPr>
                <w:p w14:paraId="2B650A3E">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350</w:t>
                  </w:r>
                </w:p>
              </w:tc>
              <w:tc>
                <w:tcPr>
                  <w:tcW w:w="433" w:type="pct"/>
                  <w:tcBorders>
                    <w:top w:val="single" w:color="auto" w:sz="2" w:space="0"/>
                    <w:left w:val="single" w:color="auto" w:sz="2" w:space="0"/>
                    <w:bottom w:val="single" w:color="auto" w:sz="2" w:space="0"/>
                    <w:right w:val="single" w:color="auto" w:sz="2" w:space="0"/>
                  </w:tcBorders>
                  <w:noWrap w:val="0"/>
                  <w:vAlign w:val="center"/>
                </w:tcPr>
                <w:p w14:paraId="2B34B70D">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400</w:t>
                  </w:r>
                </w:p>
              </w:tc>
              <w:tc>
                <w:tcPr>
                  <w:tcW w:w="636" w:type="pct"/>
                  <w:tcBorders>
                    <w:top w:val="single" w:color="auto" w:sz="2" w:space="0"/>
                    <w:left w:val="single" w:color="auto" w:sz="2" w:space="0"/>
                    <w:bottom w:val="single" w:color="auto" w:sz="2" w:space="0"/>
                    <w:right w:val="single" w:color="auto" w:sz="2" w:space="0"/>
                  </w:tcBorders>
                  <w:noWrap w:val="0"/>
                  <w:vAlign w:val="center"/>
                </w:tcPr>
                <w:p w14:paraId="6B02EE89">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45</w:t>
                  </w:r>
                </w:p>
              </w:tc>
              <w:tc>
                <w:tcPr>
                  <w:tcW w:w="418" w:type="pct"/>
                  <w:tcBorders>
                    <w:top w:val="single" w:color="auto" w:sz="2" w:space="0"/>
                    <w:left w:val="single" w:color="auto" w:sz="2" w:space="0"/>
                    <w:bottom w:val="single" w:color="auto" w:sz="2" w:space="0"/>
                    <w:right w:val="single" w:color="auto" w:sz="2" w:space="0"/>
                  </w:tcBorders>
                  <w:noWrap w:val="0"/>
                  <w:vAlign w:val="center"/>
                </w:tcPr>
                <w:p w14:paraId="471BCDD9">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8.0</w:t>
                  </w:r>
                </w:p>
              </w:tc>
              <w:tc>
                <w:tcPr>
                  <w:tcW w:w="666" w:type="pct"/>
                  <w:tcBorders>
                    <w:top w:val="single" w:color="auto" w:sz="2" w:space="0"/>
                    <w:left w:val="single" w:color="auto" w:sz="2" w:space="0"/>
                    <w:bottom w:val="single" w:color="auto" w:sz="2" w:space="0"/>
                    <w:right w:val="single" w:color="auto" w:sz="2" w:space="0"/>
                  </w:tcBorders>
                  <w:noWrap w:val="0"/>
                  <w:vAlign w:val="center"/>
                </w:tcPr>
                <w:p w14:paraId="04D15C34">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6.5</w:t>
                  </w:r>
                  <w:r>
                    <w:rPr>
                      <w:rFonts w:hint="eastAsia" w:ascii="Times New Roman" w:hAnsi="Times New Roman" w:cs="Times New Roman"/>
                      <w:bCs/>
                      <w:color w:val="auto"/>
                      <w:kern w:val="2"/>
                      <w:sz w:val="21"/>
                      <w:szCs w:val="21"/>
                      <w:lang w:val="en-US" w:eastAsia="zh-CN"/>
                    </w:rPr>
                    <w:t>~</w:t>
                  </w:r>
                  <w:r>
                    <w:rPr>
                      <w:rFonts w:hint="default" w:ascii="Times New Roman" w:hAnsi="Times New Roman" w:eastAsia="宋体" w:cs="Times New Roman"/>
                      <w:bCs/>
                      <w:color w:val="auto"/>
                      <w:kern w:val="2"/>
                      <w:sz w:val="21"/>
                      <w:szCs w:val="21"/>
                      <w:lang w:val="en-US" w:eastAsia="zh-CN"/>
                    </w:rPr>
                    <w:t>9.5</w:t>
                  </w:r>
                </w:p>
              </w:tc>
              <w:tc>
                <w:tcPr>
                  <w:tcW w:w="578" w:type="pct"/>
                  <w:tcBorders>
                    <w:top w:val="single" w:color="auto" w:sz="2" w:space="0"/>
                    <w:left w:val="single" w:color="auto" w:sz="2" w:space="0"/>
                    <w:bottom w:val="single" w:color="auto" w:sz="2" w:space="0"/>
                    <w:right w:val="single" w:color="auto" w:sz="2" w:space="0"/>
                  </w:tcBorders>
                  <w:noWrap w:val="0"/>
                  <w:vAlign w:val="center"/>
                </w:tcPr>
                <w:p w14:paraId="16B0D8D2">
                  <w:pPr>
                    <w:pStyle w:val="18"/>
                    <w:keepNext w:val="0"/>
                    <w:keepLines w:val="0"/>
                    <w:pageBreakBefore w:val="0"/>
                    <w:kinsoku/>
                    <w:wordWrap w:val="0"/>
                    <w:overflowPunct/>
                    <w:topLinePunct/>
                    <w:autoSpaceDE/>
                    <w:autoSpaceDN/>
                    <w:bidi w:val="0"/>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100</w:t>
                  </w:r>
                </w:p>
              </w:tc>
            </w:tr>
          </w:tbl>
          <w:p w14:paraId="79CDE03D">
            <w:pPr>
              <w:keepNext w:val="0"/>
              <w:keepLines w:val="0"/>
              <w:pageBreakBefore w:val="0"/>
              <w:kinsoku/>
              <w:overflowPunct/>
              <w:autoSpaceDE/>
              <w:autoSpaceDN/>
              <w:bidi w:val="0"/>
              <w:spacing w:line="360" w:lineRule="auto"/>
              <w:ind w:firstLine="482" w:firstLineChars="200"/>
              <w:rPr>
                <w:b/>
                <w:bCs/>
                <w:color w:val="auto"/>
                <w:sz w:val="24"/>
              </w:rPr>
            </w:pPr>
            <w:r>
              <w:rPr>
                <w:rFonts w:hint="eastAsia"/>
                <w:b/>
                <w:bCs/>
                <w:color w:val="auto"/>
                <w:sz w:val="24"/>
                <w:lang w:eastAsia="zh-CN"/>
              </w:rPr>
              <w:t>（</w:t>
            </w:r>
            <w:r>
              <w:rPr>
                <w:rFonts w:hint="eastAsia"/>
                <w:b/>
                <w:bCs/>
                <w:color w:val="auto"/>
                <w:sz w:val="24"/>
                <w:lang w:val="en-US" w:eastAsia="zh-CN"/>
              </w:rPr>
              <w:t>3</w:t>
            </w:r>
            <w:r>
              <w:rPr>
                <w:rFonts w:hint="eastAsia"/>
                <w:b/>
                <w:bCs/>
                <w:color w:val="auto"/>
                <w:sz w:val="24"/>
                <w:lang w:eastAsia="zh-CN"/>
              </w:rPr>
              <w:t>）</w:t>
            </w:r>
            <w:r>
              <w:rPr>
                <w:b/>
                <w:bCs/>
                <w:color w:val="auto"/>
                <w:sz w:val="24"/>
                <w:lang w:val="zh-CN"/>
              </w:rPr>
              <w:t>噪声排放标准</w:t>
            </w:r>
          </w:p>
          <w:p w14:paraId="26CEFE18">
            <w:pPr>
              <w:keepNext w:val="0"/>
              <w:keepLines w:val="0"/>
              <w:pageBreakBefore w:val="0"/>
              <w:kinsoku/>
              <w:overflowPunct/>
              <w:autoSpaceDE/>
              <w:autoSpaceDN/>
              <w:bidi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项目营运期噪声执行《工业企业厂界环境噪声排放标准》（GB12348-2008）中3类区标准，其标准限值见下表。</w:t>
            </w:r>
          </w:p>
          <w:p w14:paraId="4C271D9F">
            <w:pPr>
              <w:keepNext w:val="0"/>
              <w:keepLines w:val="0"/>
              <w:pageBreakBefore w:val="0"/>
              <w:kinsoku/>
              <w:overflowPunct/>
              <w:autoSpaceDE/>
              <w:autoSpaceDN/>
              <w:bidi w:val="0"/>
              <w:adjustRightInd w:val="0"/>
              <w:snapToGrid w:val="0"/>
              <w:spacing w:line="240" w:lineRule="auto"/>
              <w:jc w:val="center"/>
              <w:rPr>
                <w:color w:val="auto"/>
              </w:rPr>
            </w:pPr>
            <w:r>
              <w:rPr>
                <w:rFonts w:hint="eastAsia"/>
                <w:b/>
                <w:color w:val="auto"/>
                <w:sz w:val="24"/>
              </w:rPr>
              <w:t>表</w:t>
            </w:r>
            <w:r>
              <w:rPr>
                <w:rFonts w:hint="eastAsia"/>
                <w:b/>
                <w:color w:val="auto"/>
                <w:sz w:val="24"/>
                <w:lang w:val="en-US" w:eastAsia="zh-CN"/>
              </w:rPr>
              <w:t xml:space="preserve">1-9 </w:t>
            </w:r>
            <w:r>
              <w:rPr>
                <w:rFonts w:hint="eastAsia"/>
                <w:b/>
                <w:color w:val="auto"/>
                <w:sz w:val="24"/>
              </w:rPr>
              <w:t>工业企业厂界环境噪声排放标准</w:t>
            </w:r>
            <w:r>
              <w:rPr>
                <w:rFonts w:hint="eastAsia"/>
                <w:b/>
                <w:color w:val="auto"/>
                <w:sz w:val="24"/>
                <w:lang w:val="en-US" w:eastAsia="zh-CN"/>
              </w:rPr>
              <w:t xml:space="preserve">  </w:t>
            </w:r>
            <w:r>
              <w:rPr>
                <w:color w:val="auto"/>
                <w:kern w:val="0"/>
                <w:sz w:val="21"/>
                <w:szCs w:val="21"/>
              </w:rPr>
              <w:t>单位：dB（A）</w:t>
            </w:r>
          </w:p>
          <w:tbl>
            <w:tblPr>
              <w:tblStyle w:val="19"/>
              <w:tblW w:w="4954"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3881"/>
              <w:gridCol w:w="1453"/>
              <w:gridCol w:w="1304"/>
            </w:tblGrid>
            <w:tr w14:paraId="1B70381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6" w:hRule="exact"/>
                <w:jc w:val="center"/>
              </w:trPr>
              <w:tc>
                <w:tcPr>
                  <w:tcW w:w="2923" w:type="pct"/>
                  <w:tcBorders>
                    <w:top w:val="single" w:color="auto" w:sz="8" w:space="0"/>
                    <w:left w:val="single" w:color="auto" w:sz="8" w:space="0"/>
                    <w:bottom w:val="single" w:color="auto" w:sz="8" w:space="0"/>
                  </w:tcBorders>
                  <w:noWrap w:val="0"/>
                  <w:vAlign w:val="center"/>
                </w:tcPr>
                <w:p w14:paraId="18E7719D">
                  <w:pPr>
                    <w:keepNext w:val="0"/>
                    <w:keepLines w:val="0"/>
                    <w:pageBreakBefore w:val="0"/>
                    <w:kinsoku/>
                    <w:overflowPunct/>
                    <w:autoSpaceDE/>
                    <w:autoSpaceDN/>
                    <w:bidi w:val="0"/>
                    <w:spacing w:line="240" w:lineRule="exact"/>
                    <w:jc w:val="center"/>
                    <w:rPr>
                      <w:rFonts w:hAnsi="宋体"/>
                      <w:b/>
                      <w:bCs w:val="0"/>
                      <w:color w:val="auto"/>
                      <w:sz w:val="21"/>
                      <w:szCs w:val="18"/>
                      <w:lang w:val="zh-CN"/>
                    </w:rPr>
                  </w:pPr>
                  <w:r>
                    <w:rPr>
                      <w:rFonts w:hint="eastAsia" w:hAnsi="宋体"/>
                      <w:b/>
                      <w:bCs w:val="0"/>
                      <w:color w:val="auto"/>
                      <w:sz w:val="21"/>
                      <w:szCs w:val="18"/>
                      <w:lang w:val="zh-CN"/>
                    </w:rPr>
                    <w:t>声环境功能区类别</w:t>
                  </w:r>
                </w:p>
              </w:tc>
              <w:tc>
                <w:tcPr>
                  <w:tcW w:w="1094" w:type="pct"/>
                  <w:tcBorders>
                    <w:top w:val="single" w:color="auto" w:sz="8" w:space="0"/>
                    <w:bottom w:val="single" w:color="auto" w:sz="8" w:space="0"/>
                  </w:tcBorders>
                  <w:noWrap w:val="0"/>
                  <w:vAlign w:val="center"/>
                </w:tcPr>
                <w:p w14:paraId="4B487F96">
                  <w:pPr>
                    <w:keepNext w:val="0"/>
                    <w:keepLines w:val="0"/>
                    <w:pageBreakBefore w:val="0"/>
                    <w:kinsoku/>
                    <w:overflowPunct/>
                    <w:autoSpaceDE/>
                    <w:autoSpaceDN/>
                    <w:bidi w:val="0"/>
                    <w:spacing w:line="240" w:lineRule="exact"/>
                    <w:jc w:val="center"/>
                    <w:rPr>
                      <w:rFonts w:hAnsi="宋体"/>
                      <w:b/>
                      <w:bCs w:val="0"/>
                      <w:color w:val="auto"/>
                      <w:sz w:val="21"/>
                      <w:szCs w:val="18"/>
                      <w:lang w:val="zh-CN"/>
                    </w:rPr>
                  </w:pPr>
                  <w:r>
                    <w:rPr>
                      <w:rFonts w:hint="eastAsia" w:hAnsi="宋体"/>
                      <w:b/>
                      <w:bCs w:val="0"/>
                      <w:color w:val="auto"/>
                      <w:sz w:val="21"/>
                      <w:szCs w:val="18"/>
                      <w:lang w:val="zh-CN"/>
                    </w:rPr>
                    <w:t>昼间</w:t>
                  </w:r>
                </w:p>
              </w:tc>
              <w:tc>
                <w:tcPr>
                  <w:tcW w:w="982" w:type="pct"/>
                  <w:tcBorders>
                    <w:top w:val="single" w:color="auto" w:sz="8" w:space="0"/>
                    <w:bottom w:val="single" w:color="auto" w:sz="8" w:space="0"/>
                    <w:right w:val="single" w:color="auto" w:sz="8" w:space="0"/>
                  </w:tcBorders>
                  <w:noWrap w:val="0"/>
                  <w:vAlign w:val="center"/>
                </w:tcPr>
                <w:p w14:paraId="3B942D2F">
                  <w:pPr>
                    <w:keepNext w:val="0"/>
                    <w:keepLines w:val="0"/>
                    <w:pageBreakBefore w:val="0"/>
                    <w:kinsoku/>
                    <w:overflowPunct/>
                    <w:autoSpaceDE/>
                    <w:autoSpaceDN/>
                    <w:bidi w:val="0"/>
                    <w:spacing w:line="240" w:lineRule="exact"/>
                    <w:jc w:val="center"/>
                    <w:rPr>
                      <w:rFonts w:hAnsi="宋体"/>
                      <w:b/>
                      <w:bCs w:val="0"/>
                      <w:color w:val="auto"/>
                      <w:sz w:val="21"/>
                      <w:szCs w:val="18"/>
                      <w:lang w:val="zh-CN"/>
                    </w:rPr>
                  </w:pPr>
                  <w:r>
                    <w:rPr>
                      <w:rFonts w:hint="eastAsia" w:hAnsi="宋体"/>
                      <w:b/>
                      <w:bCs w:val="0"/>
                      <w:color w:val="auto"/>
                      <w:sz w:val="21"/>
                      <w:szCs w:val="18"/>
                      <w:lang w:val="zh-CN"/>
                    </w:rPr>
                    <w:t>夜间</w:t>
                  </w:r>
                </w:p>
              </w:tc>
            </w:tr>
            <w:tr w14:paraId="73DF594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exact"/>
                <w:jc w:val="center"/>
              </w:trPr>
              <w:tc>
                <w:tcPr>
                  <w:tcW w:w="2923" w:type="pct"/>
                  <w:tcBorders>
                    <w:top w:val="single" w:color="auto" w:sz="8" w:space="0"/>
                    <w:left w:val="single" w:color="auto" w:sz="8" w:space="0"/>
                    <w:bottom w:val="single" w:color="auto" w:sz="8" w:space="0"/>
                  </w:tcBorders>
                  <w:noWrap w:val="0"/>
                  <w:vAlign w:val="center"/>
                </w:tcPr>
                <w:p w14:paraId="19D69B90">
                  <w:pPr>
                    <w:keepNext w:val="0"/>
                    <w:keepLines w:val="0"/>
                    <w:pageBreakBefore w:val="0"/>
                    <w:kinsoku/>
                    <w:overflowPunct/>
                    <w:autoSpaceDE/>
                    <w:autoSpaceDN/>
                    <w:bidi w:val="0"/>
                    <w:spacing w:line="240" w:lineRule="exact"/>
                    <w:jc w:val="center"/>
                    <w:rPr>
                      <w:rFonts w:hint="eastAsia" w:hAnsi="宋体"/>
                      <w:bCs/>
                      <w:color w:val="auto"/>
                      <w:sz w:val="21"/>
                      <w:szCs w:val="18"/>
                    </w:rPr>
                  </w:pPr>
                  <w:r>
                    <w:rPr>
                      <w:rFonts w:hint="eastAsia" w:hAnsi="宋体"/>
                      <w:bCs/>
                      <w:color w:val="auto"/>
                      <w:sz w:val="21"/>
                      <w:szCs w:val="18"/>
                    </w:rPr>
                    <w:t>《工业企业厂界环境噪声排放标准》</w:t>
                  </w:r>
                </w:p>
                <w:p w14:paraId="6E0C2DF7">
                  <w:pPr>
                    <w:keepNext w:val="0"/>
                    <w:keepLines w:val="0"/>
                    <w:pageBreakBefore w:val="0"/>
                    <w:kinsoku/>
                    <w:overflowPunct/>
                    <w:autoSpaceDE/>
                    <w:autoSpaceDN/>
                    <w:bidi w:val="0"/>
                    <w:spacing w:line="240" w:lineRule="exact"/>
                    <w:jc w:val="center"/>
                    <w:rPr>
                      <w:rFonts w:hAnsi="宋体"/>
                      <w:bCs/>
                      <w:color w:val="auto"/>
                      <w:sz w:val="21"/>
                      <w:szCs w:val="18"/>
                      <w:lang w:val="zh-CN"/>
                    </w:rPr>
                  </w:pPr>
                  <w:r>
                    <w:rPr>
                      <w:rFonts w:hint="eastAsia" w:hAnsi="宋体"/>
                      <w:bCs/>
                      <w:color w:val="auto"/>
                      <w:sz w:val="21"/>
                      <w:szCs w:val="18"/>
                    </w:rPr>
                    <w:t>（GB12348-2008）中3</w:t>
                  </w:r>
                  <w:r>
                    <w:rPr>
                      <w:rFonts w:hint="eastAsia" w:hAnsi="宋体"/>
                      <w:bCs/>
                      <w:color w:val="auto"/>
                      <w:sz w:val="21"/>
                      <w:szCs w:val="18"/>
                      <w:lang w:val="zh-CN"/>
                    </w:rPr>
                    <w:t>类区标准</w:t>
                  </w:r>
                </w:p>
              </w:tc>
              <w:tc>
                <w:tcPr>
                  <w:tcW w:w="1094" w:type="pct"/>
                  <w:tcBorders>
                    <w:top w:val="single" w:color="auto" w:sz="8" w:space="0"/>
                    <w:bottom w:val="single" w:color="auto" w:sz="8" w:space="0"/>
                  </w:tcBorders>
                  <w:noWrap w:val="0"/>
                  <w:vAlign w:val="center"/>
                </w:tcPr>
                <w:p w14:paraId="07A1518F">
                  <w:pPr>
                    <w:keepNext w:val="0"/>
                    <w:keepLines w:val="0"/>
                    <w:pageBreakBefore w:val="0"/>
                    <w:kinsoku/>
                    <w:overflowPunct/>
                    <w:autoSpaceDE/>
                    <w:autoSpaceDN/>
                    <w:bidi w:val="0"/>
                    <w:spacing w:line="240" w:lineRule="exact"/>
                    <w:jc w:val="center"/>
                    <w:rPr>
                      <w:rFonts w:hAnsi="宋体"/>
                      <w:bCs/>
                      <w:color w:val="auto"/>
                      <w:sz w:val="21"/>
                      <w:szCs w:val="18"/>
                      <w:lang w:val="zh-CN"/>
                    </w:rPr>
                  </w:pPr>
                  <w:r>
                    <w:rPr>
                      <w:rFonts w:hint="eastAsia" w:hAnsi="宋体"/>
                      <w:bCs/>
                      <w:color w:val="auto"/>
                      <w:sz w:val="21"/>
                      <w:szCs w:val="18"/>
                      <w:lang w:val="zh-CN"/>
                    </w:rPr>
                    <w:t>6</w:t>
                  </w:r>
                  <w:r>
                    <w:rPr>
                      <w:rFonts w:hint="eastAsia" w:hAnsi="宋体"/>
                      <w:bCs/>
                      <w:color w:val="auto"/>
                      <w:sz w:val="21"/>
                      <w:szCs w:val="18"/>
                    </w:rPr>
                    <w:t>5</w:t>
                  </w:r>
                </w:p>
              </w:tc>
              <w:tc>
                <w:tcPr>
                  <w:tcW w:w="982" w:type="pct"/>
                  <w:tcBorders>
                    <w:top w:val="single" w:color="auto" w:sz="8" w:space="0"/>
                    <w:bottom w:val="single" w:color="auto" w:sz="8" w:space="0"/>
                    <w:right w:val="single" w:color="auto" w:sz="8" w:space="0"/>
                  </w:tcBorders>
                  <w:noWrap w:val="0"/>
                  <w:vAlign w:val="center"/>
                </w:tcPr>
                <w:p w14:paraId="79205A28">
                  <w:pPr>
                    <w:keepNext w:val="0"/>
                    <w:keepLines w:val="0"/>
                    <w:pageBreakBefore w:val="0"/>
                    <w:kinsoku/>
                    <w:overflowPunct/>
                    <w:autoSpaceDE/>
                    <w:autoSpaceDN/>
                    <w:bidi w:val="0"/>
                    <w:spacing w:line="240" w:lineRule="exact"/>
                    <w:jc w:val="center"/>
                    <w:rPr>
                      <w:rFonts w:hAnsi="宋体"/>
                      <w:bCs/>
                      <w:color w:val="auto"/>
                      <w:sz w:val="21"/>
                      <w:szCs w:val="18"/>
                      <w:lang w:val="zh-CN"/>
                    </w:rPr>
                  </w:pPr>
                  <w:r>
                    <w:rPr>
                      <w:rFonts w:hint="eastAsia" w:hAnsi="宋体"/>
                      <w:bCs/>
                      <w:color w:val="auto"/>
                      <w:sz w:val="21"/>
                      <w:szCs w:val="18"/>
                      <w:lang w:val="zh-CN"/>
                    </w:rPr>
                    <w:t>5</w:t>
                  </w:r>
                  <w:r>
                    <w:rPr>
                      <w:rFonts w:hint="eastAsia" w:hAnsi="宋体"/>
                      <w:bCs/>
                      <w:color w:val="auto"/>
                      <w:sz w:val="21"/>
                      <w:szCs w:val="18"/>
                    </w:rPr>
                    <w:t>5</w:t>
                  </w:r>
                </w:p>
              </w:tc>
            </w:tr>
          </w:tbl>
          <w:p w14:paraId="6E1CE4A3">
            <w:pPr>
              <w:keepNext w:val="0"/>
              <w:keepLines w:val="0"/>
              <w:pageBreakBefore w:val="0"/>
              <w:kinsoku/>
              <w:overflowPunct/>
              <w:autoSpaceDE/>
              <w:autoSpaceDN/>
              <w:bidi w:val="0"/>
              <w:spacing w:line="360" w:lineRule="auto"/>
              <w:ind w:right="84" w:rightChars="35" w:firstLine="482" w:firstLineChars="200"/>
              <w:rPr>
                <w:b/>
                <w:bCs/>
                <w:color w:val="auto"/>
                <w:sz w:val="24"/>
              </w:rPr>
            </w:pPr>
            <w:r>
              <w:rPr>
                <w:rFonts w:hint="eastAsia"/>
                <w:b/>
                <w:bCs/>
                <w:color w:val="auto"/>
                <w:sz w:val="24"/>
                <w:lang w:eastAsia="zh-CN"/>
              </w:rPr>
              <w:t>（</w:t>
            </w:r>
            <w:r>
              <w:rPr>
                <w:rFonts w:hint="eastAsia"/>
                <w:b/>
                <w:bCs/>
                <w:color w:val="auto"/>
                <w:sz w:val="24"/>
                <w:lang w:val="en-US" w:eastAsia="zh-CN"/>
              </w:rPr>
              <w:t>4</w:t>
            </w:r>
            <w:r>
              <w:rPr>
                <w:rFonts w:hint="eastAsia"/>
                <w:b/>
                <w:bCs/>
                <w:color w:val="auto"/>
                <w:sz w:val="24"/>
                <w:lang w:eastAsia="zh-CN"/>
              </w:rPr>
              <w:t>）</w:t>
            </w:r>
            <w:r>
              <w:rPr>
                <w:b/>
                <w:bCs/>
                <w:color w:val="auto"/>
                <w:sz w:val="24"/>
              </w:rPr>
              <w:t>固体废物污染控制标准</w:t>
            </w:r>
          </w:p>
          <w:p w14:paraId="25C961A9">
            <w:pPr>
              <w:keepNext w:val="0"/>
              <w:keepLines w:val="0"/>
              <w:pageBreakBefore w:val="0"/>
              <w:widowControl/>
              <w:kinsoku/>
              <w:wordWrap/>
              <w:overflowPunct/>
              <w:topLinePunct w:val="0"/>
              <w:autoSpaceDE/>
              <w:autoSpaceDN/>
              <w:bidi w:val="0"/>
              <w:adjustRightInd w:val="0"/>
              <w:snapToGrid w:val="0"/>
              <w:spacing w:line="360" w:lineRule="auto"/>
              <w:ind w:right="0" w:rightChars="0" w:firstLine="480" w:firstLineChars="200"/>
              <w:textAlignment w:val="auto"/>
              <w:rPr>
                <w:rFonts w:hint="eastAsia" w:eastAsia="宋体"/>
                <w:color w:val="auto"/>
                <w:lang w:val="en-US" w:eastAsia="zh-CN"/>
              </w:rPr>
            </w:pPr>
            <w:r>
              <w:rPr>
                <w:rFonts w:hint="eastAsia"/>
                <w:color w:val="auto"/>
                <w:sz w:val="24"/>
              </w:rPr>
              <w:t>一般工业固废执行《一般工业固体废物贮存和填埋污染控制标准》（GB18599-2020）中相关要求。危险废物的按照《危险废物贮存污染控制标准》（GB18597-20</w:t>
            </w:r>
            <w:r>
              <w:rPr>
                <w:rFonts w:hint="eastAsia"/>
                <w:color w:val="auto"/>
                <w:sz w:val="24"/>
                <w:lang w:val="en-US" w:eastAsia="zh-CN"/>
              </w:rPr>
              <w:t>23</w:t>
            </w:r>
            <w:r>
              <w:rPr>
                <w:rFonts w:hint="eastAsia"/>
                <w:color w:val="auto"/>
                <w:sz w:val="24"/>
              </w:rPr>
              <w:t>）及2013年修改单中的有关规定执行，并参照执行《危险废物收集、贮存运输技术规范》（HJ2025-2012）中的相关规定。</w:t>
            </w:r>
          </w:p>
          <w:p w14:paraId="11D3C8DD">
            <w:pPr>
              <w:keepNext w:val="0"/>
              <w:keepLines w:val="0"/>
              <w:pageBreakBefore w:val="0"/>
              <w:widowControl/>
              <w:kinsoku/>
              <w:wordWrap/>
              <w:overflowPunct/>
              <w:topLinePunct w:val="0"/>
              <w:autoSpaceDE/>
              <w:autoSpaceDN/>
              <w:bidi w:val="0"/>
              <w:snapToGrid w:val="0"/>
              <w:textAlignment w:val="auto"/>
              <w:rPr>
                <w:rFonts w:hint="default"/>
                <w:b/>
                <w:bCs/>
                <w:color w:val="auto"/>
                <w:lang w:val="en-US" w:eastAsia="zh-CN"/>
              </w:rPr>
            </w:pPr>
            <w:r>
              <w:rPr>
                <w:rFonts w:hint="eastAsia"/>
                <w:b/>
                <w:bCs/>
                <w:color w:val="auto"/>
                <w:lang w:val="en-US" w:eastAsia="zh-CN"/>
              </w:rPr>
              <w:t>3、</w:t>
            </w:r>
            <w:r>
              <w:rPr>
                <w:rFonts w:hint="default"/>
                <w:b/>
                <w:bCs/>
                <w:color w:val="auto"/>
                <w:lang w:val="en-US" w:eastAsia="zh-CN"/>
              </w:rPr>
              <w:t>总量控制指标</w:t>
            </w:r>
          </w:p>
          <w:p w14:paraId="61B13870">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rPr>
            </w:pPr>
            <w:r>
              <w:rPr>
                <w:rFonts w:hint="default"/>
                <w:color w:val="auto"/>
                <w:sz w:val="24"/>
                <w:szCs w:val="24"/>
              </w:rPr>
              <w:t>结合项目环评报告表及其审查意见，确定项目主要污染总量控制指标为</w:t>
            </w:r>
            <w:r>
              <w:rPr>
                <w:rFonts w:hint="default"/>
                <w:color w:val="auto"/>
                <w:sz w:val="24"/>
                <w:szCs w:val="24"/>
                <w:lang w:val="en-US" w:eastAsia="zh-CN"/>
              </w:rPr>
              <w:t>：</w:t>
            </w:r>
            <w:r>
              <w:rPr>
                <w:rFonts w:hint="eastAsia"/>
                <w:color w:val="auto"/>
                <w:sz w:val="24"/>
              </w:rPr>
              <w:t>VOCs：0.</w:t>
            </w:r>
            <w:r>
              <w:rPr>
                <w:rFonts w:hint="eastAsia"/>
                <w:color w:val="auto"/>
                <w:sz w:val="24"/>
                <w:lang w:val="en-US" w:eastAsia="zh-CN"/>
              </w:rPr>
              <w:t>092</w:t>
            </w:r>
            <w:r>
              <w:rPr>
                <w:rFonts w:hint="eastAsia"/>
                <w:color w:val="auto"/>
                <w:sz w:val="24"/>
              </w:rPr>
              <w:t>t/a；烟（粉）尘：</w:t>
            </w:r>
            <w:r>
              <w:rPr>
                <w:rFonts w:hint="eastAsia"/>
                <w:color w:val="auto"/>
                <w:sz w:val="24"/>
                <w:lang w:val="en-US" w:eastAsia="zh-CN"/>
              </w:rPr>
              <w:t>0.1366</w:t>
            </w:r>
            <w:r>
              <w:rPr>
                <w:rFonts w:hint="eastAsia"/>
                <w:color w:val="auto"/>
                <w:sz w:val="24"/>
              </w:rPr>
              <w:t>t/a；。</w:t>
            </w:r>
          </w:p>
          <w:p w14:paraId="3C265505">
            <w:pPr>
              <w:pStyle w:val="13"/>
              <w:keepNext w:val="0"/>
              <w:keepLines w:val="0"/>
              <w:pageBreakBefore w:val="0"/>
              <w:kinsoku/>
              <w:overflowPunct/>
              <w:autoSpaceDE/>
              <w:autoSpaceDN/>
              <w:bidi w:val="0"/>
              <w:rPr>
                <w:rFonts w:hint="eastAsia"/>
                <w:color w:val="auto"/>
                <w:sz w:val="24"/>
              </w:rPr>
            </w:pPr>
          </w:p>
          <w:p w14:paraId="5EDA8B83">
            <w:pPr>
              <w:keepNext w:val="0"/>
              <w:keepLines w:val="0"/>
              <w:pageBreakBefore w:val="0"/>
              <w:kinsoku/>
              <w:overflowPunct/>
              <w:autoSpaceDE/>
              <w:autoSpaceDN/>
              <w:bidi w:val="0"/>
              <w:rPr>
                <w:rFonts w:hint="eastAsia"/>
                <w:color w:val="auto"/>
                <w:sz w:val="24"/>
              </w:rPr>
            </w:pPr>
          </w:p>
          <w:p w14:paraId="633A276B">
            <w:pPr>
              <w:pStyle w:val="10"/>
              <w:rPr>
                <w:rFonts w:hint="eastAsia"/>
              </w:rPr>
            </w:pPr>
          </w:p>
          <w:p w14:paraId="1D2A8DB0">
            <w:pPr>
              <w:keepNext w:val="0"/>
              <w:keepLines w:val="0"/>
              <w:pageBreakBefore w:val="0"/>
              <w:kinsoku/>
              <w:overflowPunct/>
              <w:autoSpaceDE/>
              <w:autoSpaceDN/>
              <w:bidi w:val="0"/>
              <w:rPr>
                <w:rFonts w:hint="default"/>
                <w:color w:val="auto"/>
                <w:lang w:val="en-US" w:eastAsia="zh-CN"/>
              </w:rPr>
            </w:pPr>
          </w:p>
        </w:tc>
      </w:tr>
    </w:tbl>
    <w:p w14:paraId="5726524F">
      <w:pPr>
        <w:bidi w:val="0"/>
        <w:rPr>
          <w:rFonts w:hint="default"/>
          <w:color w:val="auto"/>
        </w:rPr>
      </w:pPr>
      <w:r>
        <w:rPr>
          <w:rFonts w:hint="default"/>
          <w:color w:val="auto"/>
        </w:rPr>
        <w:br w:type="page"/>
      </w:r>
      <w:r>
        <w:rPr>
          <w:rFonts w:hint="default"/>
          <w:color w:val="auto"/>
        </w:rPr>
        <w:t>表二</w:t>
      </w:r>
    </w:p>
    <w:tbl>
      <w:tblPr>
        <w:tblStyle w:val="19"/>
        <w:tblW w:w="90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28"/>
      </w:tblGrid>
      <w:tr w14:paraId="22E44D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57" w:hRule="atLeast"/>
          <w:jc w:val="center"/>
        </w:trPr>
        <w:tc>
          <w:tcPr>
            <w:tcW w:w="9028" w:type="dxa"/>
            <w:noWrap w:val="0"/>
            <w:vAlign w:val="top"/>
          </w:tcPr>
          <w:p w14:paraId="4824D7B5">
            <w:pPr>
              <w:numPr>
                <w:ilvl w:val="0"/>
                <w:numId w:val="0"/>
              </w:numPr>
              <w:bidi w:val="0"/>
              <w:rPr>
                <w:rFonts w:hint="eastAsia"/>
                <w:b/>
                <w:bCs/>
                <w:color w:val="auto"/>
                <w:lang w:val="en-US" w:eastAsia="zh-CN"/>
              </w:rPr>
            </w:pPr>
            <w:r>
              <w:rPr>
                <w:rFonts w:hint="eastAsia"/>
                <w:b/>
                <w:bCs/>
                <w:color w:val="auto"/>
                <w:lang w:val="en-US" w:eastAsia="zh-CN"/>
              </w:rPr>
              <w:t>1、项目建设背景</w:t>
            </w:r>
          </w:p>
          <w:p w14:paraId="30676BEB">
            <w:pPr>
              <w:numPr>
                <w:ilvl w:val="0"/>
                <w:numId w:val="0"/>
              </w:numPr>
              <w:bidi w:val="0"/>
              <w:ind w:firstLine="480" w:firstLineChars="200"/>
              <w:rPr>
                <w:rFonts w:hint="eastAsia" w:ascii="宋体" w:hAnsi="宋体" w:eastAsia="宋体" w:cs="宋体"/>
                <w:color w:val="auto"/>
                <w:sz w:val="24"/>
                <w:u w:val="none"/>
                <w:lang w:eastAsia="zh-CN"/>
              </w:rPr>
            </w:pPr>
            <w:r>
              <w:rPr>
                <w:rFonts w:hint="default"/>
                <w:color w:val="auto"/>
                <w:sz w:val="24"/>
                <w:lang w:eastAsia="zh-CN"/>
              </w:rPr>
              <w:t>本项目</w:t>
            </w:r>
            <w:r>
              <w:rPr>
                <w:rFonts w:hint="eastAsia"/>
                <w:color w:val="auto"/>
                <w:sz w:val="24"/>
                <w:lang w:eastAsia="zh-CN"/>
              </w:rPr>
              <w:t>建设地点位于</w:t>
            </w:r>
            <w:r>
              <w:rPr>
                <w:rFonts w:hint="eastAsia"/>
                <w:color w:val="auto"/>
                <w:sz w:val="24"/>
              </w:rPr>
              <w:t>安徽省六安市舒城县安徽舒城经济开发区纬三路万德产业园3号楼D座</w:t>
            </w:r>
            <w:r>
              <w:rPr>
                <w:rFonts w:hint="eastAsia"/>
                <w:color w:val="auto"/>
                <w:sz w:val="24"/>
                <w:lang w:val="en-US" w:eastAsia="zh-CN"/>
              </w:rPr>
              <w:t>1~3F及5号楼1F</w:t>
            </w:r>
            <w:r>
              <w:rPr>
                <w:rFonts w:hint="eastAsia" w:ascii="宋体" w:hAnsi="宋体" w:eastAsia="宋体" w:cs="宋体"/>
                <w:color w:val="auto"/>
                <w:sz w:val="24"/>
                <w:u w:val="none"/>
                <w:lang w:eastAsia="zh-CN"/>
              </w:rPr>
              <w:t>。</w:t>
            </w:r>
          </w:p>
          <w:p w14:paraId="49CAC2C7">
            <w:pPr>
              <w:numPr>
                <w:ilvl w:val="0"/>
                <w:numId w:val="1"/>
              </w:numPr>
              <w:bidi w:val="0"/>
              <w:ind w:firstLine="482" w:firstLineChars="200"/>
              <w:rPr>
                <w:rFonts w:hint="eastAsia" w:cs="Times New Roman"/>
                <w:b/>
                <w:bCs/>
                <w:color w:val="auto"/>
                <w:sz w:val="24"/>
                <w:szCs w:val="24"/>
                <w:lang w:val="en-US" w:eastAsia="zh-CN" w:bidi="ar-SA"/>
              </w:rPr>
            </w:pPr>
            <w:r>
              <w:rPr>
                <w:rFonts w:hint="eastAsia" w:cs="Times New Roman"/>
                <w:b/>
                <w:bCs/>
                <w:color w:val="auto"/>
                <w:sz w:val="24"/>
                <w:szCs w:val="24"/>
                <w:lang w:val="en-US" w:eastAsia="zh-CN" w:bidi="ar-SA"/>
              </w:rPr>
              <w:t>项目环保手续办理情况</w:t>
            </w:r>
          </w:p>
          <w:p w14:paraId="6C93C08F">
            <w:pPr>
              <w:keepNext w:val="0"/>
              <w:keepLines w:val="0"/>
              <w:pageBreakBefore w:val="0"/>
              <w:widowControl/>
              <w:numPr>
                <w:ilvl w:val="0"/>
                <w:numId w:val="0"/>
              </w:numPr>
              <w:kinsoku/>
              <w:overflowPunct/>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pacing w:val="0"/>
                <w:w w:val="100"/>
                <w:sz w:val="24"/>
                <w:szCs w:val="24"/>
                <w:lang w:val="en-US" w:eastAsia="zh-CN"/>
              </w:rPr>
            </w:pPr>
            <w:r>
              <w:rPr>
                <w:rFonts w:hint="eastAsia" w:ascii="Times New Roman" w:hAnsi="Times New Roman" w:cs="Times New Roman" w:eastAsiaTheme="majorEastAsia"/>
                <w:color w:val="auto"/>
                <w:spacing w:val="0"/>
                <w:w w:val="100"/>
                <w:sz w:val="24"/>
                <w:szCs w:val="24"/>
                <w:lang w:val="en-US" w:eastAsia="zh-CN"/>
              </w:rPr>
              <w:t>2022年8月，</w:t>
            </w:r>
            <w:r>
              <w:rPr>
                <w:rFonts w:hint="eastAsia" w:cs="Times New Roman" w:eastAsiaTheme="majorEastAsia"/>
                <w:color w:val="auto"/>
                <w:spacing w:val="0"/>
                <w:w w:val="100"/>
                <w:sz w:val="24"/>
                <w:szCs w:val="24"/>
                <w:lang w:val="en-US" w:eastAsia="zh-CN"/>
              </w:rPr>
              <w:t>委托</w:t>
            </w:r>
            <w:r>
              <w:rPr>
                <w:rFonts w:hint="eastAsia" w:cs="Times New Roman"/>
                <w:color w:val="auto"/>
                <w:spacing w:val="0"/>
                <w:w w:val="100"/>
                <w:sz w:val="24"/>
                <w:szCs w:val="24"/>
                <w:lang w:eastAsia="zh-CN"/>
              </w:rPr>
              <w:t>安徽锦环环境科技有限公司</w:t>
            </w:r>
            <w:r>
              <w:rPr>
                <w:rFonts w:hint="default" w:ascii="Times New Roman" w:hAnsi="Times New Roman" w:eastAsia="宋体" w:cs="Times New Roman"/>
                <w:color w:val="auto"/>
                <w:spacing w:val="0"/>
                <w:w w:val="100"/>
                <w:sz w:val="24"/>
                <w:szCs w:val="24"/>
              </w:rPr>
              <w:t>编制</w:t>
            </w:r>
            <w:r>
              <w:rPr>
                <w:rFonts w:hint="eastAsia" w:cs="Times New Roman"/>
                <w:color w:val="auto"/>
                <w:spacing w:val="0"/>
                <w:w w:val="100"/>
                <w:sz w:val="24"/>
                <w:szCs w:val="24"/>
                <w:lang w:eastAsia="zh-CN"/>
              </w:rPr>
              <w:t>了</w:t>
            </w:r>
            <w:r>
              <w:rPr>
                <w:rFonts w:hint="eastAsia" w:cs="Times New Roman" w:eastAsiaTheme="majorEastAsia"/>
                <w:color w:val="auto"/>
                <w:spacing w:val="0"/>
                <w:w w:val="100"/>
                <w:sz w:val="24"/>
                <w:szCs w:val="24"/>
                <w:lang w:val="en-US" w:eastAsia="zh-CN"/>
              </w:rPr>
              <w:t>《舒城润昇门业有限公司钢制非标门加工制造项目环境影响报告表》；</w:t>
            </w:r>
          </w:p>
          <w:p w14:paraId="0A962CF7">
            <w:pPr>
              <w:pStyle w:val="13"/>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pacing w:val="0"/>
                <w:w w:val="100"/>
                <w:sz w:val="24"/>
                <w:szCs w:val="24"/>
                <w:lang w:val="en-US" w:eastAsia="zh-CN"/>
              </w:rPr>
            </w:pPr>
            <w:r>
              <w:rPr>
                <w:rFonts w:hint="default" w:ascii="Times New Roman" w:hAnsi="Times New Roman" w:cs="Times New Roman" w:eastAsiaTheme="majorEastAsia"/>
                <w:color w:val="auto"/>
                <w:spacing w:val="0"/>
                <w:w w:val="100"/>
                <w:lang w:val="en-US" w:eastAsia="zh-CN"/>
              </w:rPr>
              <w:t>2</w:t>
            </w:r>
            <w:r>
              <w:rPr>
                <w:rFonts w:hint="default" w:ascii="Times New Roman" w:hAnsi="Times New Roman" w:eastAsia="宋体" w:cs="Times New Roman"/>
                <w:color w:val="auto"/>
                <w:spacing w:val="0"/>
                <w:w w:val="100"/>
                <w:sz w:val="24"/>
                <w:szCs w:val="24"/>
                <w:lang w:val="en-US" w:eastAsia="zh-CN"/>
              </w:rPr>
              <w:t>022年9月5</w:t>
            </w:r>
            <w:r>
              <w:rPr>
                <w:rFonts w:hint="eastAsia" w:ascii="宋体" w:hAnsi="宋体" w:eastAsia="宋体" w:cs="宋体"/>
                <w:color w:val="auto"/>
                <w:spacing w:val="0"/>
                <w:w w:val="100"/>
                <w:sz w:val="24"/>
                <w:szCs w:val="24"/>
                <w:lang w:val="en-US" w:eastAsia="zh-CN"/>
              </w:rPr>
              <w:t>日，取得舒城县</w:t>
            </w:r>
            <w:r>
              <w:rPr>
                <w:rFonts w:hint="eastAsia" w:ascii="宋体" w:hAnsi="宋体" w:eastAsia="宋体" w:cs="宋体"/>
                <w:color w:val="auto"/>
                <w:sz w:val="24"/>
                <w:szCs w:val="24"/>
                <w:lang w:val="en-US" w:eastAsia="zh-CN"/>
              </w:rPr>
              <w:t>生态环境分局关于《舒城润昇门业有限公司钢制非标门加工制造项目环境影响报告表的</w:t>
            </w:r>
            <w:r>
              <w:rPr>
                <w:rFonts w:hint="eastAsia" w:ascii="宋体" w:hAnsi="宋体" w:eastAsia="宋体" w:cs="宋体"/>
                <w:color w:val="auto"/>
                <w:spacing w:val="0"/>
                <w:w w:val="100"/>
                <w:sz w:val="24"/>
                <w:szCs w:val="24"/>
                <w:lang w:val="en-US" w:eastAsia="zh-CN"/>
              </w:rPr>
              <w:t>批复》</w:t>
            </w:r>
            <w:r>
              <w:rPr>
                <w:rFonts w:hint="default" w:ascii="Times New Roman" w:hAnsi="Times New Roman" w:eastAsia="宋体" w:cs="Times New Roman"/>
                <w:color w:val="auto"/>
                <w:spacing w:val="0"/>
                <w:w w:val="100"/>
                <w:sz w:val="24"/>
                <w:szCs w:val="24"/>
                <w:lang w:val="en-US" w:eastAsia="zh-CN"/>
              </w:rPr>
              <w:t>（舒环评〔2022〕52号）</w:t>
            </w:r>
            <w:r>
              <w:rPr>
                <w:rFonts w:hint="eastAsia" w:cs="Times New Roman"/>
                <w:color w:val="auto"/>
                <w:spacing w:val="0"/>
                <w:w w:val="100"/>
                <w:sz w:val="24"/>
                <w:szCs w:val="24"/>
                <w:lang w:val="en-US" w:eastAsia="zh-CN"/>
              </w:rPr>
              <w:t>；</w:t>
            </w:r>
          </w:p>
          <w:p w14:paraId="4A7EA29E">
            <w:pPr>
              <w:keepNext w:val="0"/>
              <w:keepLines w:val="0"/>
              <w:pageBreakBefore w:val="0"/>
              <w:widowControl/>
              <w:kinsoku/>
              <w:overflowPunct/>
              <w:autoSpaceDE/>
              <w:autoSpaceDN/>
              <w:bidi w:val="0"/>
              <w:adjustRightInd w:val="0"/>
              <w:snapToGrid w:val="0"/>
              <w:spacing w:line="360" w:lineRule="auto"/>
              <w:ind w:firstLine="480" w:firstLineChars="200"/>
              <w:textAlignment w:val="auto"/>
              <w:rPr>
                <w:color w:val="auto"/>
              </w:rPr>
            </w:pPr>
            <w:r>
              <w:rPr>
                <w:rFonts w:hint="default" w:ascii="Times New Roman" w:hAnsi="Times New Roman" w:eastAsia="宋体" w:cs="Times New Roman"/>
                <w:color w:val="auto"/>
                <w:sz w:val="24"/>
                <w:szCs w:val="24"/>
                <w:lang w:val="en-US" w:eastAsia="zh-CN" w:bidi="ar-SA"/>
              </w:rPr>
              <w:t>项目于202</w:t>
            </w:r>
            <w:r>
              <w:rPr>
                <w:rFonts w:hint="eastAsia" w:cs="Times New Roman"/>
                <w:color w:val="auto"/>
                <w:sz w:val="24"/>
                <w:szCs w:val="24"/>
                <w:lang w:val="en-US" w:eastAsia="zh-CN" w:bidi="ar-SA"/>
              </w:rPr>
              <w:t>3</w:t>
            </w:r>
            <w:r>
              <w:rPr>
                <w:rFonts w:hint="default" w:ascii="Times New Roman" w:hAnsi="Times New Roman" w:eastAsia="宋体" w:cs="Times New Roman"/>
                <w:color w:val="auto"/>
                <w:sz w:val="24"/>
                <w:szCs w:val="24"/>
                <w:lang w:val="en-US" w:eastAsia="zh-CN" w:bidi="ar-SA"/>
              </w:rPr>
              <w:t>年</w:t>
            </w:r>
            <w:r>
              <w:rPr>
                <w:rFonts w:hint="eastAsia" w:cs="Times New Roman"/>
                <w:color w:val="auto"/>
                <w:sz w:val="24"/>
                <w:szCs w:val="24"/>
                <w:lang w:val="en-US" w:eastAsia="zh-CN" w:bidi="ar-SA"/>
              </w:rPr>
              <w:t>3</w:t>
            </w:r>
            <w:r>
              <w:rPr>
                <w:rFonts w:hint="default" w:ascii="Times New Roman" w:hAnsi="Times New Roman" w:eastAsia="宋体" w:cs="Times New Roman"/>
                <w:color w:val="auto"/>
                <w:sz w:val="24"/>
                <w:szCs w:val="24"/>
                <w:lang w:val="en-US" w:eastAsia="zh-CN" w:bidi="ar-SA"/>
              </w:rPr>
              <w:t>月建设，202</w:t>
            </w:r>
            <w:r>
              <w:rPr>
                <w:rFonts w:hint="eastAsia" w:cs="Times New Roman"/>
                <w:color w:val="auto"/>
                <w:sz w:val="24"/>
                <w:szCs w:val="24"/>
                <w:lang w:val="en-US" w:eastAsia="zh-CN" w:bidi="ar-SA"/>
              </w:rPr>
              <w:t>4</w:t>
            </w:r>
            <w:r>
              <w:rPr>
                <w:rFonts w:hint="default" w:ascii="Times New Roman" w:hAnsi="Times New Roman" w:eastAsia="宋体" w:cs="Times New Roman"/>
                <w:color w:val="auto"/>
                <w:sz w:val="24"/>
                <w:szCs w:val="24"/>
                <w:lang w:val="en-US" w:eastAsia="zh-CN" w:bidi="ar-SA"/>
              </w:rPr>
              <w:t>年3月</w:t>
            </w:r>
            <w:r>
              <w:rPr>
                <w:rFonts w:hint="eastAsia" w:cs="Times New Roman"/>
                <w:color w:val="auto"/>
                <w:sz w:val="24"/>
                <w:szCs w:val="24"/>
                <w:lang w:val="en-US" w:eastAsia="zh-CN" w:bidi="ar-SA"/>
              </w:rPr>
              <w:t>~6月</w:t>
            </w:r>
            <w:r>
              <w:rPr>
                <w:rFonts w:hint="default" w:ascii="Times New Roman" w:hAnsi="Times New Roman" w:eastAsia="宋体" w:cs="Times New Roman"/>
                <w:color w:val="auto"/>
                <w:sz w:val="24"/>
                <w:szCs w:val="24"/>
                <w:lang w:val="en-US" w:eastAsia="zh-CN" w:bidi="ar-SA"/>
              </w:rPr>
              <w:t>进行调试，于2024年6月</w:t>
            </w:r>
            <w:r>
              <w:rPr>
                <w:rFonts w:hint="eastAsia" w:ascii="宋体" w:hAnsi="宋体" w:eastAsia="宋体" w:cs="宋体"/>
                <w:color w:val="auto"/>
                <w:sz w:val="24"/>
                <w:szCs w:val="24"/>
                <w:lang w:val="en-US" w:eastAsia="zh-CN" w:bidi="ar-SA"/>
              </w:rPr>
              <w:t>组织开展自主验收</w:t>
            </w:r>
            <w:r>
              <w:rPr>
                <w:rFonts w:hint="eastAsia" w:ascii="宋体" w:hAnsi="宋体" w:eastAsia="宋体" w:cs="宋体"/>
                <w:color w:val="auto"/>
                <w:sz w:val="24"/>
                <w:szCs w:val="24"/>
                <w:lang w:val="en-US" w:eastAsia="zh-CN"/>
              </w:rPr>
              <w:t>工作</w:t>
            </w:r>
            <w:r>
              <w:rPr>
                <w:rFonts w:hint="eastAsia" w:ascii="宋体" w:hAnsi="宋体" w:cs="宋体"/>
                <w:color w:val="auto"/>
                <w:sz w:val="24"/>
                <w:szCs w:val="24"/>
                <w:lang w:val="en-US" w:eastAsia="zh-CN"/>
              </w:rPr>
              <w:t>；</w:t>
            </w:r>
          </w:p>
          <w:p w14:paraId="79F2D946">
            <w:pPr>
              <w:keepNext w:val="0"/>
              <w:keepLines w:val="0"/>
              <w:pageBreakBefore w:val="0"/>
              <w:widowControl/>
              <w:kinsoku/>
              <w:overflowPunct/>
              <w:autoSpaceDE/>
              <w:autoSpaceDN/>
              <w:bidi w:val="0"/>
              <w:adjustRightInd w:val="0"/>
              <w:snapToGrid w:val="0"/>
              <w:spacing w:line="360" w:lineRule="auto"/>
              <w:ind w:firstLine="480" w:firstLineChars="200"/>
              <w:textAlignment w:val="auto"/>
              <w:rPr>
                <w:rFonts w:hint="default" w:eastAsia="宋体"/>
                <w:color w:val="auto"/>
                <w:lang w:val="en-US" w:eastAsia="zh-CN"/>
              </w:rPr>
            </w:pPr>
            <w:r>
              <w:rPr>
                <w:rFonts w:hint="eastAsia"/>
                <w:color w:val="auto"/>
                <w:lang w:val="en-US" w:eastAsia="zh-CN"/>
              </w:rPr>
              <w:t>2024年8月19日，项目取得排污许可登记回执</w:t>
            </w:r>
            <w:r>
              <w:rPr>
                <w:rFonts w:hint="eastAsia"/>
                <w:color w:val="auto"/>
                <w:sz w:val="24"/>
                <w:szCs w:val="24"/>
                <w:lang w:val="en-US" w:eastAsia="zh-CN"/>
              </w:rPr>
              <w:t>。</w:t>
            </w:r>
          </w:p>
          <w:p w14:paraId="1E7FA45A">
            <w:pPr>
              <w:numPr>
                <w:ilvl w:val="0"/>
                <w:numId w:val="0"/>
              </w:numPr>
              <w:bidi w:val="0"/>
              <w:adjustRightInd w:val="0"/>
              <w:snapToGrid w:val="0"/>
              <w:spacing w:line="360" w:lineRule="auto"/>
              <w:ind w:firstLine="480" w:firstLineChars="0"/>
              <w:rPr>
                <w:rFonts w:hint="eastAsia" w:ascii="宋体" w:hAnsi="宋体" w:eastAsia="宋体" w:cs="宋体"/>
                <w:b/>
                <w:bCs/>
                <w:color w:val="auto"/>
                <w:sz w:val="24"/>
                <w:szCs w:val="24"/>
                <w:lang w:val="en-US" w:eastAsia="zh-CN" w:bidi="ar-SA"/>
              </w:rPr>
            </w:pPr>
            <w:r>
              <w:rPr>
                <w:rFonts w:hint="eastAsia" w:ascii="宋体" w:hAnsi="宋体" w:eastAsia="宋体" w:cs="宋体"/>
                <w:b/>
                <w:bCs/>
                <w:color w:val="auto"/>
                <w:sz w:val="24"/>
                <w:szCs w:val="24"/>
                <w:lang w:val="en-US" w:eastAsia="zh-CN" w:bidi="ar-SA"/>
              </w:rPr>
              <w:t>（2）验收工作由来</w:t>
            </w:r>
          </w:p>
          <w:p w14:paraId="66A36557">
            <w:pPr>
              <w:spacing w:line="360" w:lineRule="auto"/>
              <w:ind w:firstLine="480" w:firstLineChars="200"/>
              <w:rPr>
                <w:rFonts w:hint="default"/>
                <w:color w:val="auto"/>
                <w:sz w:val="24"/>
                <w:szCs w:val="24"/>
              </w:rPr>
            </w:pPr>
            <w:r>
              <w:rPr>
                <w:rFonts w:hint="default"/>
                <w:color w:val="auto"/>
                <w:sz w:val="24"/>
                <w:szCs w:val="24"/>
              </w:rPr>
              <w:t>根据《建设项目环境保护管理条例》（中华人民共和国国务院令第682条）中第十七条：</w:t>
            </w:r>
            <w:r>
              <w:rPr>
                <w:rFonts w:hint="eastAsia"/>
                <w:color w:val="auto"/>
                <w:sz w:val="24"/>
                <w:szCs w:val="24"/>
                <w:lang w:eastAsia="zh-CN"/>
              </w:rPr>
              <w:t>“</w:t>
            </w:r>
            <w:r>
              <w:rPr>
                <w:rFonts w:hint="default"/>
                <w:color w:val="auto"/>
                <w:sz w:val="24"/>
                <w:szCs w:val="24"/>
              </w:rPr>
              <w:t>编制环境影响报告书、环境影响报告表的建设项目竣工后，建设单位应当按照国务院环境保护行政主管部门规定的标准和程序，对配套建设的环境保护设施进行验收，编制验收报告</w:t>
            </w:r>
            <w:r>
              <w:rPr>
                <w:rFonts w:hint="eastAsia"/>
                <w:color w:val="auto"/>
                <w:sz w:val="24"/>
                <w:szCs w:val="24"/>
                <w:lang w:eastAsia="zh-CN"/>
              </w:rPr>
              <w:t>”</w:t>
            </w:r>
            <w:r>
              <w:rPr>
                <w:rFonts w:hint="default"/>
                <w:color w:val="auto"/>
                <w:sz w:val="24"/>
                <w:szCs w:val="24"/>
              </w:rPr>
              <w:t>。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14:paraId="3DC01AF1">
            <w:pPr>
              <w:pStyle w:val="10"/>
              <w:spacing w:after="0"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color w:val="auto"/>
                <w:sz w:val="24"/>
                <w:szCs w:val="24"/>
              </w:rPr>
              <w:t>为考核该建设项目环保</w:t>
            </w:r>
            <w:r>
              <w:rPr>
                <w:rFonts w:hint="eastAsia"/>
                <w:color w:val="auto"/>
                <w:sz w:val="24"/>
                <w:szCs w:val="24"/>
                <w:lang w:eastAsia="zh-CN"/>
              </w:rPr>
              <w:t>“</w:t>
            </w:r>
            <w:r>
              <w:rPr>
                <w:rFonts w:hint="default"/>
                <w:color w:val="auto"/>
                <w:sz w:val="24"/>
                <w:szCs w:val="24"/>
              </w:rPr>
              <w:t>三同时</w:t>
            </w:r>
            <w:r>
              <w:rPr>
                <w:rFonts w:hint="eastAsia"/>
                <w:color w:val="auto"/>
                <w:sz w:val="24"/>
                <w:szCs w:val="24"/>
                <w:lang w:eastAsia="zh-CN"/>
              </w:rPr>
              <w:t>”</w:t>
            </w:r>
            <w:r>
              <w:rPr>
                <w:rFonts w:hint="default"/>
                <w:color w:val="auto"/>
                <w:sz w:val="24"/>
                <w:szCs w:val="24"/>
              </w:rPr>
              <w:t>执行情况及各项污染治理设施试运行性能和效果，依据国家环境保护部《建设项目竣工环境保</w:t>
            </w:r>
            <w:r>
              <w:rPr>
                <w:rFonts w:hint="default" w:ascii="Times New Roman" w:hAnsi="Times New Roman" w:eastAsia="宋体" w:cs="Times New Roman"/>
                <w:color w:val="auto"/>
                <w:kern w:val="2"/>
                <w:sz w:val="24"/>
                <w:szCs w:val="24"/>
                <w:lang w:val="en-US" w:eastAsia="zh-CN" w:bidi="ar-SA"/>
              </w:rPr>
              <w:t>护验收暂行办法》要求，</w:t>
            </w:r>
            <w:r>
              <w:rPr>
                <w:rFonts w:hint="eastAsia" w:cs="Times New Roman"/>
                <w:color w:val="auto"/>
                <w:kern w:val="2"/>
                <w:sz w:val="24"/>
                <w:szCs w:val="24"/>
                <w:lang w:val="en-US" w:eastAsia="zh-CN" w:bidi="ar-SA"/>
              </w:rPr>
              <w:t>于2024年6月25日，</w:t>
            </w:r>
            <w:r>
              <w:rPr>
                <w:rFonts w:hint="eastAsia" w:cs="Times New Roman" w:eastAsiaTheme="majorEastAsia"/>
                <w:color w:val="auto"/>
                <w:spacing w:val="0"/>
                <w:w w:val="100"/>
                <w:sz w:val="24"/>
                <w:szCs w:val="24"/>
                <w:lang w:val="en-US" w:eastAsia="zh-CN"/>
              </w:rPr>
              <w:t>舒城润昇门业有限公司组织开展钢制非标门加工制造项目</w:t>
            </w:r>
            <w:r>
              <w:rPr>
                <w:rFonts w:hint="eastAsia" w:ascii="Times New Roman" w:hAnsi="Times New Roman" w:eastAsia="宋体" w:cs="Times New Roman"/>
                <w:color w:val="auto"/>
                <w:spacing w:val="0"/>
                <w:w w:val="100"/>
                <w:sz w:val="24"/>
                <w:szCs w:val="24"/>
                <w:lang w:eastAsia="zh-CN"/>
              </w:rPr>
              <w:t>环境保护验收工作，</w:t>
            </w:r>
            <w:r>
              <w:rPr>
                <w:rFonts w:hint="eastAsia" w:ascii="Times New Roman" w:hAnsi="Times New Roman" w:eastAsia="宋体" w:cs="Times New Roman"/>
                <w:b w:val="0"/>
                <w:snapToGrid/>
                <w:color w:val="auto"/>
                <w:kern w:val="2"/>
                <w:sz w:val="24"/>
                <w:szCs w:val="24"/>
                <w:lang w:val="en-US" w:eastAsia="zh-CN" w:bidi="ar-SA"/>
              </w:rPr>
              <w:t>委托</w:t>
            </w:r>
            <w:r>
              <w:rPr>
                <w:rFonts w:hint="eastAsia" w:ascii="Times New Roman" w:hAnsi="Times New Roman" w:cs="Times New Roman"/>
                <w:b w:val="0"/>
                <w:snapToGrid/>
                <w:color w:val="auto"/>
                <w:kern w:val="2"/>
                <w:sz w:val="24"/>
                <w:szCs w:val="24"/>
                <w:lang w:val="en-US" w:eastAsia="zh-CN" w:bidi="ar-SA"/>
              </w:rPr>
              <w:t>安徽</w:t>
            </w:r>
            <w:r>
              <w:rPr>
                <w:rFonts w:hint="eastAsia" w:cs="Times New Roman"/>
                <w:b w:val="0"/>
                <w:snapToGrid/>
                <w:color w:val="auto"/>
                <w:kern w:val="2"/>
                <w:sz w:val="24"/>
                <w:szCs w:val="24"/>
                <w:lang w:val="en-US" w:eastAsia="zh-CN" w:bidi="ar-SA"/>
              </w:rPr>
              <w:t>锦环环境科技</w:t>
            </w:r>
            <w:r>
              <w:rPr>
                <w:rFonts w:hint="eastAsia" w:ascii="Times New Roman" w:hAnsi="Times New Roman" w:cs="Times New Roman"/>
                <w:b w:val="0"/>
                <w:snapToGrid/>
                <w:color w:val="auto"/>
                <w:kern w:val="2"/>
                <w:sz w:val="24"/>
                <w:szCs w:val="24"/>
                <w:lang w:val="en-US" w:eastAsia="zh-CN" w:bidi="ar-SA"/>
              </w:rPr>
              <w:t>有限公司</w:t>
            </w:r>
            <w:r>
              <w:rPr>
                <w:rFonts w:hint="eastAsia" w:ascii="Times New Roman" w:hAnsi="Times New Roman" w:eastAsia="宋体" w:cs="Times New Roman"/>
                <w:b w:val="0"/>
                <w:snapToGrid/>
                <w:color w:val="auto"/>
                <w:kern w:val="2"/>
                <w:sz w:val="24"/>
                <w:szCs w:val="24"/>
                <w:lang w:val="en-US" w:eastAsia="zh-CN" w:bidi="ar-SA"/>
              </w:rPr>
              <w:t>编制竣工环保保护验收监测报告（验收期间现场监测由</w:t>
            </w:r>
            <w:r>
              <w:rPr>
                <w:rFonts w:hint="eastAsia" w:cs="Times New Roman"/>
                <w:color w:val="auto"/>
                <w:kern w:val="2"/>
                <w:sz w:val="24"/>
                <w:szCs w:val="24"/>
                <w:lang w:val="en-US" w:eastAsia="zh-CN" w:bidi="ar-SA"/>
              </w:rPr>
              <w:t>安徽文竹环境科技有限</w:t>
            </w:r>
            <w:r>
              <w:rPr>
                <w:rFonts w:hint="eastAsia" w:ascii="Times New Roman" w:hAnsi="Times New Roman" w:eastAsia="宋体" w:cs="Times New Roman"/>
                <w:color w:val="auto"/>
                <w:kern w:val="2"/>
                <w:sz w:val="24"/>
                <w:szCs w:val="24"/>
                <w:lang w:val="en-US" w:eastAsia="zh-CN" w:bidi="ar-SA"/>
              </w:rPr>
              <w:t>公司</w:t>
            </w:r>
            <w:r>
              <w:rPr>
                <w:rFonts w:hint="eastAsia" w:ascii="Times New Roman" w:hAnsi="Times New Roman" w:eastAsia="宋体" w:cs="Times New Roman"/>
                <w:color w:val="auto"/>
                <w:sz w:val="24"/>
                <w:szCs w:val="22"/>
                <w:lang w:val="en-US" w:eastAsia="zh-CN"/>
              </w:rPr>
              <w:t>负责并出具验收报告</w:t>
            </w:r>
            <w:r>
              <w:rPr>
                <w:rFonts w:hint="eastAsia" w:ascii="Times New Roman" w:hAnsi="Times New Roman" w:eastAsia="宋体" w:cs="Times New Roman"/>
                <w:b w:val="0"/>
                <w:snapToGrid/>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于2</w:t>
            </w:r>
            <w:r>
              <w:rPr>
                <w:rFonts w:hint="eastAsia" w:ascii="Times New Roman" w:hAnsi="Times New Roman" w:eastAsia="宋体" w:cs="Times New Roman"/>
                <w:color w:val="auto"/>
                <w:kern w:val="2"/>
                <w:sz w:val="24"/>
                <w:szCs w:val="24"/>
                <w:highlight w:val="none"/>
                <w:lang w:val="en-US" w:eastAsia="zh-CN" w:bidi="ar-SA"/>
              </w:rPr>
              <w:t>024年</w:t>
            </w:r>
            <w:r>
              <w:rPr>
                <w:rFonts w:hint="eastAsia" w:cs="Times New Roman"/>
                <w:color w:val="auto"/>
                <w:kern w:val="2"/>
                <w:sz w:val="24"/>
                <w:szCs w:val="24"/>
                <w:highlight w:val="none"/>
                <w:lang w:val="en-US" w:eastAsia="zh-CN" w:bidi="ar-SA"/>
              </w:rPr>
              <w:t>6</w:t>
            </w:r>
            <w:r>
              <w:rPr>
                <w:rFonts w:hint="eastAsia" w:ascii="Times New Roman" w:hAnsi="Times New Roman" w:eastAsia="宋体"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27</w:t>
            </w:r>
            <w:r>
              <w:rPr>
                <w:rFonts w:hint="eastAsia" w:ascii="Times New Roman" w:hAnsi="Times New Roman" w:eastAsia="宋体" w:cs="Times New Roman"/>
                <w:color w:val="auto"/>
                <w:kern w:val="2"/>
                <w:sz w:val="24"/>
                <w:szCs w:val="24"/>
                <w:highlight w:val="none"/>
                <w:lang w:val="en-US" w:eastAsia="zh-CN" w:bidi="ar-SA"/>
              </w:rPr>
              <w:t>日~</w:t>
            </w:r>
            <w:r>
              <w:rPr>
                <w:rFonts w:hint="eastAsia" w:cs="Times New Roman"/>
                <w:color w:val="auto"/>
                <w:kern w:val="2"/>
                <w:sz w:val="24"/>
                <w:szCs w:val="24"/>
                <w:highlight w:val="none"/>
                <w:lang w:val="en-US" w:eastAsia="zh-CN" w:bidi="ar-SA"/>
              </w:rPr>
              <w:t>6月28</w:t>
            </w:r>
            <w:r>
              <w:rPr>
                <w:rFonts w:hint="eastAsia" w:ascii="Times New Roman" w:hAnsi="Times New Roman" w:eastAsia="宋体"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lang w:val="en-US" w:eastAsia="zh-CN" w:bidi="ar-SA"/>
              </w:rPr>
              <w:t>对厂区污染物排放情况进行现场监测，在此基础上，于</w:t>
            </w:r>
            <w:r>
              <w:rPr>
                <w:rFonts w:hint="eastAsia" w:ascii="Times New Roman" w:hAnsi="Times New Roman" w:eastAsia="宋体" w:cs="Times New Roman"/>
                <w:color w:val="auto"/>
                <w:kern w:val="2"/>
                <w:sz w:val="24"/>
                <w:szCs w:val="24"/>
                <w:highlight w:val="none"/>
                <w:lang w:val="en-US" w:eastAsia="zh-CN" w:bidi="ar-SA"/>
              </w:rPr>
              <w:t>2024年</w:t>
            </w:r>
            <w:r>
              <w:rPr>
                <w:rFonts w:hint="eastAsia" w:cs="Times New Roman"/>
                <w:color w:val="auto"/>
                <w:kern w:val="2"/>
                <w:sz w:val="24"/>
                <w:szCs w:val="24"/>
                <w:highlight w:val="none"/>
                <w:lang w:val="en-US" w:eastAsia="zh-CN" w:bidi="ar-SA"/>
              </w:rPr>
              <w:t>7</w:t>
            </w:r>
            <w:r>
              <w:rPr>
                <w:rFonts w:hint="eastAsia" w:ascii="Times New Roman" w:hAnsi="Times New Roman" w:eastAsia="宋体"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10</w:t>
            </w:r>
            <w:r>
              <w:rPr>
                <w:rFonts w:hint="eastAsia" w:ascii="Times New Roman" w:hAnsi="Times New Roman" w:eastAsia="宋体"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lang w:val="en-US" w:eastAsia="zh-CN" w:bidi="ar-SA"/>
              </w:rPr>
              <w:t>，完善本项目的竣工环保验收监测报告</w:t>
            </w:r>
            <w:r>
              <w:rPr>
                <w:rFonts w:hint="default" w:ascii="Times New Roman" w:hAnsi="Times New Roman" w:eastAsia="宋体" w:cs="Times New Roman"/>
                <w:color w:val="auto"/>
                <w:kern w:val="2"/>
                <w:sz w:val="24"/>
                <w:szCs w:val="24"/>
                <w:lang w:val="en-US" w:eastAsia="zh-CN" w:bidi="ar-SA"/>
              </w:rPr>
              <w:t>。</w:t>
            </w:r>
          </w:p>
          <w:p w14:paraId="3B60C585">
            <w:pPr>
              <w:pStyle w:val="10"/>
              <w:spacing w:after="0" w:line="360" w:lineRule="auto"/>
              <w:ind w:firstLine="480" w:firstLineChars="200"/>
              <w:rPr>
                <w:rFonts w:hint="default" w:ascii="Times New Roman" w:hAnsi="Times New Roman" w:eastAsia="宋体" w:cs="Times New Roman"/>
                <w:color w:val="auto"/>
                <w:kern w:val="2"/>
                <w:sz w:val="24"/>
                <w:szCs w:val="24"/>
                <w:lang w:val="en-US" w:eastAsia="zh-CN" w:bidi="ar-SA"/>
              </w:rPr>
            </w:pPr>
          </w:p>
          <w:p w14:paraId="7A10465B">
            <w:pPr>
              <w:widowControl/>
              <w:spacing w:line="240" w:lineRule="auto"/>
              <w:jc w:val="center"/>
              <w:rPr>
                <w:rFonts w:hint="eastAsia" w:ascii="Times New Roman" w:hAnsi="Times New Roman" w:eastAsia="宋体" w:cs="Times New Roman"/>
                <w:b/>
                <w:color w:val="auto"/>
                <w:sz w:val="24"/>
              </w:rPr>
            </w:pPr>
          </w:p>
          <w:p w14:paraId="6CC78D96">
            <w:pPr>
              <w:pStyle w:val="13"/>
              <w:ind w:left="0" w:leftChars="0" w:firstLine="0" w:firstLineChars="0"/>
              <w:rPr>
                <w:rFonts w:hint="eastAsia"/>
                <w:color w:val="auto"/>
              </w:rPr>
            </w:pPr>
          </w:p>
          <w:p w14:paraId="1B337FE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color w:val="auto"/>
                <w:sz w:val="24"/>
              </w:rPr>
            </w:pPr>
            <w:r>
              <w:rPr>
                <w:rFonts w:hint="eastAsia" w:ascii="Times New Roman" w:hAnsi="Times New Roman" w:eastAsia="宋体" w:cs="Times New Roman"/>
                <w:b/>
                <w:color w:val="auto"/>
                <w:sz w:val="24"/>
              </w:rPr>
              <w:t>表2</w:t>
            </w:r>
            <w:r>
              <w:rPr>
                <w:rFonts w:hint="eastAsia" w:ascii="Times New Roman" w:hAnsi="Times New Roman" w:eastAsia="宋体" w:cs="Times New Roman"/>
                <w:b/>
                <w:color w:val="auto"/>
                <w:sz w:val="24"/>
                <w:lang w:val="en-US" w:eastAsia="zh-CN"/>
              </w:rPr>
              <w:t>-</w:t>
            </w:r>
            <w:r>
              <w:rPr>
                <w:rFonts w:hint="eastAsia" w:ascii="Times New Roman" w:hAnsi="Times New Roman" w:eastAsia="宋体" w:cs="Times New Roman"/>
                <w:b/>
                <w:color w:val="auto"/>
                <w:sz w:val="24"/>
              </w:rPr>
              <w:t xml:space="preserve">1 </w:t>
            </w:r>
            <w:r>
              <w:rPr>
                <w:rFonts w:hint="eastAsia" w:cs="Times New Roman"/>
                <w:b/>
                <w:color w:val="auto"/>
                <w:sz w:val="24"/>
                <w:lang w:val="en-US" w:eastAsia="zh-CN"/>
              </w:rPr>
              <w:t xml:space="preserve"> </w:t>
            </w:r>
            <w:r>
              <w:rPr>
                <w:rFonts w:hint="eastAsia" w:ascii="Times New Roman" w:hAnsi="Times New Roman" w:eastAsia="宋体" w:cs="Times New Roman"/>
                <w:b/>
                <w:color w:val="auto"/>
                <w:sz w:val="24"/>
              </w:rPr>
              <w:t>项目满足验收条件情况一览表</w:t>
            </w:r>
          </w:p>
          <w:tbl>
            <w:tblPr>
              <w:tblStyle w:val="20"/>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9"/>
              <w:gridCol w:w="3866"/>
              <w:gridCol w:w="1004"/>
            </w:tblGrid>
            <w:tr w14:paraId="3304B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3969" w:type="dxa"/>
                  <w:noWrap w:val="0"/>
                  <w:vAlign w:val="center"/>
                </w:tcPr>
                <w:p w14:paraId="33FE7003">
                  <w:pPr>
                    <w:keepNext w:val="0"/>
                    <w:keepLines w:val="0"/>
                    <w:pageBreakBefore w:val="0"/>
                    <w:widowControl w:val="0"/>
                    <w:tabs>
                      <w:tab w:val="left" w:pos="1540"/>
                    </w:tabs>
                    <w:kinsoku/>
                    <w:wordWrap/>
                    <w:overflowPunct/>
                    <w:topLinePunct w:val="0"/>
                    <w:autoSpaceDE/>
                    <w:autoSpaceDN/>
                    <w:bidi w:val="0"/>
                    <w:adjustRightInd w:val="0"/>
                    <w:snapToGrid w:val="0"/>
                    <w:spacing w:line="240" w:lineRule="auto"/>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关于发布《建设项目竣工环境保护验收暂行办法》的公告（国环规环评〔</w:t>
                  </w:r>
                  <w:r>
                    <w:rPr>
                      <w:rFonts w:ascii="Times New Roman" w:hAnsi="Times New Roman" w:cs="Times New Roman"/>
                      <w:b/>
                      <w:bCs/>
                      <w:color w:val="auto"/>
                      <w:sz w:val="21"/>
                      <w:szCs w:val="21"/>
                    </w:rPr>
                    <w:t>2017</w:t>
                  </w:r>
                  <w:r>
                    <w:rPr>
                      <w:rFonts w:ascii="Times New Roman" w:hAnsi="宋体" w:cs="Times New Roman"/>
                      <w:b/>
                      <w:bCs/>
                      <w:color w:val="auto"/>
                      <w:sz w:val="21"/>
                      <w:szCs w:val="21"/>
                    </w:rPr>
                    <w:t>〕</w:t>
                  </w:r>
                  <w:r>
                    <w:rPr>
                      <w:rFonts w:ascii="Times New Roman" w:hAnsi="Times New Roman" w:cs="Times New Roman"/>
                      <w:b/>
                      <w:bCs/>
                      <w:color w:val="auto"/>
                      <w:sz w:val="21"/>
                      <w:szCs w:val="21"/>
                    </w:rPr>
                    <w:t>4</w:t>
                  </w:r>
                  <w:r>
                    <w:rPr>
                      <w:rFonts w:ascii="Times New Roman" w:hAnsi="宋体" w:cs="Times New Roman"/>
                      <w:b/>
                      <w:bCs/>
                      <w:color w:val="auto"/>
                      <w:sz w:val="21"/>
                      <w:szCs w:val="21"/>
                    </w:rPr>
                    <w:t>号）中不得提出验收合格意见的情形</w:t>
                  </w:r>
                </w:p>
              </w:tc>
              <w:tc>
                <w:tcPr>
                  <w:tcW w:w="3866" w:type="dxa"/>
                  <w:noWrap w:val="0"/>
                  <w:vAlign w:val="center"/>
                </w:tcPr>
                <w:p w14:paraId="214886ED">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本项目实际相关情形</w:t>
                  </w:r>
                </w:p>
              </w:tc>
              <w:tc>
                <w:tcPr>
                  <w:tcW w:w="1004" w:type="dxa"/>
                  <w:noWrap w:val="0"/>
                  <w:vAlign w:val="center"/>
                </w:tcPr>
                <w:p w14:paraId="75426CC7">
                  <w:pPr>
                    <w:keepNext w:val="0"/>
                    <w:keepLines w:val="0"/>
                    <w:pageBreakBefore w:val="0"/>
                    <w:widowControl w:val="0"/>
                    <w:tabs>
                      <w:tab w:val="left" w:pos="1540"/>
                    </w:tabs>
                    <w:kinsoku/>
                    <w:wordWrap/>
                    <w:overflowPunct/>
                    <w:topLinePunct w:val="0"/>
                    <w:autoSpaceDE/>
                    <w:autoSpaceDN/>
                    <w:bidi w:val="0"/>
                    <w:adjustRightInd w:val="0"/>
                    <w:snapToGrid w:val="0"/>
                    <w:spacing w:line="240" w:lineRule="auto"/>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合格</w:t>
                  </w:r>
                </w:p>
                <w:p w14:paraId="796235CF">
                  <w:pPr>
                    <w:keepNext w:val="0"/>
                    <w:keepLines w:val="0"/>
                    <w:pageBreakBefore w:val="0"/>
                    <w:widowControl w:val="0"/>
                    <w:tabs>
                      <w:tab w:val="left" w:pos="1540"/>
                    </w:tabs>
                    <w:kinsoku/>
                    <w:wordWrap/>
                    <w:overflowPunct/>
                    <w:topLinePunct w:val="0"/>
                    <w:autoSpaceDE/>
                    <w:autoSpaceDN/>
                    <w:bidi w:val="0"/>
                    <w:adjustRightInd w:val="0"/>
                    <w:snapToGrid w:val="0"/>
                    <w:spacing w:line="240" w:lineRule="auto"/>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情况</w:t>
                  </w:r>
                </w:p>
              </w:tc>
            </w:tr>
            <w:tr w14:paraId="0C399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jc w:val="center"/>
              </w:trPr>
              <w:tc>
                <w:tcPr>
                  <w:tcW w:w="3969" w:type="dxa"/>
                  <w:noWrap w:val="0"/>
                  <w:vAlign w:val="center"/>
                </w:tcPr>
                <w:p w14:paraId="072BA8B1">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1</w:t>
                  </w:r>
                  <w:r>
                    <w:rPr>
                      <w:rFonts w:ascii="Times New Roman" w:hAnsi="宋体" w:cs="Times New Roman"/>
                      <w:color w:val="auto"/>
                      <w:sz w:val="21"/>
                      <w:szCs w:val="21"/>
                    </w:rPr>
                    <w:t>）未按环境影响报告书（表）及其审批部门审批决定要求建成环境保护设施，或者环境保护设施不能与主体工程同时投产或者使用的</w:t>
                  </w:r>
                </w:p>
              </w:tc>
              <w:tc>
                <w:tcPr>
                  <w:tcW w:w="3866" w:type="dxa"/>
                  <w:noWrap w:val="0"/>
                  <w:vAlign w:val="center"/>
                </w:tcPr>
                <w:p w14:paraId="2F50F4BB">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已办理环评手续并</w:t>
                  </w:r>
                  <w:r>
                    <w:rPr>
                      <w:rFonts w:hint="eastAsia" w:ascii="Times New Roman" w:hAnsi="Times New Roman" w:cs="Times New Roman" w:eastAsiaTheme="majorEastAsia"/>
                      <w:color w:val="auto"/>
                      <w:spacing w:val="0"/>
                      <w:w w:val="100"/>
                      <w:sz w:val="21"/>
                      <w:szCs w:val="21"/>
                      <w:lang w:val="en-US" w:eastAsia="zh-CN"/>
                    </w:rPr>
                    <w:t>关于</w:t>
                  </w:r>
                  <w:r>
                    <w:rPr>
                      <w:rFonts w:hint="eastAsia" w:cs="Times New Roman" w:eastAsiaTheme="majorEastAsia"/>
                      <w:color w:val="auto"/>
                      <w:spacing w:val="0"/>
                      <w:w w:val="100"/>
                      <w:sz w:val="21"/>
                      <w:szCs w:val="21"/>
                      <w:lang w:val="en-US" w:eastAsia="zh-CN"/>
                    </w:rPr>
                    <w:t>《关于舒城润昇门业有限公司钢制非标门加工制造项目环境影响报告表的批复</w:t>
                  </w:r>
                  <w:r>
                    <w:rPr>
                      <w:rFonts w:hint="default" w:ascii="Times New Roman" w:hAnsi="Times New Roman" w:cs="Times New Roman" w:eastAsiaTheme="majorEastAsia"/>
                      <w:color w:val="auto"/>
                      <w:spacing w:val="0"/>
                      <w:w w:val="100"/>
                      <w:sz w:val="21"/>
                      <w:szCs w:val="21"/>
                      <w:lang w:val="en-US" w:eastAsia="zh-CN"/>
                    </w:rPr>
                    <w:t>》（舒环评</w:t>
                  </w:r>
                  <w:r>
                    <w:rPr>
                      <w:rFonts w:hint="default" w:ascii="Times New Roman" w:hAnsi="Times New Roman" w:eastAsia="宋体" w:cs="Times New Roman"/>
                      <w:color w:val="auto"/>
                      <w:spacing w:val="0"/>
                      <w:w w:val="100"/>
                      <w:sz w:val="21"/>
                      <w:szCs w:val="21"/>
                      <w:lang w:val="en-US" w:eastAsia="zh-CN"/>
                    </w:rPr>
                    <w:t>〔2022〕52号）</w:t>
                  </w:r>
                  <w:r>
                    <w:rPr>
                      <w:rFonts w:hint="default" w:ascii="Times New Roman" w:hAnsi="Times New Roman" w:eastAsia="宋体" w:cs="Times New Roman"/>
                      <w:color w:val="auto"/>
                      <w:sz w:val="21"/>
                      <w:szCs w:val="21"/>
                    </w:rPr>
                    <w:t>，相关环保设施做到了与</w:t>
                  </w:r>
                  <w:r>
                    <w:rPr>
                      <w:rFonts w:ascii="Times New Roman" w:hAnsi="宋体" w:cs="Times New Roman"/>
                      <w:color w:val="auto"/>
                      <w:sz w:val="21"/>
                      <w:szCs w:val="21"/>
                    </w:rPr>
                    <w:t>主体工程同时投产或使用</w:t>
                  </w:r>
                </w:p>
              </w:tc>
              <w:tc>
                <w:tcPr>
                  <w:tcW w:w="1004" w:type="dxa"/>
                  <w:noWrap w:val="0"/>
                  <w:vAlign w:val="center"/>
                </w:tcPr>
                <w:p w14:paraId="5F7F8BCF">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6ACF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3969" w:type="dxa"/>
                  <w:noWrap w:val="0"/>
                  <w:vAlign w:val="center"/>
                </w:tcPr>
                <w:p w14:paraId="6DC87649">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2</w:t>
                  </w:r>
                  <w:r>
                    <w:rPr>
                      <w:rFonts w:ascii="Times New Roman" w:hAnsi="宋体" w:cs="Times New Roman"/>
                      <w:color w:val="auto"/>
                      <w:sz w:val="21"/>
                      <w:szCs w:val="21"/>
                    </w:rPr>
                    <w:t>）污染物排放不符合国家和地方相关标准、环境影响报告书（表）及其审批部门审批决定或者重点污染物排放总量控制指标要求的</w:t>
                  </w:r>
                </w:p>
              </w:tc>
              <w:tc>
                <w:tcPr>
                  <w:tcW w:w="3866" w:type="dxa"/>
                  <w:noWrap w:val="0"/>
                  <w:vAlign w:val="center"/>
                </w:tcPr>
                <w:p w14:paraId="088766FD">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污染</w:t>
                  </w:r>
                  <w:r>
                    <w:rPr>
                      <w:rFonts w:hint="eastAsia" w:hAnsi="宋体" w:cs="Times New Roman"/>
                      <w:color w:val="auto"/>
                      <w:sz w:val="21"/>
                      <w:szCs w:val="21"/>
                      <w:lang w:eastAsia="zh-CN"/>
                    </w:rPr>
                    <w:t>物</w:t>
                  </w:r>
                  <w:r>
                    <w:rPr>
                      <w:rFonts w:ascii="Times New Roman" w:hAnsi="宋体" w:cs="Times New Roman"/>
                      <w:color w:val="auto"/>
                      <w:sz w:val="21"/>
                      <w:szCs w:val="21"/>
                    </w:rPr>
                    <w:t>排放符合国家和地方相关标准、环境影响报告书（表）及其审批部门审批决定或者重点污染物排放总量控制指标要求</w:t>
                  </w:r>
                </w:p>
              </w:tc>
              <w:tc>
                <w:tcPr>
                  <w:tcW w:w="1004" w:type="dxa"/>
                  <w:noWrap w:val="0"/>
                  <w:vAlign w:val="center"/>
                </w:tcPr>
                <w:p w14:paraId="766713FB">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1543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3969" w:type="dxa"/>
                  <w:noWrap w:val="0"/>
                  <w:vAlign w:val="center"/>
                </w:tcPr>
                <w:p w14:paraId="1FE0A213">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3</w:t>
                  </w:r>
                  <w:r>
                    <w:rPr>
                      <w:rFonts w:ascii="Times New Roman" w:hAnsi="宋体" w:cs="Times New Roman"/>
                      <w:color w:val="auto"/>
                      <w:sz w:val="21"/>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866" w:type="dxa"/>
                  <w:noWrap w:val="0"/>
                  <w:vAlign w:val="center"/>
                </w:tcPr>
                <w:p w14:paraId="05FF24FA">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根据《关于印发</w:t>
                  </w:r>
                  <w:r>
                    <w:rPr>
                      <w:rFonts w:ascii="Times New Roman" w:hAnsi="Times New Roman" w:cs="Times New Roman"/>
                      <w:color w:val="auto"/>
                      <w:sz w:val="21"/>
                      <w:szCs w:val="21"/>
                    </w:rPr>
                    <w:t>&lt;</w:t>
                  </w:r>
                  <w:r>
                    <w:rPr>
                      <w:rFonts w:ascii="Times New Roman" w:hAnsi="宋体" w:cs="Times New Roman"/>
                      <w:color w:val="auto"/>
                      <w:sz w:val="21"/>
                      <w:szCs w:val="21"/>
                    </w:rPr>
                    <w:t>污染影响类建设项目重大变动清单（试行）</w:t>
                  </w:r>
                  <w:r>
                    <w:rPr>
                      <w:rFonts w:ascii="Times New Roman" w:hAnsi="Times New Roman" w:cs="Times New Roman"/>
                      <w:color w:val="auto"/>
                      <w:sz w:val="21"/>
                      <w:szCs w:val="21"/>
                    </w:rPr>
                    <w:t>&gt;</w:t>
                  </w:r>
                  <w:r>
                    <w:rPr>
                      <w:rFonts w:ascii="Times New Roman" w:hAnsi="宋体" w:cs="Times New Roman"/>
                      <w:color w:val="auto"/>
                      <w:sz w:val="21"/>
                      <w:szCs w:val="21"/>
                    </w:rPr>
                    <w:t>的通知》（环办环评函〔</w:t>
                  </w:r>
                  <w:r>
                    <w:rPr>
                      <w:rFonts w:ascii="Times New Roman" w:hAnsi="Times New Roman" w:cs="Times New Roman"/>
                      <w:color w:val="auto"/>
                      <w:sz w:val="21"/>
                      <w:szCs w:val="21"/>
                    </w:rPr>
                    <w:t>2020</w:t>
                  </w:r>
                  <w:r>
                    <w:rPr>
                      <w:rFonts w:ascii="Times New Roman" w:hAnsi="宋体" w:cs="Times New Roman"/>
                      <w:color w:val="auto"/>
                      <w:sz w:val="21"/>
                      <w:szCs w:val="21"/>
                    </w:rPr>
                    <w:t>〕</w:t>
                  </w:r>
                  <w:r>
                    <w:rPr>
                      <w:rFonts w:ascii="Times New Roman" w:hAnsi="Times New Roman" w:cs="Times New Roman"/>
                      <w:color w:val="auto"/>
                      <w:sz w:val="21"/>
                      <w:szCs w:val="21"/>
                    </w:rPr>
                    <w:t>688</w:t>
                  </w:r>
                  <w:r>
                    <w:rPr>
                      <w:rFonts w:ascii="Times New Roman" w:hAnsi="宋体" w:cs="Times New Roman"/>
                      <w:color w:val="auto"/>
                      <w:sz w:val="21"/>
                      <w:szCs w:val="21"/>
                    </w:rPr>
                    <w:t>号），项目不涉及重大变动</w:t>
                  </w:r>
                </w:p>
              </w:tc>
              <w:tc>
                <w:tcPr>
                  <w:tcW w:w="1004" w:type="dxa"/>
                  <w:noWrap w:val="0"/>
                  <w:vAlign w:val="center"/>
                </w:tcPr>
                <w:p w14:paraId="0873F305">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47E8C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3969" w:type="dxa"/>
                  <w:noWrap w:val="0"/>
                  <w:vAlign w:val="center"/>
                </w:tcPr>
                <w:p w14:paraId="388C346A">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4</w:t>
                  </w:r>
                  <w:r>
                    <w:rPr>
                      <w:rFonts w:ascii="Times New Roman" w:hAnsi="宋体" w:cs="Times New Roman"/>
                      <w:color w:val="auto"/>
                      <w:sz w:val="21"/>
                      <w:szCs w:val="21"/>
                    </w:rPr>
                    <w:t>）建设过程中造成重大环境污染未治理完成，或者造成重大生态破坏未恢复的</w:t>
                  </w:r>
                </w:p>
              </w:tc>
              <w:tc>
                <w:tcPr>
                  <w:tcW w:w="3866" w:type="dxa"/>
                  <w:noWrap w:val="0"/>
                  <w:vAlign w:val="center"/>
                </w:tcPr>
                <w:p w14:paraId="72747EC8">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不涉及</w:t>
                  </w:r>
                </w:p>
              </w:tc>
              <w:tc>
                <w:tcPr>
                  <w:tcW w:w="1004" w:type="dxa"/>
                  <w:noWrap w:val="0"/>
                  <w:vAlign w:val="center"/>
                </w:tcPr>
                <w:p w14:paraId="54447CBA">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055C5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3969" w:type="dxa"/>
                  <w:noWrap w:val="0"/>
                  <w:vAlign w:val="center"/>
                </w:tcPr>
                <w:p w14:paraId="17A56C9F">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5</w:t>
                  </w:r>
                  <w:r>
                    <w:rPr>
                      <w:rFonts w:ascii="Times New Roman" w:hAnsi="宋体" w:cs="Times New Roman"/>
                      <w:color w:val="auto"/>
                      <w:sz w:val="21"/>
                      <w:szCs w:val="21"/>
                    </w:rPr>
                    <w:t>）纳入排污许可管理的建设项目，无证排污或者不按证排污的</w:t>
                  </w:r>
                </w:p>
              </w:tc>
              <w:tc>
                <w:tcPr>
                  <w:tcW w:w="3866" w:type="dxa"/>
                  <w:noWrap w:val="0"/>
                  <w:vAlign w:val="center"/>
                </w:tcPr>
                <w:p w14:paraId="27702392">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本项目依法进行排污许可登记，登记编号：</w:t>
                  </w:r>
                  <w:r>
                    <w:rPr>
                      <w:rFonts w:hint="default" w:ascii="Times New Roman" w:hAnsi="Times New Roman" w:eastAsia="MicrosoftYaHei" w:cs="Times New Roman"/>
                      <w:color w:val="auto"/>
                      <w:sz w:val="21"/>
                      <w:szCs w:val="21"/>
                    </w:rPr>
                    <w:t>91341523MA2NUU8R98001X</w:t>
                  </w:r>
                </w:p>
              </w:tc>
              <w:tc>
                <w:tcPr>
                  <w:tcW w:w="1004" w:type="dxa"/>
                  <w:noWrap w:val="0"/>
                  <w:vAlign w:val="center"/>
                </w:tcPr>
                <w:p w14:paraId="17B1BE88">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1335E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jc w:val="center"/>
              </w:trPr>
              <w:tc>
                <w:tcPr>
                  <w:tcW w:w="3969" w:type="dxa"/>
                  <w:noWrap w:val="0"/>
                  <w:vAlign w:val="center"/>
                </w:tcPr>
                <w:p w14:paraId="72E4B981">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6</w:t>
                  </w:r>
                  <w:r>
                    <w:rPr>
                      <w:rFonts w:ascii="Times New Roman" w:hAnsi="宋体" w:cs="Times New Roman"/>
                      <w:color w:val="auto"/>
                      <w:sz w:val="21"/>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3866" w:type="dxa"/>
                  <w:noWrap w:val="0"/>
                  <w:vAlign w:val="center"/>
                </w:tcPr>
                <w:p w14:paraId="481FF886">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hint="eastAsia" w:ascii="Times New Roman" w:hAnsi="Times New Roman" w:eastAsia="宋体" w:cs="Times New Roman"/>
                      <w:color w:val="auto"/>
                      <w:sz w:val="21"/>
                      <w:szCs w:val="21"/>
                      <w:lang w:eastAsia="zh-CN"/>
                    </w:rPr>
                  </w:pPr>
                  <w:r>
                    <w:rPr>
                      <w:rFonts w:hint="eastAsia" w:ascii="Times New Roman" w:hAnsi="宋体" w:cs="Times New Roman"/>
                      <w:color w:val="auto"/>
                      <w:sz w:val="21"/>
                      <w:szCs w:val="21"/>
                      <w:highlight w:val="none"/>
                      <w:lang w:eastAsia="zh-CN"/>
                    </w:rPr>
                    <w:t>相关</w:t>
                  </w:r>
                  <w:r>
                    <w:rPr>
                      <w:rFonts w:ascii="Times New Roman" w:hAnsi="宋体" w:cs="Times New Roman"/>
                      <w:color w:val="auto"/>
                      <w:sz w:val="21"/>
                      <w:szCs w:val="21"/>
                      <w:highlight w:val="none"/>
                    </w:rPr>
                    <w:t>环保设施</w:t>
                  </w:r>
                  <w:r>
                    <w:rPr>
                      <w:rFonts w:hint="eastAsia" w:ascii="Times New Roman" w:hAnsi="宋体" w:cs="Times New Roman"/>
                      <w:color w:val="auto"/>
                      <w:sz w:val="21"/>
                      <w:szCs w:val="21"/>
                      <w:highlight w:val="none"/>
                      <w:lang w:eastAsia="zh-CN"/>
                    </w:rPr>
                    <w:t>已建设完成</w:t>
                  </w:r>
                </w:p>
              </w:tc>
              <w:tc>
                <w:tcPr>
                  <w:tcW w:w="1004" w:type="dxa"/>
                  <w:noWrap w:val="0"/>
                  <w:vAlign w:val="center"/>
                </w:tcPr>
                <w:p w14:paraId="7F6F668E">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0D0E4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3969" w:type="dxa"/>
                  <w:noWrap w:val="0"/>
                  <w:vAlign w:val="center"/>
                </w:tcPr>
                <w:p w14:paraId="2227773E">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7</w:t>
                  </w:r>
                  <w:r>
                    <w:rPr>
                      <w:rFonts w:ascii="Times New Roman" w:hAnsi="宋体" w:cs="Times New Roman"/>
                      <w:color w:val="auto"/>
                      <w:sz w:val="21"/>
                      <w:szCs w:val="21"/>
                    </w:rPr>
                    <w:t>））建设单位因该建设项目违反国家和地方环境保护法律法规受到处罚，被责令改正，尚未改正完成的</w:t>
                  </w:r>
                </w:p>
              </w:tc>
              <w:tc>
                <w:tcPr>
                  <w:tcW w:w="3866" w:type="dxa"/>
                  <w:noWrap w:val="0"/>
                  <w:vAlign w:val="center"/>
                </w:tcPr>
                <w:p w14:paraId="6DE5E8B0">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不涉及</w:t>
                  </w:r>
                </w:p>
              </w:tc>
              <w:tc>
                <w:tcPr>
                  <w:tcW w:w="1004" w:type="dxa"/>
                  <w:noWrap w:val="0"/>
                  <w:vAlign w:val="center"/>
                </w:tcPr>
                <w:p w14:paraId="4E56FC27">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4C2ED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3969" w:type="dxa"/>
                  <w:noWrap w:val="0"/>
                  <w:vAlign w:val="center"/>
                </w:tcPr>
                <w:p w14:paraId="01A385AA">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8</w:t>
                  </w:r>
                  <w:r>
                    <w:rPr>
                      <w:rFonts w:ascii="Times New Roman" w:hAnsi="宋体" w:cs="Times New Roman"/>
                      <w:color w:val="auto"/>
                      <w:sz w:val="21"/>
                      <w:szCs w:val="21"/>
                    </w:rPr>
                    <w:t>）验收报告的基础资料数据明显不实，内容存在重大缺项、遗漏，或者验收结论不明确、不合理的</w:t>
                  </w:r>
                </w:p>
              </w:tc>
              <w:tc>
                <w:tcPr>
                  <w:tcW w:w="3866" w:type="dxa"/>
                  <w:noWrap w:val="0"/>
                  <w:vAlign w:val="center"/>
                </w:tcPr>
                <w:p w14:paraId="35159938">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验收报告基础资料、监测数据真实，无重大缺项、遗漏，结论明确</w:t>
                  </w:r>
                </w:p>
              </w:tc>
              <w:tc>
                <w:tcPr>
                  <w:tcW w:w="1004" w:type="dxa"/>
                  <w:noWrap w:val="0"/>
                  <w:vAlign w:val="center"/>
                </w:tcPr>
                <w:p w14:paraId="503D9ED7">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55A31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3969" w:type="dxa"/>
                  <w:noWrap w:val="0"/>
                  <w:vAlign w:val="center"/>
                </w:tcPr>
                <w:p w14:paraId="4849FFB2">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9</w:t>
                  </w:r>
                  <w:r>
                    <w:rPr>
                      <w:rFonts w:ascii="Times New Roman" w:hAnsi="宋体" w:cs="Times New Roman"/>
                      <w:color w:val="auto"/>
                      <w:sz w:val="21"/>
                      <w:szCs w:val="21"/>
                    </w:rPr>
                    <w:t>）其他环境保护法律法规规章等规定不得通过环境保护验收的</w:t>
                  </w:r>
                </w:p>
              </w:tc>
              <w:tc>
                <w:tcPr>
                  <w:tcW w:w="3866" w:type="dxa"/>
                  <w:noWrap w:val="0"/>
                  <w:vAlign w:val="center"/>
                </w:tcPr>
                <w:p w14:paraId="3F4F57A7">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不涉及</w:t>
                  </w:r>
                </w:p>
              </w:tc>
              <w:tc>
                <w:tcPr>
                  <w:tcW w:w="1004" w:type="dxa"/>
                  <w:noWrap w:val="0"/>
                  <w:vAlign w:val="center"/>
                </w:tcPr>
                <w:p w14:paraId="4ECE1ED5">
                  <w:pPr>
                    <w:keepNext w:val="0"/>
                    <w:keepLines w:val="0"/>
                    <w:pageBreakBefore w:val="0"/>
                    <w:widowControl w:val="0"/>
                    <w:tabs>
                      <w:tab w:val="left" w:pos="1540"/>
                    </w:tabs>
                    <w:kinsoku/>
                    <w:wordWrap/>
                    <w:overflowPunct/>
                    <w:topLinePunct w:val="0"/>
                    <w:autoSpaceDE/>
                    <w:autoSpaceDN/>
                    <w:bidi w:val="0"/>
                    <w:adjustRightInd w:val="0"/>
                    <w:snapToGrid w:val="0"/>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bl>
          <w:p w14:paraId="117E9AEA">
            <w:pPr>
              <w:keepNext w:val="0"/>
              <w:keepLines w:val="0"/>
              <w:pageBreakBefore w:val="0"/>
              <w:widowControl/>
              <w:numPr>
                <w:ilvl w:val="0"/>
                <w:numId w:val="0"/>
              </w:numPr>
              <w:kinsoku/>
              <w:wordWrap/>
              <w:overflowPunct/>
              <w:topLinePunct w:val="0"/>
              <w:autoSpaceDE/>
              <w:autoSpaceDN/>
              <w:bidi w:val="0"/>
              <w:adjustRightInd w:val="0"/>
              <w:snapToGrid w:val="0"/>
              <w:textAlignment w:val="auto"/>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b/>
                <w:bCs/>
                <w:color w:val="auto"/>
                <w:sz w:val="24"/>
                <w:szCs w:val="24"/>
                <w:lang w:val="en-US" w:eastAsia="zh-CN" w:bidi="ar-SA"/>
              </w:rPr>
              <w:t>2、</w:t>
            </w:r>
            <w:r>
              <w:rPr>
                <w:rFonts w:hint="eastAsia"/>
                <w:b/>
                <w:bCs/>
                <w:color w:val="auto"/>
                <w:lang w:val="en-US" w:eastAsia="zh-CN"/>
              </w:rPr>
              <w:t>建设项目基本情况</w:t>
            </w:r>
          </w:p>
          <w:p w14:paraId="5283679F">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color w:val="auto"/>
                <w:lang w:val="en-US" w:eastAsia="zh-CN"/>
              </w:rPr>
            </w:pPr>
            <w:r>
              <w:rPr>
                <w:rFonts w:hint="eastAsia" w:ascii="Times New Roman" w:hAnsi="Times New Roman" w:eastAsia="宋体" w:cs="Times New Roman"/>
                <w:color w:val="auto"/>
                <w:szCs w:val="24"/>
                <w:lang w:val="en-US" w:eastAsia="zh-CN" w:bidi="ar-SA"/>
              </w:rPr>
              <w:t>（1</w:t>
            </w:r>
            <w:r>
              <w:rPr>
                <w:rFonts w:hint="eastAsia"/>
                <w:color w:val="auto"/>
                <w:lang w:val="en-US" w:eastAsia="zh-CN"/>
              </w:rPr>
              <w:t>）建设单位</w:t>
            </w:r>
          </w:p>
          <w:p w14:paraId="281464F0">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cs="Times New Roman" w:eastAsiaTheme="majorEastAsia"/>
                <w:color w:val="auto"/>
                <w:spacing w:val="0"/>
                <w:w w:val="100"/>
                <w:sz w:val="24"/>
                <w:szCs w:val="24"/>
                <w:lang w:val="en-US" w:eastAsia="zh-CN"/>
              </w:rPr>
            </w:pPr>
            <w:r>
              <w:rPr>
                <w:rFonts w:hint="eastAsia" w:cs="Times New Roman" w:eastAsiaTheme="majorEastAsia"/>
                <w:color w:val="auto"/>
                <w:spacing w:val="0"/>
                <w:w w:val="100"/>
                <w:sz w:val="24"/>
                <w:szCs w:val="24"/>
                <w:lang w:val="en-US" w:eastAsia="zh-CN"/>
              </w:rPr>
              <w:t>舒城润昇门业有限公司</w:t>
            </w:r>
          </w:p>
          <w:p w14:paraId="51D4CC96">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color w:val="auto"/>
                <w:lang w:val="en-US" w:eastAsia="zh-CN"/>
              </w:rPr>
            </w:pPr>
            <w:r>
              <w:rPr>
                <w:rFonts w:hint="eastAsia"/>
                <w:color w:val="auto"/>
                <w:lang w:val="en-US" w:eastAsia="zh-CN"/>
              </w:rPr>
              <w:t>（2）项目名称</w:t>
            </w:r>
          </w:p>
          <w:p w14:paraId="54F66F32">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color w:val="auto"/>
                <w:lang w:val="en-US" w:eastAsia="zh-CN"/>
              </w:rPr>
            </w:pPr>
            <w:r>
              <w:rPr>
                <w:rFonts w:hint="eastAsia" w:cs="Times New Roman" w:eastAsiaTheme="majorEastAsia"/>
                <w:color w:val="auto"/>
                <w:spacing w:val="0"/>
                <w:w w:val="100"/>
                <w:sz w:val="24"/>
                <w:szCs w:val="24"/>
                <w:lang w:val="en-US" w:eastAsia="zh-CN"/>
              </w:rPr>
              <w:t>钢制非标门加工制造项目</w:t>
            </w:r>
          </w:p>
          <w:p w14:paraId="725DDB03">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color w:val="auto"/>
                <w:lang w:val="en-US" w:eastAsia="zh-CN"/>
              </w:rPr>
            </w:pPr>
            <w:r>
              <w:rPr>
                <w:rFonts w:hint="eastAsia"/>
                <w:color w:val="auto"/>
                <w:lang w:val="en-US" w:eastAsia="zh-CN"/>
              </w:rPr>
              <w:t>（3）投资总额</w:t>
            </w:r>
          </w:p>
          <w:p w14:paraId="24E0E088">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color w:val="auto"/>
                <w:lang w:val="en-US" w:eastAsia="zh-CN"/>
              </w:rPr>
            </w:pPr>
            <w:r>
              <w:rPr>
                <w:rFonts w:hint="eastAsia"/>
                <w:color w:val="auto"/>
                <w:lang w:val="en-US" w:eastAsia="zh-CN"/>
              </w:rPr>
              <w:t>环评申报总投资1100万元，环保投资80万元；</w:t>
            </w:r>
          </w:p>
          <w:p w14:paraId="60BC1114">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default"/>
                <w:color w:val="auto"/>
                <w:lang w:val="en-US" w:eastAsia="zh-CN"/>
              </w:rPr>
            </w:pPr>
            <w:r>
              <w:rPr>
                <w:rFonts w:hint="eastAsia"/>
                <w:color w:val="auto"/>
                <w:lang w:val="en-US" w:eastAsia="zh-CN"/>
              </w:rPr>
              <w:t>实际总投资998万元，环保投资55万元，环保投资占比5.5%；</w:t>
            </w:r>
          </w:p>
          <w:p w14:paraId="0845036D">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lang w:val="en-US" w:eastAsia="zh-CN"/>
              </w:rPr>
            </w:pPr>
            <w:r>
              <w:rPr>
                <w:rFonts w:hint="eastAsia"/>
                <w:color w:val="auto"/>
                <w:lang w:val="en-US" w:eastAsia="zh-CN"/>
              </w:rPr>
              <w:t>（</w:t>
            </w:r>
            <w:r>
              <w:rPr>
                <w:rFonts w:hint="default" w:ascii="Times New Roman" w:hAnsi="Times New Roman" w:cs="Times New Roman"/>
                <w:color w:val="auto"/>
                <w:lang w:val="en-US" w:eastAsia="zh-CN"/>
              </w:rPr>
              <w:t>4）建设地点</w:t>
            </w:r>
          </w:p>
          <w:p w14:paraId="5BFC86AA">
            <w:pPr>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安徽省六安市舒城县安徽舒城经济开发区纬三路万德产业园3号楼D座</w:t>
            </w:r>
            <w:r>
              <w:rPr>
                <w:rFonts w:hint="eastAsia"/>
                <w:color w:val="auto"/>
                <w:sz w:val="24"/>
                <w:lang w:val="en-US" w:eastAsia="zh-CN"/>
              </w:rPr>
              <w:t>1~3F及5号楼1F；</w:t>
            </w:r>
          </w:p>
          <w:p w14:paraId="331D83E4">
            <w:pPr>
              <w:adjustRightInd w:val="0"/>
              <w:snapToGrid w:val="0"/>
              <w:spacing w:line="360" w:lineRule="auto"/>
              <w:ind w:firstLine="480" w:firstLineChars="200"/>
              <w:jc w:val="left"/>
              <w:rPr>
                <w:rFonts w:hint="default" w:ascii="Times New Roman" w:hAnsi="Times New Roman" w:cs="Times New Roman"/>
                <w:b/>
                <w:bCs/>
                <w:color w:val="auto"/>
                <w:sz w:val="24"/>
              </w:rPr>
            </w:pPr>
            <w:r>
              <w:rPr>
                <w:rFonts w:hint="eastAsia"/>
                <w:color w:val="auto"/>
                <w:lang w:val="en-US" w:eastAsia="zh-CN"/>
              </w:rPr>
              <w:t>（</w:t>
            </w:r>
            <w:r>
              <w:rPr>
                <w:rFonts w:hint="eastAsia" w:cs="Times New Roman"/>
                <w:color w:val="auto"/>
                <w:lang w:val="en-US" w:eastAsia="zh-CN"/>
              </w:rPr>
              <w:t>5</w:t>
            </w:r>
            <w:r>
              <w:rPr>
                <w:rFonts w:hint="default" w:ascii="Times New Roman" w:hAnsi="Times New Roman" w:cs="Times New Roman"/>
                <w:color w:val="auto"/>
                <w:lang w:val="en-US" w:eastAsia="zh-CN"/>
              </w:rPr>
              <w:t>）</w:t>
            </w:r>
            <w:r>
              <w:rPr>
                <w:rFonts w:hint="default" w:ascii="Times New Roman" w:hAnsi="Times New Roman" w:cs="Times New Roman"/>
                <w:b w:val="0"/>
                <w:bCs w:val="0"/>
                <w:color w:val="auto"/>
                <w:sz w:val="24"/>
              </w:rPr>
              <w:t>劳动</w:t>
            </w:r>
            <w:r>
              <w:rPr>
                <w:rFonts w:hint="default" w:ascii="Times New Roman" w:hAnsi="Times New Roman" w:cs="Times New Roman"/>
                <w:b w:val="0"/>
                <w:bCs w:val="0"/>
                <w:color w:val="auto"/>
                <w:sz w:val="24"/>
                <w:lang w:eastAsia="zh-CN"/>
              </w:rPr>
              <w:t>定</w:t>
            </w:r>
            <w:r>
              <w:rPr>
                <w:rFonts w:hint="default" w:ascii="Times New Roman" w:hAnsi="Times New Roman" w:cs="Times New Roman"/>
                <w:b w:val="0"/>
                <w:bCs w:val="0"/>
                <w:color w:val="auto"/>
                <w:sz w:val="24"/>
              </w:rPr>
              <w:t>员及工作制度</w:t>
            </w:r>
          </w:p>
          <w:p w14:paraId="3B661C67">
            <w:pPr>
              <w:spacing w:line="360" w:lineRule="auto"/>
              <w:ind w:firstLine="480" w:firstLineChars="200"/>
              <w:rPr>
                <w:color w:val="auto"/>
              </w:rPr>
            </w:pPr>
            <w:r>
              <w:rPr>
                <w:rFonts w:hint="default" w:ascii="Times New Roman" w:hAnsi="Times New Roman" w:cs="Times New Roman"/>
                <w:bCs/>
                <w:color w:val="auto"/>
                <w:sz w:val="24"/>
              </w:rPr>
              <w:t>劳动定</w:t>
            </w:r>
            <w:r>
              <w:rPr>
                <w:rFonts w:hint="eastAsia"/>
                <w:bCs/>
                <w:color w:val="auto"/>
                <w:sz w:val="24"/>
              </w:rPr>
              <w:t>员16人，单班制，每班工作8小时，年工作300天，设食堂不设住宿。</w:t>
            </w:r>
          </w:p>
          <w:p w14:paraId="15ED398A">
            <w:pPr>
              <w:bidi w:val="0"/>
              <w:rPr>
                <w:rFonts w:hint="eastAsia"/>
                <w:b/>
                <w:bCs/>
                <w:color w:val="auto"/>
                <w:lang w:val="en-US" w:eastAsia="zh-CN"/>
              </w:rPr>
            </w:pPr>
            <w:r>
              <w:rPr>
                <w:rFonts w:hint="eastAsia"/>
                <w:b/>
                <w:bCs/>
                <w:color w:val="auto"/>
                <w:lang w:val="en-US" w:eastAsia="zh-CN"/>
              </w:rPr>
              <w:t>3、工程建设内容</w:t>
            </w:r>
          </w:p>
          <w:p w14:paraId="77616B29">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default" w:cs="Times New Roman" w:eastAsiaTheme="majorEastAsia"/>
                <w:color w:val="auto"/>
                <w:spacing w:val="0"/>
                <w:w w:val="100"/>
                <w:sz w:val="24"/>
                <w:szCs w:val="24"/>
                <w:lang w:val="en-US" w:eastAsia="zh-CN"/>
              </w:rPr>
            </w:pPr>
            <w:r>
              <w:rPr>
                <w:rFonts w:hint="eastAsia"/>
                <w:color w:val="auto"/>
                <w:lang w:val="en-US" w:eastAsia="zh-CN"/>
              </w:rPr>
              <w:t>环评申报内容：</w:t>
            </w:r>
            <w:r>
              <w:rPr>
                <w:rFonts w:hint="eastAsia" w:cs="Times New Roman" w:eastAsiaTheme="majorEastAsia"/>
                <w:color w:val="auto"/>
                <w:spacing w:val="0"/>
                <w:w w:val="100"/>
                <w:sz w:val="24"/>
                <w:szCs w:val="24"/>
                <w:lang w:val="en-US" w:eastAsia="zh-CN"/>
              </w:rPr>
              <w:t>舒城润昇门业有限公司租赁万德产业园3号楼</w:t>
            </w:r>
            <w:r>
              <w:rPr>
                <w:rFonts w:hint="eastAsia"/>
                <w:color w:val="auto"/>
                <w:kern w:val="0"/>
                <w:sz w:val="24"/>
              </w:rPr>
              <w:t>，租赁建筑面积约4050m</w:t>
            </w:r>
            <w:r>
              <w:rPr>
                <w:rFonts w:hint="eastAsia"/>
                <w:color w:val="auto"/>
                <w:kern w:val="0"/>
                <w:sz w:val="24"/>
                <w:vertAlign w:val="superscript"/>
              </w:rPr>
              <w:t>2</w:t>
            </w:r>
            <w:r>
              <w:rPr>
                <w:rFonts w:hint="eastAsia"/>
                <w:color w:val="auto"/>
                <w:kern w:val="0"/>
                <w:sz w:val="24"/>
              </w:rPr>
              <w:t>，</w:t>
            </w:r>
            <w:r>
              <w:rPr>
                <w:rFonts w:hint="eastAsia"/>
                <w:color w:val="auto"/>
                <w:kern w:val="0"/>
                <w:sz w:val="24"/>
                <w:lang w:eastAsia="zh-CN"/>
              </w:rPr>
              <w:t>建设</w:t>
            </w:r>
            <w:r>
              <w:rPr>
                <w:rFonts w:hint="eastAsia"/>
                <w:color w:val="auto"/>
                <w:kern w:val="0"/>
                <w:sz w:val="24"/>
              </w:rPr>
              <w:t>机加工</w:t>
            </w:r>
            <w:r>
              <w:rPr>
                <w:rFonts w:hint="eastAsia"/>
                <w:color w:val="auto"/>
                <w:kern w:val="0"/>
                <w:sz w:val="24"/>
                <w:lang w:eastAsia="zh-CN"/>
              </w:rPr>
              <w:t>区</w:t>
            </w:r>
            <w:r>
              <w:rPr>
                <w:rFonts w:hint="eastAsia"/>
                <w:color w:val="auto"/>
                <w:kern w:val="0"/>
                <w:sz w:val="24"/>
              </w:rPr>
              <w:t>、表面涂装加工</w:t>
            </w:r>
            <w:r>
              <w:rPr>
                <w:rFonts w:hint="eastAsia"/>
                <w:color w:val="auto"/>
                <w:kern w:val="0"/>
                <w:sz w:val="24"/>
                <w:lang w:eastAsia="zh-CN"/>
              </w:rPr>
              <w:t>区</w:t>
            </w:r>
            <w:r>
              <w:rPr>
                <w:rFonts w:hint="eastAsia"/>
                <w:color w:val="auto"/>
                <w:kern w:val="0"/>
                <w:sz w:val="24"/>
              </w:rPr>
              <w:t>，</w:t>
            </w:r>
            <w:r>
              <w:rPr>
                <w:rFonts w:hint="eastAsia"/>
                <w:color w:val="auto"/>
                <w:kern w:val="0"/>
                <w:sz w:val="24"/>
                <w:lang w:eastAsia="zh-CN"/>
              </w:rPr>
              <w:t>并</w:t>
            </w:r>
            <w:r>
              <w:rPr>
                <w:rFonts w:hint="eastAsia"/>
                <w:color w:val="auto"/>
                <w:kern w:val="0"/>
                <w:sz w:val="24"/>
              </w:rPr>
              <w:t>购置剪板机、折弯机、电焊机等机加工设备；</w:t>
            </w:r>
            <w:r>
              <w:rPr>
                <w:rFonts w:hint="eastAsia"/>
                <w:color w:val="auto"/>
                <w:kern w:val="0"/>
                <w:sz w:val="24"/>
                <w:lang w:eastAsia="zh-CN"/>
              </w:rPr>
              <w:t>设置</w:t>
            </w:r>
            <w:r>
              <w:rPr>
                <w:rFonts w:hint="eastAsia"/>
                <w:color w:val="auto"/>
                <w:kern w:val="0"/>
                <w:sz w:val="24"/>
              </w:rPr>
              <w:t>脱脂池、表调池、磷化池等表面处理设施；涂装加工区配套烘干供热装置</w:t>
            </w:r>
            <w:r>
              <w:rPr>
                <w:rFonts w:hint="eastAsia"/>
                <w:color w:val="auto"/>
                <w:kern w:val="0"/>
                <w:sz w:val="24"/>
                <w:lang w:val="zh-CN"/>
              </w:rPr>
              <w:t>。建成后</w:t>
            </w:r>
            <w:r>
              <w:rPr>
                <w:color w:val="auto"/>
                <w:kern w:val="0"/>
                <w:sz w:val="24"/>
                <w:lang w:val="zh-CN"/>
              </w:rPr>
              <w:t>可</w:t>
            </w:r>
            <w:r>
              <w:rPr>
                <w:rFonts w:hint="eastAsia"/>
                <w:color w:val="auto"/>
                <w:kern w:val="0"/>
                <w:sz w:val="24"/>
                <w:lang w:val="zh-CN"/>
              </w:rPr>
              <w:t>实现</w:t>
            </w:r>
            <w:r>
              <w:rPr>
                <w:color w:val="auto"/>
                <w:kern w:val="0"/>
                <w:sz w:val="24"/>
                <w:lang w:val="zh-CN"/>
              </w:rPr>
              <w:t>年产</w:t>
            </w:r>
            <w:r>
              <w:rPr>
                <w:rFonts w:hint="eastAsia"/>
                <w:color w:val="auto"/>
                <w:kern w:val="0"/>
                <w:sz w:val="24"/>
              </w:rPr>
              <w:t>10000樘</w:t>
            </w:r>
            <w:r>
              <w:rPr>
                <w:rFonts w:hint="eastAsia" w:eastAsia="新宋体"/>
                <w:color w:val="auto"/>
                <w:kern w:val="0"/>
                <w:sz w:val="24"/>
              </w:rPr>
              <w:t>钢制非标门</w:t>
            </w:r>
            <w:r>
              <w:rPr>
                <w:color w:val="auto"/>
                <w:kern w:val="0"/>
                <w:sz w:val="24"/>
                <w:lang w:val="zh-CN"/>
              </w:rPr>
              <w:t>的生产能力。</w:t>
            </w:r>
          </w:p>
          <w:p w14:paraId="04C2FEC7">
            <w:pPr>
              <w:spacing w:line="360" w:lineRule="auto"/>
              <w:ind w:firstLine="480" w:firstLineChars="200"/>
              <w:rPr>
                <w:rFonts w:ascii="Times New Roman" w:hAnsi="Times New Roman"/>
                <w:b/>
                <w:color w:val="auto"/>
                <w:sz w:val="24"/>
              </w:rPr>
            </w:pPr>
            <w:r>
              <w:rPr>
                <w:rFonts w:hint="eastAsia"/>
                <w:bCs/>
                <w:color w:val="auto"/>
                <w:sz w:val="24"/>
                <w:lang w:eastAsia="zh-CN"/>
              </w:rPr>
              <w:t>本项目实际租赁的万德产业园</w:t>
            </w:r>
            <w:r>
              <w:rPr>
                <w:rFonts w:hint="eastAsia"/>
                <w:bCs/>
                <w:color w:val="auto"/>
                <w:sz w:val="24"/>
                <w:lang w:val="en-US" w:eastAsia="zh-CN"/>
              </w:rPr>
              <w:t>3#楼1~3F及5#楼1F，租赁面积约5000</w:t>
            </w:r>
            <w:r>
              <w:rPr>
                <w:rFonts w:hint="eastAsia"/>
                <w:color w:val="auto"/>
                <w:kern w:val="0"/>
                <w:sz w:val="24"/>
              </w:rPr>
              <w:t>m</w:t>
            </w:r>
            <w:r>
              <w:rPr>
                <w:rFonts w:hint="eastAsia"/>
                <w:color w:val="auto"/>
                <w:kern w:val="0"/>
                <w:sz w:val="24"/>
                <w:vertAlign w:val="superscript"/>
              </w:rPr>
              <w:t>2</w:t>
            </w:r>
            <w:r>
              <w:rPr>
                <w:rFonts w:hint="eastAsia"/>
                <w:bCs/>
                <w:color w:val="auto"/>
                <w:sz w:val="24"/>
                <w:lang w:val="en-US" w:eastAsia="zh-CN"/>
              </w:rPr>
              <w:t>，实际建设生产过程中，由于设备占地较大及产品规格，原租赁3#楼1~3层不足以满足设备安装需求，因此另租赁5#楼1层西侧第二间厂房作为机加工区，厂房与3#楼隔路且实际距离小于10m，3#楼1层为表面处理区、涂装加工区、污水处理站及危废库等，2层为成品仓库，3层为食堂及办公区域，</w:t>
            </w:r>
            <w:r>
              <w:rPr>
                <w:rFonts w:ascii="Times New Roman" w:hAnsi="Times New Roman"/>
                <w:bCs/>
                <w:color w:val="auto"/>
                <w:sz w:val="24"/>
              </w:rPr>
              <w:t>环评申报工程内容与实际建设工程对照见下表2</w:t>
            </w:r>
            <w:r>
              <w:rPr>
                <w:rFonts w:hint="eastAsia" w:ascii="Times New Roman" w:hAnsi="Times New Roman"/>
                <w:bCs/>
                <w:color w:val="auto"/>
                <w:sz w:val="24"/>
                <w:lang w:val="en-US" w:eastAsia="zh-CN"/>
              </w:rPr>
              <w:t>-2</w:t>
            </w:r>
            <w:r>
              <w:rPr>
                <w:rFonts w:hint="eastAsia" w:ascii="Times New Roman" w:hAnsi="Times New Roman"/>
                <w:bCs/>
                <w:color w:val="auto"/>
                <w:sz w:val="24"/>
              </w:rPr>
              <w:t>。</w:t>
            </w:r>
          </w:p>
          <w:p w14:paraId="6FE14ECA">
            <w:pPr>
              <w:bidi w:val="0"/>
              <w:spacing w:line="240" w:lineRule="auto"/>
              <w:jc w:val="center"/>
              <w:rPr>
                <w:rFonts w:hint="eastAsia" w:ascii="Times New Roman" w:hAnsi="Times New Roman"/>
                <w:b/>
                <w:bCs/>
                <w:color w:val="auto"/>
                <w:sz w:val="24"/>
                <w:szCs w:val="24"/>
                <w:lang w:eastAsia="zh-CN"/>
              </w:rPr>
            </w:pPr>
            <w:r>
              <w:rPr>
                <w:rFonts w:hint="eastAsia"/>
                <w:b/>
                <w:bCs/>
                <w:color w:val="auto"/>
                <w:sz w:val="24"/>
                <w:szCs w:val="24"/>
                <w:lang w:val="en-US" w:eastAsia="zh-CN"/>
              </w:rPr>
              <w:t xml:space="preserve">表2-2  </w:t>
            </w:r>
            <w:r>
              <w:rPr>
                <w:rFonts w:ascii="Times New Roman" w:hAnsi="Times New Roman"/>
                <w:b/>
                <w:bCs/>
                <w:color w:val="auto"/>
                <w:sz w:val="24"/>
                <w:szCs w:val="24"/>
              </w:rPr>
              <w:t>环评申报工程内容与实际建设工程对照</w:t>
            </w:r>
            <w:r>
              <w:rPr>
                <w:rFonts w:hint="eastAsia" w:ascii="Times New Roman" w:hAnsi="Times New Roman"/>
                <w:b/>
                <w:bCs/>
                <w:color w:val="auto"/>
                <w:sz w:val="24"/>
                <w:szCs w:val="24"/>
                <w:lang w:eastAsia="zh-CN"/>
              </w:rPr>
              <w:t>表</w:t>
            </w:r>
          </w:p>
          <w:tbl>
            <w:tblPr>
              <w:tblStyle w:val="20"/>
              <w:tblW w:w="8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647"/>
              <w:gridCol w:w="805"/>
              <w:gridCol w:w="1021"/>
              <w:gridCol w:w="2606"/>
              <w:gridCol w:w="703"/>
              <w:gridCol w:w="2956"/>
            </w:tblGrid>
            <w:tr w14:paraId="18CCB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5" w:hRule="atLeast"/>
              </w:trPr>
              <w:tc>
                <w:tcPr>
                  <w:tcW w:w="647" w:type="dxa"/>
                  <w:vAlign w:val="center"/>
                </w:tcPr>
                <w:p w14:paraId="6307647A">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bCs/>
                      <w:color w:val="auto"/>
                      <w:lang w:val="en-US" w:eastAsia="zh-CN"/>
                    </w:rPr>
                  </w:pPr>
                  <w:r>
                    <w:rPr>
                      <w:rFonts w:hint="eastAsia"/>
                      <w:b/>
                      <w:bCs/>
                      <w:color w:val="auto"/>
                      <w:lang w:val="en-US" w:eastAsia="zh-CN"/>
                    </w:rPr>
                    <w:t>工程名称</w:t>
                  </w:r>
                </w:p>
              </w:tc>
              <w:tc>
                <w:tcPr>
                  <w:tcW w:w="805" w:type="dxa"/>
                  <w:vAlign w:val="center"/>
                </w:tcPr>
                <w:p w14:paraId="55FAB1CF">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bCs/>
                      <w:color w:val="auto"/>
                      <w:lang w:val="en-US" w:eastAsia="zh-CN"/>
                    </w:rPr>
                  </w:pPr>
                  <w:r>
                    <w:rPr>
                      <w:rFonts w:hint="eastAsia"/>
                      <w:b/>
                      <w:bCs/>
                      <w:color w:val="auto"/>
                      <w:lang w:val="en-US" w:eastAsia="zh-CN"/>
                    </w:rPr>
                    <w:t>单项工程名称</w:t>
                  </w:r>
                </w:p>
              </w:tc>
              <w:tc>
                <w:tcPr>
                  <w:tcW w:w="4330" w:type="dxa"/>
                  <w:gridSpan w:val="3"/>
                  <w:vAlign w:val="center"/>
                </w:tcPr>
                <w:p w14:paraId="3DE7B1DC">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bCs/>
                      <w:color w:val="auto"/>
                      <w:lang w:val="en-US" w:eastAsia="zh-CN"/>
                    </w:rPr>
                  </w:pPr>
                  <w:r>
                    <w:rPr>
                      <w:rFonts w:hint="default"/>
                      <w:b/>
                      <w:bCs/>
                      <w:color w:val="auto"/>
                    </w:rPr>
                    <w:t>环评申报工程内容及规模</w:t>
                  </w:r>
                </w:p>
              </w:tc>
              <w:tc>
                <w:tcPr>
                  <w:tcW w:w="2956" w:type="dxa"/>
                  <w:vAlign w:val="center"/>
                </w:tcPr>
                <w:p w14:paraId="7D0A9970">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b/>
                      <w:bCs/>
                      <w:color w:val="auto"/>
                      <w:lang w:val="en-US" w:eastAsia="zh-CN"/>
                    </w:rPr>
                  </w:pPr>
                  <w:r>
                    <w:rPr>
                      <w:rFonts w:hint="eastAsia"/>
                      <w:b/>
                      <w:bCs/>
                      <w:color w:val="auto"/>
                      <w:lang w:val="en-US" w:eastAsia="zh-CN"/>
                    </w:rPr>
                    <w:t>建设内容工程与规模</w:t>
                  </w:r>
                </w:p>
              </w:tc>
            </w:tr>
            <w:tr w14:paraId="69710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97" w:hRule="atLeast"/>
              </w:trPr>
              <w:tc>
                <w:tcPr>
                  <w:tcW w:w="647" w:type="dxa"/>
                  <w:vMerge w:val="restart"/>
                  <w:vAlign w:val="center"/>
                </w:tcPr>
                <w:p w14:paraId="7B065CC5">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主体工程</w:t>
                  </w:r>
                </w:p>
              </w:tc>
              <w:tc>
                <w:tcPr>
                  <w:tcW w:w="805" w:type="dxa"/>
                  <w:vAlign w:val="center"/>
                </w:tcPr>
                <w:p w14:paraId="70300D31">
                  <w:pPr>
                    <w:widowControl w:val="0"/>
                    <w:spacing w:line="240" w:lineRule="auto"/>
                    <w:jc w:val="center"/>
                    <w:rPr>
                      <w:rFonts w:hint="eastAsia"/>
                      <w:color w:val="auto"/>
                      <w:sz w:val="21"/>
                      <w:szCs w:val="18"/>
                    </w:rPr>
                  </w:pPr>
                  <w:r>
                    <w:rPr>
                      <w:rFonts w:hint="eastAsia"/>
                      <w:color w:val="auto"/>
                      <w:sz w:val="21"/>
                      <w:szCs w:val="18"/>
                    </w:rPr>
                    <w:t>机加</w:t>
                  </w:r>
                </w:p>
                <w:p w14:paraId="6A6F6FCB">
                  <w:pPr>
                    <w:widowControl w:val="0"/>
                    <w:spacing w:line="240" w:lineRule="auto"/>
                    <w:jc w:val="center"/>
                    <w:rPr>
                      <w:rFonts w:hint="eastAsia" w:ascii="Times New Roman" w:hAnsi="Times New Roman" w:eastAsia="宋体" w:cs="Times New Roman"/>
                      <w:color w:val="auto"/>
                      <w:sz w:val="21"/>
                      <w:szCs w:val="18"/>
                      <w:lang w:val="en-US" w:eastAsia="zh-CN" w:bidi="ar-SA"/>
                    </w:rPr>
                  </w:pPr>
                  <w:r>
                    <w:rPr>
                      <w:rFonts w:hint="eastAsia"/>
                      <w:color w:val="auto"/>
                      <w:sz w:val="21"/>
                      <w:szCs w:val="18"/>
                    </w:rPr>
                    <w:t>工区</w:t>
                  </w:r>
                </w:p>
              </w:tc>
              <w:tc>
                <w:tcPr>
                  <w:tcW w:w="3627" w:type="dxa"/>
                  <w:gridSpan w:val="2"/>
                  <w:vAlign w:val="center"/>
                </w:tcPr>
                <w:p w14:paraId="74E4457D">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sz w:val="21"/>
                      <w:szCs w:val="18"/>
                    </w:rPr>
                    <w:t>3#厂房1F，建筑面积约900</w:t>
                  </w:r>
                  <w:r>
                    <w:rPr>
                      <w:rFonts w:hint="eastAsia"/>
                      <w:color w:val="auto"/>
                      <w:kern w:val="0"/>
                      <w:sz w:val="21"/>
                      <w:szCs w:val="21"/>
                    </w:rPr>
                    <w:t>m</w:t>
                  </w:r>
                  <w:r>
                    <w:rPr>
                      <w:rFonts w:hint="eastAsia"/>
                      <w:color w:val="auto"/>
                      <w:kern w:val="0"/>
                      <w:sz w:val="21"/>
                      <w:szCs w:val="21"/>
                      <w:vertAlign w:val="superscript"/>
                    </w:rPr>
                    <w:t>2</w:t>
                  </w:r>
                  <w:r>
                    <w:rPr>
                      <w:rFonts w:hint="eastAsia"/>
                      <w:color w:val="auto"/>
                      <w:kern w:val="0"/>
                      <w:sz w:val="21"/>
                      <w:szCs w:val="21"/>
                    </w:rPr>
                    <w:t>，</w:t>
                  </w:r>
                  <w:r>
                    <w:rPr>
                      <w:rFonts w:hint="eastAsia"/>
                      <w:color w:val="auto"/>
                      <w:sz w:val="21"/>
                      <w:szCs w:val="18"/>
                    </w:rPr>
                    <w:t>由北向南布设剪板机、折弯机、压板机、滚花机、冲压机、电焊机、胶合机等设备</w:t>
                  </w:r>
                </w:p>
              </w:tc>
              <w:tc>
                <w:tcPr>
                  <w:tcW w:w="703" w:type="dxa"/>
                  <w:vMerge w:val="restart"/>
                  <w:vAlign w:val="center"/>
                </w:tcPr>
                <w:p w14:paraId="577276CF">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szCs w:val="21"/>
                    </w:rPr>
                    <w:t>可达年喷涂10000樘钢制非标门的能力</w:t>
                  </w:r>
                </w:p>
              </w:tc>
              <w:tc>
                <w:tcPr>
                  <w:tcW w:w="2956" w:type="dxa"/>
                  <w:vAlign w:val="center"/>
                </w:tcPr>
                <w:p w14:paraId="08B4E1B4">
                  <w:pPr>
                    <w:pStyle w:val="2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lang w:val="en-US" w:eastAsia="zh-CN"/>
                    </w:rPr>
                  </w:pPr>
                  <w:r>
                    <w:rPr>
                      <w:rFonts w:hint="eastAsia"/>
                      <w:color w:val="auto"/>
                      <w:lang w:val="en-US" w:eastAsia="zh-CN"/>
                    </w:rPr>
                    <w:t>因实际设备安装需求，租赁厂房5#楼1层，建筑面积约900m</w:t>
                  </w:r>
                  <w:r>
                    <w:rPr>
                      <w:rFonts w:hint="eastAsia"/>
                      <w:color w:val="auto"/>
                      <w:vertAlign w:val="superscript"/>
                      <w:lang w:val="en-US" w:eastAsia="zh-CN"/>
                    </w:rPr>
                    <w:t>2</w:t>
                  </w:r>
                  <w:r>
                    <w:rPr>
                      <w:rFonts w:hint="eastAsia"/>
                      <w:color w:val="auto"/>
                      <w:lang w:val="en-US" w:eastAsia="zh-CN"/>
                    </w:rPr>
                    <w:t>，由南向北布设压板机、折弯机、冲压机、剪板机等设备</w:t>
                  </w:r>
                </w:p>
              </w:tc>
            </w:tr>
            <w:tr w14:paraId="73F0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24" w:hRule="atLeast"/>
              </w:trPr>
              <w:tc>
                <w:tcPr>
                  <w:tcW w:w="647" w:type="dxa"/>
                  <w:vMerge w:val="continue"/>
                  <w:vAlign w:val="center"/>
                </w:tcPr>
                <w:p w14:paraId="528C6BEF">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p>
              </w:tc>
              <w:tc>
                <w:tcPr>
                  <w:tcW w:w="805" w:type="dxa"/>
                  <w:vAlign w:val="center"/>
                </w:tcPr>
                <w:p w14:paraId="384A0448">
                  <w:pPr>
                    <w:widowControl w:val="0"/>
                    <w:spacing w:line="240" w:lineRule="auto"/>
                    <w:jc w:val="center"/>
                    <w:rPr>
                      <w:rFonts w:hint="eastAsia" w:ascii="Times New Roman" w:hAnsi="Times New Roman" w:eastAsia="宋体" w:cs="Times New Roman"/>
                      <w:color w:val="auto"/>
                      <w:sz w:val="21"/>
                      <w:szCs w:val="18"/>
                      <w:lang w:val="en-US" w:eastAsia="zh-CN" w:bidi="ar-SA"/>
                    </w:rPr>
                  </w:pPr>
                  <w:r>
                    <w:rPr>
                      <w:rFonts w:hint="eastAsia"/>
                      <w:color w:val="auto"/>
                      <w:sz w:val="21"/>
                      <w:szCs w:val="18"/>
                    </w:rPr>
                    <w:t>表面处理区</w:t>
                  </w:r>
                </w:p>
              </w:tc>
              <w:tc>
                <w:tcPr>
                  <w:tcW w:w="3627" w:type="dxa"/>
                  <w:gridSpan w:val="2"/>
                  <w:vAlign w:val="center"/>
                </w:tcPr>
                <w:p w14:paraId="25E1D237">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sz w:val="21"/>
                      <w:szCs w:val="18"/>
                    </w:rPr>
                    <w:t>3#厂房2F东侧，建筑面积约200</w:t>
                  </w:r>
                  <w:r>
                    <w:rPr>
                      <w:rFonts w:hint="eastAsia"/>
                      <w:color w:val="auto"/>
                      <w:kern w:val="0"/>
                      <w:sz w:val="21"/>
                      <w:szCs w:val="21"/>
                    </w:rPr>
                    <w:t>m</w:t>
                  </w:r>
                  <w:r>
                    <w:rPr>
                      <w:rFonts w:hint="eastAsia"/>
                      <w:color w:val="auto"/>
                      <w:kern w:val="0"/>
                      <w:sz w:val="21"/>
                      <w:szCs w:val="21"/>
                      <w:vertAlign w:val="superscript"/>
                    </w:rPr>
                    <w:t>2</w:t>
                  </w:r>
                  <w:r>
                    <w:rPr>
                      <w:rFonts w:hint="eastAsia"/>
                      <w:color w:val="auto"/>
                      <w:sz w:val="21"/>
                      <w:szCs w:val="18"/>
                    </w:rPr>
                    <w:t>，主要包括脱脂池1个、表调池1个、磷化池1个、脱脂后水洗池1个、磷化后水洗池1个，每个池规格为3.8m×1.0m×1.2m（长×宽×高）</w:t>
                  </w:r>
                </w:p>
              </w:tc>
              <w:tc>
                <w:tcPr>
                  <w:tcW w:w="703" w:type="dxa"/>
                  <w:vMerge w:val="continue"/>
                  <w:vAlign w:val="center"/>
                </w:tcPr>
                <w:p w14:paraId="5B7682DA">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2956" w:type="dxa"/>
                  <w:vAlign w:val="center"/>
                </w:tcPr>
                <w:p w14:paraId="178106DA">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color w:val="auto"/>
                      <w:lang w:val="en-US" w:eastAsia="zh-CN"/>
                    </w:rPr>
                  </w:pPr>
                  <w:r>
                    <w:rPr>
                      <w:rFonts w:hint="eastAsia"/>
                      <w:color w:val="auto"/>
                      <w:lang w:val="en-US" w:eastAsia="zh-CN"/>
                    </w:rPr>
                    <w:t>实际位于3#厂房1F东侧，</w:t>
                  </w:r>
                  <w:r>
                    <w:rPr>
                      <w:rFonts w:hint="eastAsia"/>
                      <w:color w:val="auto"/>
                      <w:sz w:val="21"/>
                      <w:szCs w:val="18"/>
                    </w:rPr>
                    <w:t>主要包括脱脂池1个、表调池1个、磷化池1个、脱脂后水洗池1个、磷化后水洗池1个，每个池规格为3.8m×1.0m×1.2m</w:t>
                  </w:r>
                </w:p>
              </w:tc>
            </w:tr>
            <w:tr w14:paraId="390AA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0" w:hRule="atLeast"/>
              </w:trPr>
              <w:tc>
                <w:tcPr>
                  <w:tcW w:w="647" w:type="dxa"/>
                  <w:vMerge w:val="continue"/>
                  <w:vAlign w:val="center"/>
                </w:tcPr>
                <w:p w14:paraId="2CF16942">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703CEC75">
                  <w:pPr>
                    <w:widowControl w:val="0"/>
                    <w:spacing w:line="240" w:lineRule="auto"/>
                    <w:jc w:val="center"/>
                    <w:rPr>
                      <w:rFonts w:hint="eastAsia" w:ascii="Times New Roman" w:hAnsi="Times New Roman" w:eastAsia="宋体" w:cs="Times New Roman"/>
                      <w:color w:val="auto"/>
                      <w:sz w:val="21"/>
                      <w:szCs w:val="18"/>
                      <w:lang w:val="en-US" w:eastAsia="zh-CN" w:bidi="ar-SA"/>
                    </w:rPr>
                  </w:pPr>
                  <w:r>
                    <w:rPr>
                      <w:rFonts w:hint="eastAsia"/>
                      <w:color w:val="auto"/>
                      <w:sz w:val="21"/>
                      <w:szCs w:val="18"/>
                    </w:rPr>
                    <w:t>涂装加工区</w:t>
                  </w:r>
                </w:p>
              </w:tc>
              <w:tc>
                <w:tcPr>
                  <w:tcW w:w="3627" w:type="dxa"/>
                  <w:gridSpan w:val="2"/>
                  <w:vAlign w:val="center"/>
                </w:tcPr>
                <w:p w14:paraId="7612992C">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sz w:val="21"/>
                      <w:szCs w:val="18"/>
                    </w:rPr>
                    <w:t>3#厂房2F中部，建筑面积约800</w:t>
                  </w:r>
                  <w:r>
                    <w:rPr>
                      <w:rFonts w:hint="eastAsia"/>
                      <w:color w:val="auto"/>
                      <w:kern w:val="0"/>
                      <w:sz w:val="21"/>
                      <w:szCs w:val="21"/>
                    </w:rPr>
                    <w:t>m</w:t>
                  </w:r>
                  <w:r>
                    <w:rPr>
                      <w:rFonts w:hint="eastAsia"/>
                      <w:color w:val="auto"/>
                      <w:kern w:val="0"/>
                      <w:sz w:val="21"/>
                      <w:szCs w:val="21"/>
                      <w:vertAlign w:val="superscript"/>
                    </w:rPr>
                    <w:t>2</w:t>
                  </w:r>
                  <w:r>
                    <w:rPr>
                      <w:rFonts w:hint="eastAsia"/>
                      <w:color w:val="auto"/>
                      <w:sz w:val="21"/>
                      <w:szCs w:val="18"/>
                    </w:rPr>
                    <w:t>，主要布设2套喷漆设备，2套喷塑设备，1间烘干房，1间喷漆房</w:t>
                  </w:r>
                </w:p>
              </w:tc>
              <w:tc>
                <w:tcPr>
                  <w:tcW w:w="703" w:type="dxa"/>
                  <w:vMerge w:val="continue"/>
                  <w:vAlign w:val="center"/>
                </w:tcPr>
                <w:p w14:paraId="4F7AE9A4">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2956" w:type="dxa"/>
                  <w:vAlign w:val="center"/>
                </w:tcPr>
                <w:p w14:paraId="1E523FC6">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eastAsia="宋体"/>
                      <w:color w:val="auto"/>
                      <w:lang w:val="en-US" w:eastAsia="zh-CN"/>
                    </w:rPr>
                  </w:pPr>
                  <w:r>
                    <w:rPr>
                      <w:rFonts w:hint="eastAsia"/>
                      <w:color w:val="auto"/>
                      <w:lang w:val="en-US" w:eastAsia="zh-CN"/>
                    </w:rPr>
                    <w:t>实际位于3#厂房1F，建筑面积约800m</w:t>
                  </w:r>
                  <w:r>
                    <w:rPr>
                      <w:rFonts w:hint="eastAsia"/>
                      <w:color w:val="auto"/>
                      <w:vertAlign w:val="superscript"/>
                      <w:lang w:val="en-US" w:eastAsia="zh-CN"/>
                    </w:rPr>
                    <w:t>2</w:t>
                  </w:r>
                  <w:r>
                    <w:rPr>
                      <w:rFonts w:hint="eastAsia"/>
                      <w:color w:val="auto"/>
                      <w:sz w:val="21"/>
                      <w:szCs w:val="18"/>
                    </w:rPr>
                    <w:t>，主要布设2套喷漆设备，2套喷塑设备</w:t>
                  </w:r>
                  <w:r>
                    <w:rPr>
                      <w:rFonts w:hint="eastAsia"/>
                      <w:color w:val="auto"/>
                      <w:sz w:val="21"/>
                      <w:szCs w:val="18"/>
                      <w:lang w:eastAsia="zh-CN"/>
                    </w:rPr>
                    <w:t>，喷漆及烘干区域集中布设，未单独设置房间</w:t>
                  </w:r>
                </w:p>
              </w:tc>
            </w:tr>
            <w:tr w14:paraId="6BA56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23" w:hRule="atLeast"/>
              </w:trPr>
              <w:tc>
                <w:tcPr>
                  <w:tcW w:w="647" w:type="dxa"/>
                  <w:vMerge w:val="restart"/>
                  <w:vAlign w:val="center"/>
                </w:tcPr>
                <w:p w14:paraId="5D06C5A0">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辅助工程</w:t>
                  </w:r>
                </w:p>
              </w:tc>
              <w:tc>
                <w:tcPr>
                  <w:tcW w:w="805" w:type="dxa"/>
                  <w:vAlign w:val="center"/>
                </w:tcPr>
                <w:p w14:paraId="270BB41A">
                  <w:pPr>
                    <w:widowControl w:val="0"/>
                    <w:spacing w:line="240" w:lineRule="auto"/>
                    <w:jc w:val="center"/>
                    <w:rPr>
                      <w:rFonts w:hint="eastAsia"/>
                      <w:color w:val="auto"/>
                      <w:sz w:val="21"/>
                      <w:szCs w:val="21"/>
                      <w:lang w:val="en-US" w:eastAsia="zh-CN"/>
                    </w:rPr>
                  </w:pPr>
                  <w:r>
                    <w:rPr>
                      <w:rFonts w:hint="eastAsia"/>
                      <w:color w:val="auto"/>
                      <w:kern w:val="0"/>
                      <w:sz w:val="21"/>
                      <w:szCs w:val="21"/>
                    </w:rPr>
                    <w:t>办公室</w:t>
                  </w:r>
                </w:p>
              </w:tc>
              <w:tc>
                <w:tcPr>
                  <w:tcW w:w="4330" w:type="dxa"/>
                  <w:gridSpan w:val="3"/>
                  <w:vAlign w:val="center"/>
                </w:tcPr>
                <w:p w14:paraId="51F254B5">
                  <w:pPr>
                    <w:widowControl w:val="0"/>
                    <w:spacing w:line="240" w:lineRule="auto"/>
                    <w:jc w:val="center"/>
                    <w:rPr>
                      <w:rFonts w:hint="eastAsia"/>
                      <w:color w:val="auto"/>
                      <w:sz w:val="21"/>
                      <w:szCs w:val="21"/>
                      <w:lang w:val="en-US" w:eastAsia="zh-CN"/>
                    </w:rPr>
                  </w:pPr>
                  <w:r>
                    <w:rPr>
                      <w:rFonts w:hint="eastAsia"/>
                      <w:color w:val="auto"/>
                      <w:sz w:val="21"/>
                      <w:szCs w:val="21"/>
                    </w:rPr>
                    <w:t>3#厂房1F，建筑面积100m</w:t>
                  </w:r>
                  <w:r>
                    <w:rPr>
                      <w:rFonts w:hint="eastAsia"/>
                      <w:color w:val="auto"/>
                      <w:sz w:val="21"/>
                      <w:szCs w:val="21"/>
                      <w:vertAlign w:val="superscript"/>
                    </w:rPr>
                    <w:t>2</w:t>
                  </w:r>
                  <w:r>
                    <w:rPr>
                      <w:rFonts w:hint="eastAsia"/>
                      <w:color w:val="auto"/>
                      <w:sz w:val="21"/>
                      <w:szCs w:val="21"/>
                    </w:rPr>
                    <w:t>，用于行政办公</w:t>
                  </w:r>
                </w:p>
              </w:tc>
              <w:tc>
                <w:tcPr>
                  <w:tcW w:w="2956" w:type="dxa"/>
                  <w:vAlign w:val="center"/>
                </w:tcPr>
                <w:p w14:paraId="6AE847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实际位于3#厂房3F</w:t>
                  </w:r>
                </w:p>
              </w:tc>
            </w:tr>
            <w:tr w14:paraId="70A1B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99" w:hRule="atLeast"/>
              </w:trPr>
              <w:tc>
                <w:tcPr>
                  <w:tcW w:w="647" w:type="dxa"/>
                  <w:vMerge w:val="continue"/>
                  <w:vAlign w:val="center"/>
                </w:tcPr>
                <w:p w14:paraId="68E1B950">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04274FBC">
                  <w:pPr>
                    <w:widowControl w:val="0"/>
                    <w:spacing w:line="240" w:lineRule="auto"/>
                    <w:jc w:val="center"/>
                    <w:rPr>
                      <w:rFonts w:hint="eastAsia"/>
                      <w:color w:val="auto"/>
                      <w:sz w:val="21"/>
                      <w:szCs w:val="21"/>
                      <w:lang w:val="en-US" w:eastAsia="zh-CN"/>
                    </w:rPr>
                  </w:pPr>
                  <w:r>
                    <w:rPr>
                      <w:rFonts w:hint="eastAsia"/>
                      <w:color w:val="auto"/>
                      <w:kern w:val="0"/>
                      <w:sz w:val="21"/>
                      <w:szCs w:val="21"/>
                    </w:rPr>
                    <w:t>食堂</w:t>
                  </w:r>
                </w:p>
              </w:tc>
              <w:tc>
                <w:tcPr>
                  <w:tcW w:w="4330" w:type="dxa"/>
                  <w:gridSpan w:val="3"/>
                  <w:vAlign w:val="center"/>
                </w:tcPr>
                <w:p w14:paraId="6D8B7411">
                  <w:pPr>
                    <w:widowControl w:val="0"/>
                    <w:spacing w:line="240" w:lineRule="auto"/>
                    <w:jc w:val="center"/>
                    <w:rPr>
                      <w:rFonts w:hint="default"/>
                      <w:color w:val="auto"/>
                      <w:sz w:val="21"/>
                      <w:szCs w:val="21"/>
                      <w:lang w:val="en-US" w:eastAsia="zh-CN"/>
                    </w:rPr>
                  </w:pPr>
                  <w:r>
                    <w:rPr>
                      <w:rFonts w:hint="eastAsia"/>
                      <w:color w:val="auto"/>
                      <w:sz w:val="21"/>
                      <w:szCs w:val="21"/>
                    </w:rPr>
                    <w:t>3#厂房3F，建筑面积100</w:t>
                  </w:r>
                  <w:r>
                    <w:rPr>
                      <w:color w:val="auto"/>
                      <w:sz w:val="21"/>
                      <w:szCs w:val="21"/>
                    </w:rPr>
                    <w:t>m</w:t>
                  </w:r>
                  <w:r>
                    <w:rPr>
                      <w:color w:val="auto"/>
                      <w:sz w:val="21"/>
                      <w:szCs w:val="21"/>
                      <w:vertAlign w:val="superscript"/>
                    </w:rPr>
                    <w:t>2</w:t>
                  </w:r>
                  <w:r>
                    <w:rPr>
                      <w:rFonts w:hint="eastAsia"/>
                      <w:color w:val="auto"/>
                      <w:sz w:val="21"/>
                      <w:szCs w:val="21"/>
                    </w:rPr>
                    <w:t>，</w:t>
                  </w:r>
                  <w:r>
                    <w:rPr>
                      <w:rFonts w:hint="eastAsia"/>
                      <w:color w:val="auto"/>
                      <w:kern w:val="0"/>
                      <w:sz w:val="21"/>
                      <w:szCs w:val="21"/>
                    </w:rPr>
                    <w:t>共设3个灶头</w:t>
                  </w:r>
                </w:p>
              </w:tc>
              <w:tc>
                <w:tcPr>
                  <w:tcW w:w="2956" w:type="dxa"/>
                  <w:vAlign w:val="center"/>
                </w:tcPr>
                <w:p w14:paraId="2DEC5D2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与环评申报一致</w:t>
                  </w:r>
                </w:p>
              </w:tc>
            </w:tr>
            <w:tr w14:paraId="682E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60" w:hRule="atLeast"/>
              </w:trPr>
              <w:tc>
                <w:tcPr>
                  <w:tcW w:w="647" w:type="dxa"/>
                  <w:vMerge w:val="restart"/>
                  <w:vAlign w:val="center"/>
                </w:tcPr>
                <w:p w14:paraId="4E9D9DBD">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储运工程</w:t>
                  </w:r>
                </w:p>
              </w:tc>
              <w:tc>
                <w:tcPr>
                  <w:tcW w:w="805" w:type="dxa"/>
                  <w:vAlign w:val="center"/>
                </w:tcPr>
                <w:p w14:paraId="701E72F1">
                  <w:pPr>
                    <w:pStyle w:val="26"/>
                    <w:widowControl w:val="0"/>
                    <w:bidi w:val="0"/>
                    <w:spacing w:line="240" w:lineRule="auto"/>
                    <w:rPr>
                      <w:rFonts w:hint="eastAsia"/>
                      <w:color w:val="auto"/>
                      <w:sz w:val="21"/>
                      <w:szCs w:val="21"/>
                      <w:lang w:val="en-US" w:eastAsia="zh-CN"/>
                    </w:rPr>
                  </w:pPr>
                  <w:r>
                    <w:rPr>
                      <w:rFonts w:hint="eastAsia"/>
                      <w:color w:val="auto"/>
                      <w:sz w:val="21"/>
                      <w:szCs w:val="21"/>
                    </w:rPr>
                    <w:t>原料库</w:t>
                  </w:r>
                </w:p>
              </w:tc>
              <w:tc>
                <w:tcPr>
                  <w:tcW w:w="4330" w:type="dxa"/>
                  <w:gridSpan w:val="3"/>
                  <w:vAlign w:val="center"/>
                </w:tcPr>
                <w:p w14:paraId="4AC91700">
                  <w:pPr>
                    <w:pStyle w:val="26"/>
                    <w:widowControl w:val="0"/>
                    <w:bidi w:val="0"/>
                    <w:spacing w:line="240" w:lineRule="auto"/>
                    <w:rPr>
                      <w:rFonts w:hint="eastAsia"/>
                      <w:color w:val="auto"/>
                      <w:sz w:val="21"/>
                      <w:szCs w:val="21"/>
                      <w:lang w:val="en-US" w:eastAsia="zh-CN"/>
                    </w:rPr>
                  </w:pPr>
                  <w:r>
                    <w:rPr>
                      <w:rFonts w:hint="eastAsia"/>
                      <w:color w:val="auto"/>
                      <w:sz w:val="21"/>
                      <w:szCs w:val="21"/>
                    </w:rPr>
                    <w:t>位于3#厂房1F西南角，占地面积300m</w:t>
                  </w:r>
                  <w:r>
                    <w:rPr>
                      <w:rFonts w:hint="eastAsia"/>
                      <w:color w:val="auto"/>
                      <w:sz w:val="21"/>
                      <w:szCs w:val="21"/>
                      <w:vertAlign w:val="superscript"/>
                    </w:rPr>
                    <w:t>2</w:t>
                  </w:r>
                  <w:r>
                    <w:rPr>
                      <w:rFonts w:hint="eastAsia"/>
                      <w:color w:val="auto"/>
                      <w:sz w:val="21"/>
                      <w:szCs w:val="21"/>
                    </w:rPr>
                    <w:t>，用于存贮钢带、锁具、把手、蜂窝纸等原辅材料</w:t>
                  </w:r>
                </w:p>
              </w:tc>
              <w:tc>
                <w:tcPr>
                  <w:tcW w:w="2956" w:type="dxa"/>
                  <w:vAlign w:val="center"/>
                </w:tcPr>
                <w:p w14:paraId="3DD1FE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21"/>
                      <w:szCs w:val="21"/>
                      <w:lang w:val="en-US" w:eastAsia="zh-CN"/>
                    </w:rPr>
                  </w:pPr>
                  <w:r>
                    <w:rPr>
                      <w:rFonts w:hint="eastAsia"/>
                      <w:color w:val="auto"/>
                      <w:sz w:val="21"/>
                      <w:szCs w:val="21"/>
                      <w:lang w:val="en-US" w:eastAsia="zh-CN"/>
                    </w:rPr>
                    <w:t>实际位于5#厂房1F，</w:t>
                  </w:r>
                  <w:r>
                    <w:rPr>
                      <w:rFonts w:hint="eastAsia"/>
                      <w:color w:val="auto"/>
                      <w:sz w:val="21"/>
                      <w:szCs w:val="21"/>
                    </w:rPr>
                    <w:t>用于存贮钢带、锁具、把手、蜂窝纸等原辅材料</w:t>
                  </w:r>
                </w:p>
              </w:tc>
            </w:tr>
            <w:tr w14:paraId="35BC0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52" w:hRule="atLeast"/>
              </w:trPr>
              <w:tc>
                <w:tcPr>
                  <w:tcW w:w="647" w:type="dxa"/>
                  <w:vMerge w:val="continue"/>
                  <w:vAlign w:val="center"/>
                </w:tcPr>
                <w:p w14:paraId="65835C9D">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5A399A88">
                  <w:pPr>
                    <w:pStyle w:val="26"/>
                    <w:widowControl w:val="0"/>
                    <w:bidi w:val="0"/>
                    <w:spacing w:line="240" w:lineRule="auto"/>
                    <w:rPr>
                      <w:rFonts w:hint="eastAsia"/>
                      <w:color w:val="auto"/>
                      <w:sz w:val="21"/>
                      <w:szCs w:val="21"/>
                      <w:lang w:val="en-US" w:eastAsia="zh-CN"/>
                    </w:rPr>
                  </w:pPr>
                  <w:r>
                    <w:rPr>
                      <w:rFonts w:hint="eastAsia"/>
                      <w:color w:val="auto"/>
                      <w:sz w:val="21"/>
                      <w:szCs w:val="21"/>
                    </w:rPr>
                    <w:t>成品库</w:t>
                  </w:r>
                </w:p>
              </w:tc>
              <w:tc>
                <w:tcPr>
                  <w:tcW w:w="4330" w:type="dxa"/>
                  <w:gridSpan w:val="3"/>
                  <w:vAlign w:val="center"/>
                </w:tcPr>
                <w:p w14:paraId="4BCA67F5">
                  <w:pPr>
                    <w:pStyle w:val="26"/>
                    <w:widowControl w:val="0"/>
                    <w:bidi w:val="0"/>
                    <w:spacing w:line="240" w:lineRule="auto"/>
                    <w:jc w:val="center"/>
                    <w:rPr>
                      <w:rFonts w:hint="eastAsia"/>
                      <w:color w:val="auto"/>
                      <w:sz w:val="21"/>
                      <w:szCs w:val="21"/>
                      <w:lang w:val="en-US" w:eastAsia="zh-CN"/>
                    </w:rPr>
                  </w:pPr>
                  <w:r>
                    <w:rPr>
                      <w:rFonts w:hint="eastAsia"/>
                      <w:color w:val="auto"/>
                      <w:sz w:val="21"/>
                      <w:szCs w:val="21"/>
                    </w:rPr>
                    <w:t>位于3#厂房2F，占地面积300m</w:t>
                  </w:r>
                  <w:r>
                    <w:rPr>
                      <w:rFonts w:hint="eastAsia"/>
                      <w:color w:val="auto"/>
                      <w:sz w:val="21"/>
                      <w:szCs w:val="21"/>
                      <w:vertAlign w:val="superscript"/>
                    </w:rPr>
                    <w:t>2</w:t>
                  </w:r>
                  <w:r>
                    <w:rPr>
                      <w:rFonts w:hint="eastAsia"/>
                      <w:color w:val="auto"/>
                      <w:sz w:val="21"/>
                      <w:szCs w:val="21"/>
                    </w:rPr>
                    <w:t>，用于存放成品钢制非标门，最大储存周期为15天，最大一次储量为500樘</w:t>
                  </w:r>
                </w:p>
              </w:tc>
              <w:tc>
                <w:tcPr>
                  <w:tcW w:w="2956" w:type="dxa"/>
                  <w:vAlign w:val="center"/>
                </w:tcPr>
                <w:p w14:paraId="0CC2D7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lang w:val="en-US" w:eastAsia="zh-CN"/>
                    </w:rPr>
                  </w:pPr>
                  <w:r>
                    <w:rPr>
                      <w:rFonts w:hint="eastAsia"/>
                      <w:color w:val="auto"/>
                      <w:sz w:val="21"/>
                      <w:szCs w:val="21"/>
                      <w:lang w:val="en-US" w:eastAsia="zh-CN"/>
                    </w:rPr>
                    <w:t>位于3#厂房2F，</w:t>
                  </w:r>
                  <w:r>
                    <w:rPr>
                      <w:rFonts w:hint="eastAsia"/>
                      <w:color w:val="auto"/>
                      <w:sz w:val="21"/>
                      <w:szCs w:val="21"/>
                    </w:rPr>
                    <w:t>用于存放成品钢制非标门，最大储存周期为15天，最大一次储量为500樘</w:t>
                  </w:r>
                </w:p>
              </w:tc>
            </w:tr>
            <w:tr w14:paraId="06306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60" w:hRule="atLeast"/>
              </w:trPr>
              <w:tc>
                <w:tcPr>
                  <w:tcW w:w="647" w:type="dxa"/>
                  <w:vMerge w:val="continue"/>
                  <w:vAlign w:val="center"/>
                </w:tcPr>
                <w:p w14:paraId="1B400862">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086C4F9C">
                  <w:pPr>
                    <w:pStyle w:val="26"/>
                    <w:widowControl w:val="0"/>
                    <w:bidi w:val="0"/>
                    <w:spacing w:line="240" w:lineRule="auto"/>
                    <w:rPr>
                      <w:rFonts w:hint="eastAsia"/>
                      <w:color w:val="auto"/>
                      <w:sz w:val="21"/>
                      <w:szCs w:val="21"/>
                      <w:lang w:val="en-US" w:eastAsia="zh-CN"/>
                    </w:rPr>
                  </w:pPr>
                  <w:r>
                    <w:rPr>
                      <w:rFonts w:hint="eastAsia"/>
                      <w:color w:val="auto"/>
                      <w:sz w:val="21"/>
                      <w:szCs w:val="21"/>
                    </w:rPr>
                    <w:t>化学品暂存库</w:t>
                  </w:r>
                </w:p>
              </w:tc>
              <w:tc>
                <w:tcPr>
                  <w:tcW w:w="4330" w:type="dxa"/>
                  <w:gridSpan w:val="3"/>
                  <w:vAlign w:val="center"/>
                </w:tcPr>
                <w:p w14:paraId="728E37BA">
                  <w:pPr>
                    <w:pStyle w:val="26"/>
                    <w:widowControl w:val="0"/>
                    <w:bidi w:val="0"/>
                    <w:spacing w:line="240" w:lineRule="auto"/>
                    <w:jc w:val="center"/>
                    <w:rPr>
                      <w:rFonts w:hint="eastAsia"/>
                      <w:color w:val="auto"/>
                      <w:sz w:val="21"/>
                      <w:szCs w:val="21"/>
                      <w:lang w:val="en-US" w:eastAsia="zh-CN"/>
                    </w:rPr>
                  </w:pPr>
                  <w:r>
                    <w:rPr>
                      <w:rFonts w:hint="eastAsia"/>
                      <w:color w:val="auto"/>
                      <w:sz w:val="21"/>
                      <w:szCs w:val="21"/>
                    </w:rPr>
                    <w:t>位于3#厂房2F，建筑面积为100m</w:t>
                  </w:r>
                  <w:r>
                    <w:rPr>
                      <w:rFonts w:hint="eastAsia"/>
                      <w:color w:val="auto"/>
                      <w:sz w:val="21"/>
                      <w:szCs w:val="21"/>
                      <w:vertAlign w:val="superscript"/>
                    </w:rPr>
                    <w:t>2</w:t>
                  </w:r>
                  <w:r>
                    <w:rPr>
                      <w:rFonts w:hint="eastAsia"/>
                      <w:color w:val="auto"/>
                      <w:sz w:val="21"/>
                      <w:szCs w:val="21"/>
                    </w:rPr>
                    <w:t>，用于存放漆料、脱脂剂、磷化剂、表调剂、发泡胶等原辅料，最大存储周期为30天，最大储量为2.7t</w:t>
                  </w:r>
                </w:p>
              </w:tc>
              <w:tc>
                <w:tcPr>
                  <w:tcW w:w="2956" w:type="dxa"/>
                  <w:vAlign w:val="center"/>
                </w:tcPr>
                <w:p w14:paraId="0FA1DA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lang w:val="en-US" w:eastAsia="zh-CN"/>
                    </w:rPr>
                  </w:pPr>
                  <w:r>
                    <w:rPr>
                      <w:rFonts w:hint="eastAsia"/>
                      <w:color w:val="auto"/>
                      <w:sz w:val="21"/>
                      <w:szCs w:val="21"/>
                      <w:lang w:eastAsia="zh-CN"/>
                    </w:rPr>
                    <w:t>实际</w:t>
                  </w:r>
                  <w:r>
                    <w:rPr>
                      <w:rFonts w:hint="eastAsia"/>
                      <w:color w:val="auto"/>
                      <w:sz w:val="21"/>
                      <w:szCs w:val="21"/>
                    </w:rPr>
                    <w:t>位于3#厂房</w:t>
                  </w:r>
                  <w:r>
                    <w:rPr>
                      <w:rFonts w:hint="eastAsia"/>
                      <w:color w:val="auto"/>
                      <w:sz w:val="21"/>
                      <w:szCs w:val="21"/>
                      <w:lang w:val="en-US" w:eastAsia="zh-CN"/>
                    </w:rPr>
                    <w:t>1</w:t>
                  </w:r>
                  <w:r>
                    <w:rPr>
                      <w:rFonts w:hint="eastAsia"/>
                      <w:color w:val="auto"/>
                      <w:sz w:val="21"/>
                      <w:szCs w:val="21"/>
                    </w:rPr>
                    <w:t>F</w:t>
                  </w:r>
                  <w:r>
                    <w:rPr>
                      <w:rFonts w:hint="eastAsia"/>
                      <w:color w:val="auto"/>
                      <w:sz w:val="21"/>
                      <w:szCs w:val="21"/>
                      <w:lang w:eastAsia="zh-CN"/>
                    </w:rPr>
                    <w:t>，因实际用量较少，放置于生产线旁便于随时取用</w:t>
                  </w:r>
                </w:p>
              </w:tc>
            </w:tr>
            <w:tr w14:paraId="21153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5" w:hRule="atLeast"/>
              </w:trPr>
              <w:tc>
                <w:tcPr>
                  <w:tcW w:w="647" w:type="dxa"/>
                  <w:vMerge w:val="restart"/>
                  <w:vAlign w:val="center"/>
                </w:tcPr>
                <w:p w14:paraId="5A49ECA3">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公用工程</w:t>
                  </w:r>
                </w:p>
              </w:tc>
              <w:tc>
                <w:tcPr>
                  <w:tcW w:w="805" w:type="dxa"/>
                  <w:vAlign w:val="center"/>
                </w:tcPr>
                <w:p w14:paraId="5052ED81">
                  <w:pPr>
                    <w:pStyle w:val="26"/>
                    <w:widowControl w:val="0"/>
                    <w:bidi w:val="0"/>
                    <w:spacing w:line="240" w:lineRule="auto"/>
                    <w:rPr>
                      <w:rFonts w:hint="eastAsia"/>
                      <w:color w:val="auto"/>
                      <w:sz w:val="21"/>
                      <w:szCs w:val="21"/>
                      <w:lang w:val="en-US" w:eastAsia="zh-CN"/>
                    </w:rPr>
                  </w:pPr>
                  <w:r>
                    <w:rPr>
                      <w:color w:val="auto"/>
                      <w:sz w:val="21"/>
                      <w:szCs w:val="21"/>
                    </w:rPr>
                    <w:t>给水</w:t>
                  </w:r>
                </w:p>
              </w:tc>
              <w:tc>
                <w:tcPr>
                  <w:tcW w:w="4330" w:type="dxa"/>
                  <w:gridSpan w:val="3"/>
                  <w:vAlign w:val="center"/>
                </w:tcPr>
                <w:p w14:paraId="21FCABA9">
                  <w:pPr>
                    <w:pStyle w:val="26"/>
                    <w:widowControl w:val="0"/>
                    <w:bidi w:val="0"/>
                    <w:spacing w:line="240" w:lineRule="auto"/>
                    <w:jc w:val="center"/>
                    <w:rPr>
                      <w:rFonts w:hint="eastAsia"/>
                      <w:color w:val="auto"/>
                      <w:sz w:val="21"/>
                      <w:szCs w:val="21"/>
                      <w:lang w:val="en-US" w:eastAsia="zh-CN"/>
                    </w:rPr>
                  </w:pPr>
                  <w:r>
                    <w:rPr>
                      <w:rFonts w:hint="eastAsia"/>
                      <w:color w:val="auto"/>
                      <w:sz w:val="21"/>
                      <w:szCs w:val="21"/>
                    </w:rPr>
                    <w:t>年用水量约2454t/a，</w:t>
                  </w:r>
                  <w:r>
                    <w:rPr>
                      <w:color w:val="auto"/>
                      <w:sz w:val="21"/>
                      <w:szCs w:val="21"/>
                    </w:rPr>
                    <w:t>用水</w:t>
                  </w:r>
                  <w:r>
                    <w:rPr>
                      <w:rFonts w:hint="eastAsia"/>
                      <w:color w:val="auto"/>
                      <w:sz w:val="21"/>
                      <w:szCs w:val="21"/>
                    </w:rPr>
                    <w:t>由市政供水管网供给</w:t>
                  </w:r>
                </w:p>
              </w:tc>
              <w:tc>
                <w:tcPr>
                  <w:tcW w:w="2956" w:type="dxa"/>
                  <w:vAlign w:val="center"/>
                </w:tcPr>
                <w:p w14:paraId="673C2F3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sz w:val="21"/>
                      <w:szCs w:val="21"/>
                      <w:lang w:val="en-US" w:eastAsia="zh-CN"/>
                    </w:rPr>
                    <w:t>市政供水</w:t>
                  </w:r>
                </w:p>
              </w:tc>
            </w:tr>
            <w:tr w14:paraId="48FF3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12" w:hRule="atLeast"/>
              </w:trPr>
              <w:tc>
                <w:tcPr>
                  <w:tcW w:w="647" w:type="dxa"/>
                  <w:vMerge w:val="continue"/>
                  <w:vAlign w:val="center"/>
                </w:tcPr>
                <w:p w14:paraId="3DC8E594">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00A4730E">
                  <w:pPr>
                    <w:pStyle w:val="26"/>
                    <w:widowControl w:val="0"/>
                    <w:bidi w:val="0"/>
                    <w:spacing w:line="240" w:lineRule="auto"/>
                    <w:rPr>
                      <w:rFonts w:hint="eastAsia"/>
                      <w:color w:val="auto"/>
                      <w:lang w:val="en-US" w:eastAsia="zh-CN"/>
                    </w:rPr>
                  </w:pPr>
                  <w:r>
                    <w:rPr>
                      <w:color w:val="auto"/>
                    </w:rPr>
                    <w:t>排水</w:t>
                  </w:r>
                </w:p>
              </w:tc>
              <w:tc>
                <w:tcPr>
                  <w:tcW w:w="4330" w:type="dxa"/>
                  <w:gridSpan w:val="3"/>
                  <w:vAlign w:val="center"/>
                </w:tcPr>
                <w:p w14:paraId="54851541">
                  <w:pPr>
                    <w:pStyle w:val="26"/>
                    <w:widowControl w:val="0"/>
                    <w:bidi w:val="0"/>
                    <w:spacing w:line="240" w:lineRule="auto"/>
                    <w:jc w:val="center"/>
                    <w:rPr>
                      <w:rFonts w:hint="eastAsia"/>
                      <w:color w:val="auto"/>
                      <w:lang w:val="en-US" w:eastAsia="zh-CN"/>
                    </w:rPr>
                  </w:pPr>
                  <w:r>
                    <w:rPr>
                      <w:rFonts w:hint="eastAsia"/>
                      <w:color w:val="auto"/>
                    </w:rPr>
                    <w:t>雨污分流，生产废水经厂区污水处理厂处理后</w:t>
                  </w:r>
                  <w:r>
                    <w:rPr>
                      <w:rFonts w:hint="eastAsia"/>
                      <w:color w:val="auto"/>
                      <w:lang w:eastAsia="zh-CN"/>
                    </w:rPr>
                    <w:t>回用</w:t>
                  </w:r>
                  <w:r>
                    <w:rPr>
                      <w:rFonts w:hint="eastAsia"/>
                      <w:color w:val="auto"/>
                    </w:rPr>
                    <w:t>；生活污水经预处理后排入舒城经济开发区污水处理厂；最终排入三里河</w:t>
                  </w:r>
                </w:p>
              </w:tc>
              <w:tc>
                <w:tcPr>
                  <w:tcW w:w="2956" w:type="dxa"/>
                  <w:vAlign w:val="center"/>
                </w:tcPr>
                <w:p w14:paraId="0FE1BA9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sz w:val="21"/>
                      <w:szCs w:val="21"/>
                    </w:rPr>
                    <w:t>雨污分流，生产废水经厂区污水处理厂处理后</w:t>
                  </w:r>
                  <w:r>
                    <w:rPr>
                      <w:rFonts w:hint="eastAsia"/>
                      <w:color w:val="auto"/>
                      <w:sz w:val="21"/>
                      <w:szCs w:val="21"/>
                      <w:lang w:eastAsia="zh-CN"/>
                    </w:rPr>
                    <w:t>回用</w:t>
                  </w:r>
                  <w:r>
                    <w:rPr>
                      <w:rFonts w:hint="eastAsia"/>
                      <w:color w:val="auto"/>
                      <w:sz w:val="21"/>
                      <w:szCs w:val="21"/>
                    </w:rPr>
                    <w:t>；生活污水经预处理后排入舒城经济开发区污水处理厂</w:t>
                  </w:r>
                </w:p>
              </w:tc>
            </w:tr>
            <w:tr w14:paraId="26D92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77" w:hRule="atLeast"/>
              </w:trPr>
              <w:tc>
                <w:tcPr>
                  <w:tcW w:w="647" w:type="dxa"/>
                  <w:vMerge w:val="continue"/>
                  <w:vAlign w:val="center"/>
                </w:tcPr>
                <w:p w14:paraId="0A623735">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13690EB1">
                  <w:pPr>
                    <w:pStyle w:val="26"/>
                    <w:widowControl w:val="0"/>
                    <w:bidi w:val="0"/>
                    <w:spacing w:line="240" w:lineRule="auto"/>
                    <w:rPr>
                      <w:rFonts w:hint="eastAsia"/>
                      <w:color w:val="auto"/>
                      <w:lang w:val="en-US" w:eastAsia="zh-CN"/>
                    </w:rPr>
                  </w:pPr>
                  <w:r>
                    <w:rPr>
                      <w:color w:val="auto"/>
                    </w:rPr>
                    <w:t>供电</w:t>
                  </w:r>
                </w:p>
              </w:tc>
              <w:tc>
                <w:tcPr>
                  <w:tcW w:w="4330" w:type="dxa"/>
                  <w:gridSpan w:val="3"/>
                  <w:vAlign w:val="center"/>
                </w:tcPr>
                <w:p w14:paraId="39901564">
                  <w:pPr>
                    <w:pStyle w:val="26"/>
                    <w:widowControl w:val="0"/>
                    <w:bidi w:val="0"/>
                    <w:spacing w:line="240" w:lineRule="auto"/>
                    <w:jc w:val="center"/>
                    <w:rPr>
                      <w:rFonts w:hint="eastAsia"/>
                      <w:color w:val="auto"/>
                      <w:lang w:val="en-US" w:eastAsia="zh-CN"/>
                    </w:rPr>
                  </w:pPr>
                  <w:r>
                    <w:rPr>
                      <w:color w:val="auto"/>
                    </w:rPr>
                    <w:t>用电引自</w:t>
                  </w:r>
                  <w:r>
                    <w:rPr>
                      <w:rFonts w:hint="eastAsia"/>
                      <w:color w:val="auto"/>
                    </w:rPr>
                    <w:t>市政</w:t>
                  </w:r>
                  <w:r>
                    <w:rPr>
                      <w:color w:val="auto"/>
                    </w:rPr>
                    <w:t>供电网，年用电量</w:t>
                  </w:r>
                  <w:r>
                    <w:rPr>
                      <w:rFonts w:hint="eastAsia"/>
                      <w:color w:val="auto"/>
                    </w:rPr>
                    <w:t>10</w:t>
                  </w:r>
                  <w:r>
                    <w:rPr>
                      <w:color w:val="auto"/>
                    </w:rPr>
                    <w:t>万</w:t>
                  </w:r>
                  <w:r>
                    <w:rPr>
                      <w:rFonts w:hint="eastAsia"/>
                      <w:color w:val="auto"/>
                    </w:rPr>
                    <w:t>kw</w:t>
                  </w:r>
                  <w:r>
                    <w:rPr>
                      <w:rFonts w:hint="default" w:ascii="Times New Roman" w:hAnsi="Times New Roman" w:cs="Times New Roman"/>
                      <w:color w:val="auto"/>
                      <w:lang w:val="en-US" w:eastAsia="zh-CN"/>
                    </w:rPr>
                    <w:t>·</w:t>
                  </w:r>
                  <w:r>
                    <w:rPr>
                      <w:rFonts w:hint="eastAsia"/>
                      <w:color w:val="auto"/>
                    </w:rPr>
                    <w:t>h</w:t>
                  </w:r>
                </w:p>
              </w:tc>
              <w:tc>
                <w:tcPr>
                  <w:tcW w:w="2956" w:type="dxa"/>
                  <w:vAlign w:val="center"/>
                </w:tcPr>
                <w:p w14:paraId="7E1D203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sz w:val="21"/>
                      <w:szCs w:val="21"/>
                      <w:lang w:val="en-US" w:eastAsia="zh-CN"/>
                    </w:rPr>
                    <w:t>市政供电</w:t>
                  </w:r>
                </w:p>
              </w:tc>
            </w:tr>
            <w:tr w14:paraId="46B3A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91" w:hRule="atLeast"/>
              </w:trPr>
              <w:tc>
                <w:tcPr>
                  <w:tcW w:w="647" w:type="dxa"/>
                  <w:vMerge w:val="continue"/>
                  <w:vAlign w:val="center"/>
                </w:tcPr>
                <w:p w14:paraId="480C28B6">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500351E3">
                  <w:pPr>
                    <w:pStyle w:val="26"/>
                    <w:widowControl w:val="0"/>
                    <w:bidi w:val="0"/>
                    <w:spacing w:line="240" w:lineRule="auto"/>
                    <w:rPr>
                      <w:rFonts w:hint="eastAsia"/>
                      <w:color w:val="auto"/>
                      <w:lang w:val="en-US" w:eastAsia="zh-CN"/>
                    </w:rPr>
                  </w:pPr>
                  <w:r>
                    <w:rPr>
                      <w:rFonts w:hint="eastAsia"/>
                      <w:color w:val="auto"/>
                    </w:rPr>
                    <w:t>天然气</w:t>
                  </w:r>
                </w:p>
              </w:tc>
              <w:tc>
                <w:tcPr>
                  <w:tcW w:w="4330" w:type="dxa"/>
                  <w:gridSpan w:val="3"/>
                  <w:vAlign w:val="center"/>
                </w:tcPr>
                <w:p w14:paraId="3D5E2977">
                  <w:pPr>
                    <w:pStyle w:val="26"/>
                    <w:widowControl w:val="0"/>
                    <w:bidi w:val="0"/>
                    <w:spacing w:line="240" w:lineRule="auto"/>
                    <w:jc w:val="center"/>
                    <w:rPr>
                      <w:rFonts w:hint="eastAsia"/>
                      <w:color w:val="auto"/>
                      <w:lang w:val="en-US" w:eastAsia="zh-CN"/>
                    </w:rPr>
                  </w:pPr>
                  <w:r>
                    <w:rPr>
                      <w:rFonts w:hint="eastAsia"/>
                      <w:color w:val="auto"/>
                    </w:rPr>
                    <w:t>园区天然气管网，年用量57880N</w:t>
                  </w:r>
                  <w:r>
                    <w:rPr>
                      <w:color w:val="auto"/>
                    </w:rPr>
                    <w:t>m³</w:t>
                  </w:r>
                  <w:r>
                    <w:rPr>
                      <w:rFonts w:hint="eastAsia"/>
                      <w:color w:val="auto"/>
                    </w:rPr>
                    <w:t>/a</w:t>
                  </w:r>
                </w:p>
              </w:tc>
              <w:tc>
                <w:tcPr>
                  <w:tcW w:w="2956" w:type="dxa"/>
                  <w:vAlign w:val="center"/>
                </w:tcPr>
                <w:p w14:paraId="3C7F8B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sz w:val="21"/>
                      <w:szCs w:val="21"/>
                      <w:lang w:val="en-US" w:eastAsia="zh-CN"/>
                    </w:rPr>
                    <w:t>燃料为天然气</w:t>
                  </w:r>
                </w:p>
              </w:tc>
            </w:tr>
            <w:tr w14:paraId="7014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09" w:hRule="atLeast"/>
              </w:trPr>
              <w:tc>
                <w:tcPr>
                  <w:tcW w:w="647" w:type="dxa"/>
                  <w:vMerge w:val="restart"/>
                  <w:vAlign w:val="center"/>
                </w:tcPr>
                <w:p w14:paraId="48293FAE">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环保工程</w:t>
                  </w:r>
                </w:p>
              </w:tc>
              <w:tc>
                <w:tcPr>
                  <w:tcW w:w="805" w:type="dxa"/>
                  <w:vAlign w:val="center"/>
                </w:tcPr>
                <w:p w14:paraId="192C70C9">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废水</w:t>
                  </w:r>
                </w:p>
                <w:p w14:paraId="16A06644">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治理</w:t>
                  </w:r>
                </w:p>
              </w:tc>
              <w:tc>
                <w:tcPr>
                  <w:tcW w:w="4330" w:type="dxa"/>
                  <w:gridSpan w:val="3"/>
                  <w:vAlign w:val="center"/>
                </w:tcPr>
                <w:p w14:paraId="21B6C9BB">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rPr>
                    <w:t>新建1座污水处理站，规模为</w:t>
                  </w:r>
                  <w:r>
                    <w:rPr>
                      <w:rFonts w:hint="eastAsia"/>
                      <w:color w:val="auto"/>
                      <w:lang w:val="en-US" w:eastAsia="zh-CN"/>
                    </w:rPr>
                    <w:t>2</w:t>
                  </w:r>
                  <w:r>
                    <w:rPr>
                      <w:rFonts w:hint="eastAsia"/>
                      <w:color w:val="auto"/>
                    </w:rPr>
                    <w:t>t/d，生产废水采用</w:t>
                  </w:r>
                  <w:r>
                    <w:rPr>
                      <w:rFonts w:hint="eastAsia"/>
                      <w:color w:val="auto"/>
                      <w:lang w:eastAsia="zh-CN"/>
                    </w:rPr>
                    <w:t>pH调节+气浮+混凝沉淀</w:t>
                  </w:r>
                  <w:r>
                    <w:rPr>
                      <w:rFonts w:hint="eastAsia"/>
                      <w:color w:val="auto"/>
                    </w:rPr>
                    <w:t>后</w:t>
                  </w:r>
                  <w:r>
                    <w:rPr>
                      <w:rFonts w:hint="eastAsia"/>
                      <w:color w:val="auto"/>
                      <w:lang w:eastAsia="zh-CN"/>
                    </w:rPr>
                    <w:t>回用于生产</w:t>
                  </w:r>
                  <w:r>
                    <w:rPr>
                      <w:rFonts w:hint="eastAsia"/>
                      <w:color w:val="auto"/>
                    </w:rPr>
                    <w:t>；生活污水经隔油池+化粪池预处理后达到《污水综合排放标准》（GB8978-1996）中三级标准后，排入舒城经济开发区污水处理厂</w:t>
                  </w:r>
                </w:p>
              </w:tc>
              <w:tc>
                <w:tcPr>
                  <w:tcW w:w="2956" w:type="dxa"/>
                  <w:vAlign w:val="center"/>
                </w:tcPr>
                <w:p w14:paraId="66854F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sz w:val="21"/>
                      <w:szCs w:val="21"/>
                      <w:lang w:eastAsia="zh-CN"/>
                    </w:rPr>
                    <w:t>实际</w:t>
                  </w:r>
                  <w:r>
                    <w:rPr>
                      <w:rFonts w:hint="eastAsia"/>
                      <w:color w:val="auto"/>
                      <w:sz w:val="21"/>
                      <w:szCs w:val="21"/>
                    </w:rPr>
                    <w:t>生产废水采用</w:t>
                  </w:r>
                  <w:r>
                    <w:rPr>
                      <w:rFonts w:hint="eastAsia"/>
                      <w:color w:val="auto"/>
                      <w:sz w:val="21"/>
                      <w:szCs w:val="21"/>
                      <w:lang w:eastAsia="zh-CN"/>
                    </w:rPr>
                    <w:t>pH调节+混凝沉淀</w:t>
                  </w:r>
                  <w:r>
                    <w:rPr>
                      <w:rFonts w:hint="eastAsia"/>
                      <w:color w:val="auto"/>
                      <w:sz w:val="21"/>
                      <w:szCs w:val="21"/>
                    </w:rPr>
                    <w:t>后</w:t>
                  </w:r>
                  <w:r>
                    <w:rPr>
                      <w:rFonts w:hint="eastAsia"/>
                      <w:color w:val="auto"/>
                      <w:sz w:val="21"/>
                      <w:szCs w:val="21"/>
                      <w:lang w:eastAsia="zh-CN"/>
                    </w:rPr>
                    <w:t>回用于生产</w:t>
                  </w:r>
                  <w:r>
                    <w:rPr>
                      <w:rFonts w:hint="eastAsia"/>
                      <w:color w:val="auto"/>
                      <w:sz w:val="21"/>
                      <w:szCs w:val="21"/>
                    </w:rPr>
                    <w:t>；生活污水经隔油池+化粪池预处理后达到《污水综合排放标准》（GB8978</w:t>
                  </w:r>
                  <w:r>
                    <w:rPr>
                      <w:rFonts w:hint="eastAsia"/>
                      <w:color w:val="auto"/>
                      <w:sz w:val="21"/>
                      <w:szCs w:val="21"/>
                      <w:lang w:val="en-US" w:eastAsia="zh-CN"/>
                    </w:rPr>
                    <w:t xml:space="preserve"> </w:t>
                  </w:r>
                  <w:r>
                    <w:rPr>
                      <w:rFonts w:hint="eastAsia"/>
                      <w:color w:val="auto"/>
                      <w:sz w:val="21"/>
                      <w:szCs w:val="21"/>
                    </w:rPr>
                    <w:t>-1996）中三级标准后，排入舒城经济开发区污水处理厂</w:t>
                  </w:r>
                </w:p>
              </w:tc>
            </w:tr>
            <w:tr w14:paraId="5F130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43" w:hRule="atLeast"/>
              </w:trPr>
              <w:tc>
                <w:tcPr>
                  <w:tcW w:w="647" w:type="dxa"/>
                  <w:vMerge w:val="continue"/>
                  <w:vAlign w:val="center"/>
                </w:tcPr>
                <w:p w14:paraId="0537A4F3">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restart"/>
                  <w:vAlign w:val="center"/>
                </w:tcPr>
                <w:p w14:paraId="1A115AC0">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废气</w:t>
                  </w:r>
                </w:p>
                <w:p w14:paraId="5C59D481">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治理</w:t>
                  </w:r>
                </w:p>
              </w:tc>
              <w:tc>
                <w:tcPr>
                  <w:tcW w:w="4330" w:type="dxa"/>
                  <w:gridSpan w:val="3"/>
                  <w:vAlign w:val="center"/>
                </w:tcPr>
                <w:p w14:paraId="523052EE">
                  <w:pPr>
                    <w:pStyle w:val="26"/>
                    <w:widowControl w:val="0"/>
                    <w:bidi w:val="0"/>
                    <w:spacing w:line="240" w:lineRule="auto"/>
                    <w:rPr>
                      <w:rFonts w:hint="eastAsia"/>
                      <w:color w:val="auto"/>
                      <w:lang w:val="en-US" w:eastAsia="zh-CN"/>
                    </w:rPr>
                  </w:pPr>
                  <w:r>
                    <w:rPr>
                      <w:rFonts w:hint="eastAsia"/>
                      <w:color w:val="auto"/>
                    </w:rPr>
                    <w:t>焊接烟尘：移动式焊接净化器处理后</w:t>
                  </w:r>
                  <w:r>
                    <w:rPr>
                      <w:rFonts w:hint="eastAsia"/>
                      <w:color w:val="auto"/>
                      <w:lang w:eastAsia="zh-CN"/>
                    </w:rPr>
                    <w:t>由管道连到</w:t>
                  </w:r>
                  <w:r>
                    <w:rPr>
                      <w:rFonts w:hint="eastAsia"/>
                      <w:color w:val="auto"/>
                    </w:rPr>
                    <w:t>车间</w:t>
                  </w:r>
                  <w:r>
                    <w:rPr>
                      <w:rFonts w:hint="eastAsia"/>
                      <w:color w:val="auto"/>
                      <w:lang w:eastAsia="zh-CN"/>
                    </w:rPr>
                    <w:t>外</w:t>
                  </w:r>
                  <w:r>
                    <w:rPr>
                      <w:rFonts w:hint="eastAsia"/>
                      <w:color w:val="auto"/>
                    </w:rPr>
                    <w:t>排放</w:t>
                  </w:r>
                </w:p>
              </w:tc>
              <w:tc>
                <w:tcPr>
                  <w:tcW w:w="2956" w:type="dxa"/>
                  <w:vAlign w:val="center"/>
                </w:tcPr>
                <w:p w14:paraId="0A55BF9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FF0000"/>
                      <w:lang w:val="en-US" w:eastAsia="zh-CN"/>
                    </w:rPr>
                  </w:pPr>
                  <w:r>
                    <w:rPr>
                      <w:rFonts w:hint="eastAsia"/>
                      <w:color w:val="auto"/>
                      <w:sz w:val="21"/>
                      <w:szCs w:val="21"/>
                      <w:lang w:eastAsia="zh-CN"/>
                    </w:rPr>
                    <w:t>因</w:t>
                  </w:r>
                  <w:r>
                    <w:rPr>
                      <w:rFonts w:hint="eastAsia"/>
                      <w:color w:val="auto"/>
                      <w:sz w:val="21"/>
                      <w:szCs w:val="21"/>
                    </w:rPr>
                    <w:t>焊接件较大且焊接点较为分散，</w:t>
                  </w:r>
                  <w:r>
                    <w:rPr>
                      <w:rFonts w:hint="eastAsia"/>
                      <w:color w:val="auto"/>
                      <w:sz w:val="21"/>
                      <w:szCs w:val="21"/>
                      <w:lang w:eastAsia="zh-CN"/>
                    </w:rPr>
                    <w:t>焊接废气</w:t>
                  </w:r>
                  <w:r>
                    <w:rPr>
                      <w:rFonts w:hint="eastAsia"/>
                      <w:color w:val="auto"/>
                      <w:sz w:val="21"/>
                      <w:szCs w:val="21"/>
                    </w:rPr>
                    <w:t>移动式焊接净化器</w:t>
                  </w:r>
                  <w:r>
                    <w:rPr>
                      <w:rFonts w:hint="eastAsia"/>
                      <w:color w:val="auto"/>
                      <w:sz w:val="21"/>
                      <w:szCs w:val="21"/>
                      <w:lang w:eastAsia="zh-CN"/>
                    </w:rPr>
                    <w:t>收集</w:t>
                  </w:r>
                  <w:r>
                    <w:rPr>
                      <w:rFonts w:hint="eastAsia"/>
                      <w:color w:val="auto"/>
                      <w:sz w:val="21"/>
                      <w:szCs w:val="21"/>
                    </w:rPr>
                    <w:t>处理</w:t>
                  </w:r>
                  <w:r>
                    <w:rPr>
                      <w:rFonts w:hint="eastAsia"/>
                      <w:color w:val="auto"/>
                      <w:sz w:val="21"/>
                      <w:szCs w:val="21"/>
                      <w:lang w:eastAsia="zh-CN"/>
                    </w:rPr>
                    <w:t>后连接到车间外排放</w:t>
                  </w:r>
                </w:p>
              </w:tc>
            </w:tr>
            <w:tr w14:paraId="3626A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070" w:hRule="atLeast"/>
              </w:trPr>
              <w:tc>
                <w:tcPr>
                  <w:tcW w:w="647" w:type="dxa"/>
                  <w:vMerge w:val="continue"/>
                  <w:vAlign w:val="center"/>
                </w:tcPr>
                <w:p w14:paraId="62D5BB14">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267826FF">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4330" w:type="dxa"/>
                  <w:gridSpan w:val="3"/>
                  <w:vAlign w:val="center"/>
                </w:tcPr>
                <w:p w14:paraId="2E5471D1">
                  <w:pPr>
                    <w:pStyle w:val="26"/>
                    <w:widowControl w:val="0"/>
                    <w:bidi w:val="0"/>
                    <w:spacing w:line="240" w:lineRule="auto"/>
                    <w:rPr>
                      <w:rFonts w:hint="eastAsia"/>
                      <w:color w:val="auto"/>
                      <w:lang w:val="en-US" w:eastAsia="zh-CN"/>
                    </w:rPr>
                  </w:pPr>
                  <w:r>
                    <w:rPr>
                      <w:rFonts w:hint="eastAsia"/>
                      <w:color w:val="auto"/>
                    </w:rPr>
                    <w:t>胶合废气：设置密闭胶合间，设负压集气系统对胶合废气进行收集后纳入二级活性炭装置处理后通过1根15m高排气筒（DA001）排放</w:t>
                  </w:r>
                </w:p>
              </w:tc>
              <w:tc>
                <w:tcPr>
                  <w:tcW w:w="2956" w:type="dxa"/>
                  <w:vAlign w:val="center"/>
                </w:tcPr>
                <w:p w14:paraId="7143801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FF0000"/>
                      <w:lang w:val="en-US" w:eastAsia="zh-CN"/>
                    </w:rPr>
                  </w:pPr>
                  <w:r>
                    <w:rPr>
                      <w:rFonts w:hint="eastAsia"/>
                      <w:color w:val="auto"/>
                      <w:sz w:val="21"/>
                      <w:szCs w:val="21"/>
                      <w:lang w:val="en-US" w:eastAsia="zh-CN"/>
                    </w:rPr>
                    <w:t>胶合作业量少，实际胶合废气产生量少，未设置密闭胶合间，定期做好厂区除臭工作</w:t>
                  </w:r>
                </w:p>
              </w:tc>
            </w:tr>
            <w:tr w14:paraId="5F92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647" w:type="dxa"/>
                  <w:vMerge w:val="continue"/>
                  <w:vAlign w:val="center"/>
                </w:tcPr>
                <w:p w14:paraId="58A7D18E">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0EE1663E">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4330" w:type="dxa"/>
                  <w:gridSpan w:val="3"/>
                  <w:vAlign w:val="center"/>
                </w:tcPr>
                <w:p w14:paraId="2B8EE778">
                  <w:pPr>
                    <w:pStyle w:val="26"/>
                    <w:widowControl w:val="0"/>
                    <w:bidi w:val="0"/>
                    <w:spacing w:line="240" w:lineRule="auto"/>
                    <w:rPr>
                      <w:rFonts w:hint="eastAsia"/>
                      <w:color w:val="auto"/>
                    </w:rPr>
                  </w:pPr>
                  <w:r>
                    <w:rPr>
                      <w:rFonts w:hint="eastAsia"/>
                      <w:color w:val="auto"/>
                    </w:rPr>
                    <w:t>喷塑粉尘：配套负压收集系统对未附着的塑粉进行收集后经反向脉冲式滤芯回收系统</w:t>
                  </w:r>
                  <w:r>
                    <w:rPr>
                      <w:rFonts w:hint="eastAsia"/>
                      <w:color w:val="auto"/>
                      <w:lang w:val="en-US" w:eastAsia="zh-CN"/>
                    </w:rPr>
                    <w:t>+布袋除尘器处理后</w:t>
                  </w:r>
                  <w:r>
                    <w:rPr>
                      <w:rFonts w:hint="eastAsia"/>
                      <w:color w:val="auto"/>
                    </w:rPr>
                    <w:t>通过1根15m高的排气筒</w:t>
                  </w:r>
                </w:p>
                <w:p w14:paraId="6B9653CD">
                  <w:pPr>
                    <w:pStyle w:val="26"/>
                    <w:widowControl w:val="0"/>
                    <w:bidi w:val="0"/>
                    <w:spacing w:line="240" w:lineRule="auto"/>
                    <w:rPr>
                      <w:rFonts w:hint="eastAsia"/>
                      <w:color w:val="auto"/>
                      <w:lang w:val="en-US" w:eastAsia="zh-CN"/>
                    </w:rPr>
                  </w:pPr>
                  <w:r>
                    <w:rPr>
                      <w:rFonts w:hint="eastAsia"/>
                      <w:color w:val="auto"/>
                    </w:rPr>
                    <w:t>（DA002）排放</w:t>
                  </w:r>
                </w:p>
              </w:tc>
              <w:tc>
                <w:tcPr>
                  <w:tcW w:w="2956" w:type="dxa"/>
                  <w:vAlign w:val="center"/>
                </w:tcPr>
                <w:p w14:paraId="1D304C3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sz w:val="21"/>
                      <w:szCs w:val="21"/>
                      <w:lang w:val="en-US" w:eastAsia="zh-CN"/>
                    </w:rPr>
                    <w:t>喷塑粉尘经布袋除尘器处理后通过DA002排放口排放</w:t>
                  </w:r>
                </w:p>
              </w:tc>
            </w:tr>
            <w:tr w14:paraId="48AD8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3" w:hRule="atLeast"/>
              </w:trPr>
              <w:tc>
                <w:tcPr>
                  <w:tcW w:w="647" w:type="dxa"/>
                  <w:vMerge w:val="continue"/>
                  <w:vAlign w:val="center"/>
                </w:tcPr>
                <w:p w14:paraId="5140007A">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5F0830FB">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4330" w:type="dxa"/>
                  <w:gridSpan w:val="3"/>
                  <w:vAlign w:val="center"/>
                </w:tcPr>
                <w:p w14:paraId="53E4721C">
                  <w:pPr>
                    <w:pStyle w:val="26"/>
                    <w:widowControl w:val="0"/>
                    <w:bidi w:val="0"/>
                    <w:spacing w:line="240" w:lineRule="auto"/>
                    <w:rPr>
                      <w:rFonts w:hint="eastAsia"/>
                      <w:color w:val="auto"/>
                      <w:lang w:val="en-US" w:eastAsia="zh-CN"/>
                    </w:rPr>
                  </w:pPr>
                  <w:r>
                    <w:rPr>
                      <w:rFonts w:hint="eastAsia"/>
                      <w:color w:val="auto"/>
                    </w:rPr>
                    <w:t>固化工段有机废气：负压集气管道收集后通过</w:t>
                  </w:r>
                  <w:r>
                    <w:rPr>
                      <w:rFonts w:hint="eastAsia"/>
                      <w:color w:val="auto"/>
                      <w:lang w:val="en-US" w:eastAsia="zh-CN"/>
                    </w:rPr>
                    <w:t>二级活性炭吸附装置</w:t>
                  </w:r>
                  <w:r>
                    <w:rPr>
                      <w:rFonts w:hint="eastAsia"/>
                      <w:color w:val="auto"/>
                    </w:rPr>
                    <w:t>处理后通过15m高排气筒（DA003）排放</w:t>
                  </w:r>
                </w:p>
              </w:tc>
              <w:tc>
                <w:tcPr>
                  <w:tcW w:w="2956" w:type="dxa"/>
                  <w:vMerge w:val="restart"/>
                  <w:vAlign w:val="center"/>
                </w:tcPr>
                <w:p w14:paraId="7A06EF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r>
                    <w:rPr>
                      <w:rFonts w:hint="eastAsia"/>
                      <w:color w:val="auto"/>
                      <w:sz w:val="21"/>
                      <w:szCs w:val="21"/>
                      <w:lang w:eastAsia="zh-CN"/>
                    </w:rPr>
                    <w:t>实际为</w:t>
                  </w:r>
                  <w:r>
                    <w:rPr>
                      <w:rFonts w:hint="eastAsia"/>
                      <w:color w:val="auto"/>
                      <w:sz w:val="21"/>
                      <w:szCs w:val="21"/>
                    </w:rPr>
                    <w:t>固化工段有机废气</w:t>
                  </w:r>
                  <w:r>
                    <w:rPr>
                      <w:rFonts w:hint="eastAsia"/>
                      <w:color w:val="auto"/>
                      <w:sz w:val="21"/>
                      <w:szCs w:val="21"/>
                      <w:lang w:eastAsia="zh-CN"/>
                    </w:rPr>
                    <w:t>、喷漆废气烘干废气及锅炉废气统一经负压集气系统</w:t>
                  </w:r>
                  <w:r>
                    <w:rPr>
                      <w:rFonts w:hint="eastAsia"/>
                      <w:color w:val="auto"/>
                      <w:sz w:val="21"/>
                      <w:szCs w:val="21"/>
                    </w:rPr>
                    <w:t>收集后</w:t>
                  </w:r>
                  <w:r>
                    <w:rPr>
                      <w:rFonts w:hint="eastAsia"/>
                      <w:color w:val="auto"/>
                      <w:sz w:val="21"/>
                      <w:szCs w:val="21"/>
                      <w:lang w:eastAsia="zh-CN"/>
                    </w:rPr>
                    <w:t>一并</w:t>
                  </w:r>
                  <w:r>
                    <w:rPr>
                      <w:rFonts w:hint="eastAsia"/>
                      <w:color w:val="auto"/>
                      <w:sz w:val="21"/>
                      <w:szCs w:val="21"/>
                    </w:rPr>
                    <w:t>纳入二级活性炭装置处理后通过DA00</w:t>
                  </w:r>
                  <w:r>
                    <w:rPr>
                      <w:rFonts w:hint="eastAsia"/>
                      <w:color w:val="auto"/>
                      <w:sz w:val="21"/>
                      <w:szCs w:val="21"/>
                      <w:lang w:val="en-US" w:eastAsia="zh-CN"/>
                    </w:rPr>
                    <w:t>1</w:t>
                  </w:r>
                  <w:r>
                    <w:rPr>
                      <w:rFonts w:hint="eastAsia"/>
                      <w:color w:val="auto"/>
                      <w:sz w:val="21"/>
                      <w:szCs w:val="21"/>
                    </w:rPr>
                    <w:t>排放</w:t>
                  </w:r>
                  <w:r>
                    <w:rPr>
                      <w:rFonts w:hint="eastAsia"/>
                      <w:color w:val="auto"/>
                      <w:sz w:val="21"/>
                      <w:szCs w:val="21"/>
                      <w:lang w:eastAsia="zh-CN"/>
                    </w:rPr>
                    <w:t>口排放</w:t>
                  </w:r>
                </w:p>
              </w:tc>
            </w:tr>
            <w:tr w14:paraId="57E3D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44" w:hRule="atLeast"/>
              </w:trPr>
              <w:tc>
                <w:tcPr>
                  <w:tcW w:w="647" w:type="dxa"/>
                  <w:vMerge w:val="continue"/>
                  <w:vAlign w:val="center"/>
                </w:tcPr>
                <w:p w14:paraId="2BDA2CA2">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50FD6503">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4330" w:type="dxa"/>
                  <w:gridSpan w:val="3"/>
                  <w:vAlign w:val="center"/>
                </w:tcPr>
                <w:p w14:paraId="5C0EF936">
                  <w:pPr>
                    <w:pStyle w:val="26"/>
                    <w:widowControl w:val="0"/>
                    <w:bidi w:val="0"/>
                    <w:spacing w:line="240" w:lineRule="auto"/>
                    <w:rPr>
                      <w:rFonts w:hint="eastAsia"/>
                      <w:color w:val="auto"/>
                      <w:lang w:val="en-US" w:eastAsia="zh-CN"/>
                    </w:rPr>
                  </w:pPr>
                  <w:r>
                    <w:rPr>
                      <w:rFonts w:hint="eastAsia"/>
                      <w:color w:val="auto"/>
                    </w:rPr>
                    <w:t>喷漆房喷漆废气：经过水帘柜+干式过滤器处理后汇入</w:t>
                  </w:r>
                  <w:r>
                    <w:rPr>
                      <w:rFonts w:hint="eastAsia"/>
                      <w:color w:val="auto"/>
                      <w:lang w:val="en-US" w:eastAsia="zh-CN"/>
                    </w:rPr>
                    <w:t>二级活性炭吸附装置</w:t>
                  </w:r>
                  <w:r>
                    <w:rPr>
                      <w:rFonts w:hint="eastAsia"/>
                      <w:color w:val="auto"/>
                    </w:rPr>
                    <w:t>处理后通过15m高排气筒（DA003）排放</w:t>
                  </w:r>
                </w:p>
              </w:tc>
              <w:tc>
                <w:tcPr>
                  <w:tcW w:w="2956" w:type="dxa"/>
                  <w:vMerge w:val="continue"/>
                  <w:vAlign w:val="center"/>
                </w:tcPr>
                <w:p w14:paraId="198C9F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p>
              </w:tc>
            </w:tr>
            <w:tr w14:paraId="49BA4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09" w:hRule="atLeast"/>
              </w:trPr>
              <w:tc>
                <w:tcPr>
                  <w:tcW w:w="647" w:type="dxa"/>
                  <w:vMerge w:val="continue"/>
                  <w:vAlign w:val="center"/>
                </w:tcPr>
                <w:p w14:paraId="05201415">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75994818">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4330" w:type="dxa"/>
                  <w:gridSpan w:val="3"/>
                  <w:vAlign w:val="center"/>
                </w:tcPr>
                <w:p w14:paraId="0E71D85F">
                  <w:pPr>
                    <w:pStyle w:val="26"/>
                    <w:widowControl w:val="0"/>
                    <w:bidi w:val="0"/>
                    <w:spacing w:line="240" w:lineRule="auto"/>
                    <w:rPr>
                      <w:rFonts w:hint="eastAsia"/>
                      <w:color w:val="auto"/>
                      <w:lang w:val="en-US" w:eastAsia="zh-CN"/>
                    </w:rPr>
                  </w:pPr>
                  <w:r>
                    <w:rPr>
                      <w:rFonts w:hint="eastAsia"/>
                      <w:color w:val="auto"/>
                    </w:rPr>
                    <w:t>烘干废气：负压集气管道收集通过</w:t>
                  </w:r>
                  <w:r>
                    <w:rPr>
                      <w:rFonts w:hint="eastAsia"/>
                      <w:color w:val="auto"/>
                      <w:lang w:val="en-US" w:eastAsia="zh-CN"/>
                    </w:rPr>
                    <w:t>二级活性炭吸附装置</w:t>
                  </w:r>
                  <w:r>
                    <w:rPr>
                      <w:rFonts w:hint="eastAsia"/>
                      <w:color w:val="auto"/>
                    </w:rPr>
                    <w:t>处理后通过15m高排气筒（DA003）排放</w:t>
                  </w:r>
                </w:p>
              </w:tc>
              <w:tc>
                <w:tcPr>
                  <w:tcW w:w="2956" w:type="dxa"/>
                  <w:vMerge w:val="continue"/>
                  <w:vAlign w:val="center"/>
                </w:tcPr>
                <w:p w14:paraId="3AC6A5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lang w:val="en-US" w:eastAsia="zh-CN"/>
                    </w:rPr>
                  </w:pPr>
                </w:p>
              </w:tc>
            </w:tr>
            <w:tr w14:paraId="70562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5" w:hRule="atLeast"/>
              </w:trPr>
              <w:tc>
                <w:tcPr>
                  <w:tcW w:w="647" w:type="dxa"/>
                  <w:vMerge w:val="continue"/>
                  <w:vAlign w:val="center"/>
                </w:tcPr>
                <w:p w14:paraId="17338546">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28260277">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4330" w:type="dxa"/>
                  <w:gridSpan w:val="3"/>
                  <w:vAlign w:val="center"/>
                </w:tcPr>
                <w:p w14:paraId="03ACAF66">
                  <w:pPr>
                    <w:pStyle w:val="26"/>
                    <w:widowControl w:val="0"/>
                    <w:bidi w:val="0"/>
                    <w:spacing w:line="240" w:lineRule="auto"/>
                    <w:rPr>
                      <w:rFonts w:hint="eastAsia"/>
                      <w:color w:val="auto"/>
                      <w:lang w:val="en-US" w:eastAsia="zh-CN"/>
                    </w:rPr>
                  </w:pPr>
                  <w:r>
                    <w:rPr>
                      <w:rFonts w:hint="eastAsia"/>
                      <w:color w:val="auto"/>
                    </w:rPr>
                    <w:t>天然气热风炉废气：低氮燃烧，尾气经15m高排气筒（DA004）排放</w:t>
                  </w:r>
                </w:p>
              </w:tc>
              <w:tc>
                <w:tcPr>
                  <w:tcW w:w="2956" w:type="dxa"/>
                  <w:vMerge w:val="continue"/>
                  <w:vAlign w:val="center"/>
                </w:tcPr>
                <w:p w14:paraId="1A494F11">
                  <w:pPr>
                    <w:pStyle w:val="2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r w14:paraId="43DD6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27" w:hRule="atLeast"/>
              </w:trPr>
              <w:tc>
                <w:tcPr>
                  <w:tcW w:w="647" w:type="dxa"/>
                  <w:vMerge w:val="continue"/>
                  <w:vAlign w:val="center"/>
                </w:tcPr>
                <w:p w14:paraId="6FB76D79">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6DF5511A">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4330" w:type="dxa"/>
                  <w:gridSpan w:val="3"/>
                  <w:vAlign w:val="center"/>
                </w:tcPr>
                <w:p w14:paraId="5954B20C">
                  <w:pPr>
                    <w:pStyle w:val="26"/>
                    <w:widowControl w:val="0"/>
                    <w:bidi w:val="0"/>
                    <w:spacing w:line="240" w:lineRule="auto"/>
                    <w:rPr>
                      <w:rFonts w:hint="eastAsia"/>
                      <w:color w:val="auto"/>
                    </w:rPr>
                  </w:pPr>
                  <w:r>
                    <w:rPr>
                      <w:color w:val="auto"/>
                    </w:rPr>
                    <w:t>食堂油烟</w:t>
                  </w:r>
                  <w:r>
                    <w:rPr>
                      <w:rFonts w:hint="eastAsia"/>
                      <w:color w:val="auto"/>
                      <w:lang w:eastAsia="zh-CN"/>
                    </w:rPr>
                    <w:t>经</w:t>
                  </w:r>
                  <w:r>
                    <w:rPr>
                      <w:color w:val="auto"/>
                    </w:rPr>
                    <w:t>油烟净化器处理后</w:t>
                  </w:r>
                  <w:r>
                    <w:rPr>
                      <w:rFonts w:hint="eastAsia"/>
                      <w:color w:val="auto"/>
                    </w:rPr>
                    <w:t>引至屋顶通过</w:t>
                  </w:r>
                </w:p>
                <w:p w14:paraId="6341C999">
                  <w:pPr>
                    <w:pStyle w:val="26"/>
                    <w:widowControl w:val="0"/>
                    <w:bidi w:val="0"/>
                    <w:spacing w:line="240" w:lineRule="auto"/>
                    <w:rPr>
                      <w:rFonts w:hint="eastAsia"/>
                      <w:color w:val="auto"/>
                      <w:lang w:val="en-US" w:eastAsia="zh-CN"/>
                    </w:rPr>
                  </w:pPr>
                  <w:r>
                    <w:rPr>
                      <w:rFonts w:hint="eastAsia"/>
                      <w:color w:val="auto"/>
                    </w:rPr>
                    <w:t>8m排气筒</w:t>
                  </w:r>
                  <w:r>
                    <w:rPr>
                      <w:color w:val="auto"/>
                    </w:rPr>
                    <w:t>排放</w:t>
                  </w:r>
                </w:p>
              </w:tc>
              <w:tc>
                <w:tcPr>
                  <w:tcW w:w="2956" w:type="dxa"/>
                  <w:vAlign w:val="center"/>
                </w:tcPr>
                <w:p w14:paraId="654C0360">
                  <w:pPr>
                    <w:pStyle w:val="2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olor w:val="auto"/>
                      <w:lang w:val="en-US" w:eastAsia="zh-CN"/>
                    </w:rPr>
                  </w:pPr>
                  <w:r>
                    <w:rPr>
                      <w:rFonts w:hint="eastAsia"/>
                      <w:color w:val="auto"/>
                      <w:lang w:val="en-US" w:eastAsia="zh-CN"/>
                    </w:rPr>
                    <w:t>实际情况为食堂油烟经油烟净化器处理后无组织排放</w:t>
                  </w:r>
                </w:p>
              </w:tc>
            </w:tr>
            <w:tr w14:paraId="7C7E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427" w:hRule="atLeast"/>
              </w:trPr>
              <w:tc>
                <w:tcPr>
                  <w:tcW w:w="647" w:type="dxa"/>
                  <w:vMerge w:val="continue"/>
                  <w:vAlign w:val="center"/>
                </w:tcPr>
                <w:p w14:paraId="06F721B2">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restart"/>
                  <w:vAlign w:val="center"/>
                </w:tcPr>
                <w:p w14:paraId="1208C670">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固废</w:t>
                  </w:r>
                </w:p>
                <w:p w14:paraId="46BD72CB">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治理</w:t>
                  </w:r>
                </w:p>
              </w:tc>
              <w:tc>
                <w:tcPr>
                  <w:tcW w:w="1021" w:type="dxa"/>
                  <w:vAlign w:val="center"/>
                </w:tcPr>
                <w:p w14:paraId="1EAAE176">
                  <w:pPr>
                    <w:pStyle w:val="26"/>
                    <w:widowControl w:val="0"/>
                    <w:bidi w:val="0"/>
                    <w:spacing w:line="240" w:lineRule="auto"/>
                    <w:rPr>
                      <w:rFonts w:hint="eastAsia"/>
                      <w:color w:val="auto"/>
                      <w:lang w:val="en-US" w:eastAsia="zh-CN"/>
                    </w:rPr>
                  </w:pPr>
                  <w:r>
                    <w:rPr>
                      <w:rFonts w:hint="eastAsia"/>
                      <w:color w:val="auto"/>
                    </w:rPr>
                    <w:t>一般固废暂存场所</w:t>
                  </w:r>
                </w:p>
              </w:tc>
              <w:tc>
                <w:tcPr>
                  <w:tcW w:w="3309" w:type="dxa"/>
                  <w:gridSpan w:val="2"/>
                  <w:vAlign w:val="center"/>
                </w:tcPr>
                <w:p w14:paraId="759D5B8B">
                  <w:pPr>
                    <w:pStyle w:val="26"/>
                    <w:widowControl w:val="0"/>
                    <w:bidi w:val="0"/>
                    <w:spacing w:line="240" w:lineRule="auto"/>
                    <w:rPr>
                      <w:rFonts w:hint="eastAsia"/>
                      <w:color w:val="auto"/>
                      <w:lang w:val="en-US" w:eastAsia="zh-CN"/>
                    </w:rPr>
                  </w:pPr>
                  <w:r>
                    <w:rPr>
                      <w:rFonts w:hint="eastAsia"/>
                      <w:color w:val="auto"/>
                    </w:rPr>
                    <w:t>位于厂房1F西侧，建筑面积为20m</w:t>
                  </w:r>
                  <w:r>
                    <w:rPr>
                      <w:rFonts w:hint="eastAsia"/>
                      <w:color w:val="auto"/>
                      <w:vertAlign w:val="superscript"/>
                    </w:rPr>
                    <w:t>2</w:t>
                  </w:r>
                  <w:r>
                    <w:rPr>
                      <w:rFonts w:hint="eastAsia"/>
                      <w:color w:val="auto"/>
                    </w:rPr>
                    <w:t>，废金属边角料、废包装材料、焊接净化器收集烟尘收集于一般工业固废暂存场所后定期资源外售；废滤芯收集于一般工业固废暂存场后由厂家回收</w:t>
                  </w:r>
                </w:p>
              </w:tc>
              <w:tc>
                <w:tcPr>
                  <w:tcW w:w="2956" w:type="dxa"/>
                  <w:vAlign w:val="center"/>
                </w:tcPr>
                <w:p w14:paraId="5D0C74D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21"/>
                      <w:szCs w:val="21"/>
                      <w:lang w:val="en-US" w:eastAsia="zh-CN"/>
                    </w:rPr>
                  </w:pPr>
                  <w:r>
                    <w:rPr>
                      <w:rFonts w:hint="eastAsia"/>
                      <w:color w:val="auto"/>
                      <w:sz w:val="21"/>
                      <w:szCs w:val="21"/>
                      <w:lang w:val="en-US" w:eastAsia="zh-CN"/>
                    </w:rPr>
                    <w:t>实际位于3#厂房1F西侧，一般工业固体废物产生一定量后即处理，不长期贮存</w:t>
                  </w:r>
                </w:p>
              </w:tc>
            </w:tr>
            <w:tr w14:paraId="54F7E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603" w:hRule="atLeast"/>
              </w:trPr>
              <w:tc>
                <w:tcPr>
                  <w:tcW w:w="647" w:type="dxa"/>
                  <w:vMerge w:val="continue"/>
                  <w:vAlign w:val="center"/>
                </w:tcPr>
                <w:p w14:paraId="6F689BB5">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60F88421">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1021" w:type="dxa"/>
                  <w:vAlign w:val="center"/>
                </w:tcPr>
                <w:p w14:paraId="2183548F">
                  <w:pPr>
                    <w:pStyle w:val="26"/>
                    <w:widowControl w:val="0"/>
                    <w:bidi w:val="0"/>
                    <w:spacing w:line="240" w:lineRule="auto"/>
                    <w:rPr>
                      <w:rFonts w:hint="eastAsia"/>
                      <w:color w:val="auto"/>
                      <w:lang w:val="en-US" w:eastAsia="zh-CN"/>
                    </w:rPr>
                  </w:pPr>
                  <w:r>
                    <w:rPr>
                      <w:rFonts w:hint="eastAsia"/>
                      <w:color w:val="auto"/>
                    </w:rPr>
                    <w:t>危险废物暂存间</w:t>
                  </w:r>
                </w:p>
              </w:tc>
              <w:tc>
                <w:tcPr>
                  <w:tcW w:w="3309" w:type="dxa"/>
                  <w:gridSpan w:val="2"/>
                  <w:vAlign w:val="center"/>
                </w:tcPr>
                <w:p w14:paraId="768DA73A">
                  <w:pPr>
                    <w:pStyle w:val="26"/>
                    <w:widowControl w:val="0"/>
                    <w:bidi w:val="0"/>
                    <w:spacing w:line="240" w:lineRule="auto"/>
                    <w:rPr>
                      <w:rFonts w:hint="eastAsia"/>
                      <w:color w:val="auto"/>
                      <w:lang w:val="en-US" w:eastAsia="zh-CN"/>
                    </w:rPr>
                  </w:pPr>
                  <w:r>
                    <w:rPr>
                      <w:rFonts w:hint="eastAsia"/>
                      <w:color w:val="auto"/>
                    </w:rPr>
                    <w:t>位于厂房1F西北角，建筑面积30m</w:t>
                  </w:r>
                  <w:r>
                    <w:rPr>
                      <w:rFonts w:hint="eastAsia"/>
                      <w:color w:val="auto"/>
                      <w:vertAlign w:val="superscript"/>
                    </w:rPr>
                    <w:t>2</w:t>
                  </w:r>
                  <w:r>
                    <w:rPr>
                      <w:color w:val="auto"/>
                    </w:rPr>
                    <w:t>，</w:t>
                  </w:r>
                  <w:r>
                    <w:rPr>
                      <w:rFonts w:hint="eastAsia"/>
                      <w:color w:val="auto"/>
                    </w:rPr>
                    <w:t>废槽渣、废润滑油、废润滑油桶、废发泡剂桶、废过滤棉、废活性炭、废药剂桶收集后暂存于危废暂存间，定期委托有资质单位处置</w:t>
                  </w:r>
                </w:p>
              </w:tc>
              <w:tc>
                <w:tcPr>
                  <w:tcW w:w="2956" w:type="dxa"/>
                  <w:vAlign w:val="center"/>
                </w:tcPr>
                <w:p w14:paraId="5DA6325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b/>
                      <w:bCs/>
                      <w:color w:val="auto"/>
                      <w:sz w:val="21"/>
                      <w:szCs w:val="21"/>
                      <w:lang w:val="en-US" w:eastAsia="zh-CN"/>
                    </w:rPr>
                  </w:pPr>
                  <w:r>
                    <w:rPr>
                      <w:rFonts w:hint="eastAsia"/>
                      <w:color w:val="auto"/>
                      <w:sz w:val="21"/>
                      <w:szCs w:val="21"/>
                      <w:lang w:val="en-US" w:eastAsia="zh-CN"/>
                    </w:rPr>
                    <w:t>实际位于3#厂房1F西侧，</w:t>
                  </w:r>
                  <w:r>
                    <w:rPr>
                      <w:rFonts w:hint="eastAsia"/>
                      <w:color w:val="auto"/>
                      <w:sz w:val="21"/>
                      <w:szCs w:val="21"/>
                    </w:rPr>
                    <w:t>建筑面积</w:t>
                  </w:r>
                  <w:r>
                    <w:rPr>
                      <w:rFonts w:hint="eastAsia"/>
                      <w:color w:val="auto"/>
                      <w:sz w:val="21"/>
                      <w:szCs w:val="21"/>
                      <w:lang w:eastAsia="zh-CN"/>
                    </w:rPr>
                    <w:t>约</w:t>
                  </w:r>
                  <w:r>
                    <w:rPr>
                      <w:rFonts w:hint="eastAsia"/>
                      <w:color w:val="auto"/>
                      <w:sz w:val="21"/>
                      <w:szCs w:val="21"/>
                      <w:lang w:val="en-US" w:eastAsia="zh-CN"/>
                    </w:rPr>
                    <w:t>3</w:t>
                  </w:r>
                  <w:r>
                    <w:rPr>
                      <w:rFonts w:hint="eastAsia"/>
                      <w:color w:val="auto"/>
                      <w:sz w:val="21"/>
                      <w:szCs w:val="21"/>
                    </w:rPr>
                    <w:t>0m</w:t>
                  </w:r>
                  <w:r>
                    <w:rPr>
                      <w:rFonts w:hint="eastAsia"/>
                      <w:color w:val="auto"/>
                      <w:sz w:val="21"/>
                      <w:szCs w:val="21"/>
                      <w:vertAlign w:val="superscript"/>
                    </w:rPr>
                    <w:t>2</w:t>
                  </w:r>
                  <w:r>
                    <w:rPr>
                      <w:rFonts w:hint="eastAsia"/>
                      <w:color w:val="auto"/>
                      <w:sz w:val="21"/>
                      <w:szCs w:val="21"/>
                      <w:vertAlign w:val="baseline"/>
                      <w:lang w:eastAsia="zh-CN"/>
                    </w:rPr>
                    <w:t>，由于日常生产过程产生的危险废物较少，如废槽渣、过滤棉、活性炭类等产生周期较长，因此产生的危险废物贮存收集后，定期签订一次性危废转移合同进行危废转移</w:t>
                  </w:r>
                </w:p>
              </w:tc>
            </w:tr>
            <w:tr w14:paraId="706F1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5" w:hRule="atLeast"/>
              </w:trPr>
              <w:tc>
                <w:tcPr>
                  <w:tcW w:w="647" w:type="dxa"/>
                  <w:vMerge w:val="continue"/>
                  <w:vAlign w:val="center"/>
                </w:tcPr>
                <w:p w14:paraId="4BEF2F5D">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Merge w:val="continue"/>
                  <w:vAlign w:val="center"/>
                </w:tcPr>
                <w:p w14:paraId="392F5F24">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1021" w:type="dxa"/>
                  <w:vAlign w:val="center"/>
                </w:tcPr>
                <w:p w14:paraId="1E4A3E78">
                  <w:pPr>
                    <w:pStyle w:val="26"/>
                    <w:widowControl w:val="0"/>
                    <w:bidi w:val="0"/>
                    <w:spacing w:line="240" w:lineRule="auto"/>
                    <w:rPr>
                      <w:rFonts w:hint="eastAsia"/>
                      <w:color w:val="auto"/>
                    </w:rPr>
                  </w:pPr>
                  <w:r>
                    <w:rPr>
                      <w:rFonts w:hint="eastAsia"/>
                      <w:color w:val="auto"/>
                    </w:rPr>
                    <w:t>生活</w:t>
                  </w:r>
                </w:p>
                <w:p w14:paraId="7A74886F">
                  <w:pPr>
                    <w:pStyle w:val="26"/>
                    <w:widowControl w:val="0"/>
                    <w:bidi w:val="0"/>
                    <w:spacing w:line="240" w:lineRule="auto"/>
                    <w:rPr>
                      <w:rFonts w:hint="eastAsia"/>
                      <w:color w:val="auto"/>
                      <w:lang w:val="en-US" w:eastAsia="zh-CN"/>
                    </w:rPr>
                  </w:pPr>
                  <w:r>
                    <w:rPr>
                      <w:rFonts w:hint="eastAsia"/>
                      <w:color w:val="auto"/>
                    </w:rPr>
                    <w:t>垃圾</w:t>
                  </w:r>
                </w:p>
              </w:tc>
              <w:tc>
                <w:tcPr>
                  <w:tcW w:w="3309" w:type="dxa"/>
                  <w:gridSpan w:val="2"/>
                  <w:vAlign w:val="center"/>
                </w:tcPr>
                <w:p w14:paraId="04BFF9C7">
                  <w:pPr>
                    <w:pStyle w:val="26"/>
                    <w:widowControl w:val="0"/>
                    <w:bidi w:val="0"/>
                    <w:spacing w:line="240" w:lineRule="auto"/>
                    <w:rPr>
                      <w:rFonts w:hint="eastAsia"/>
                      <w:color w:val="auto"/>
                      <w:lang w:val="en-US" w:eastAsia="zh-CN"/>
                    </w:rPr>
                  </w:pPr>
                  <w:r>
                    <w:rPr>
                      <w:rFonts w:hint="eastAsia"/>
                      <w:color w:val="auto"/>
                    </w:rPr>
                    <w:t>设置垃圾桶，由环卫部门统一清运</w:t>
                  </w:r>
                </w:p>
              </w:tc>
              <w:tc>
                <w:tcPr>
                  <w:tcW w:w="2956" w:type="dxa"/>
                  <w:vAlign w:val="center"/>
                </w:tcPr>
                <w:p w14:paraId="785E148F">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eastAsia="zh-CN"/>
                    </w:rPr>
                    <w:t>由</w:t>
                  </w:r>
                  <w:r>
                    <w:rPr>
                      <w:rFonts w:hint="eastAsia"/>
                      <w:color w:val="auto"/>
                    </w:rPr>
                    <w:t>环卫部门统一清运</w:t>
                  </w:r>
                </w:p>
              </w:tc>
            </w:tr>
            <w:tr w14:paraId="3F26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04" w:hRule="atLeast"/>
              </w:trPr>
              <w:tc>
                <w:tcPr>
                  <w:tcW w:w="647" w:type="dxa"/>
                  <w:vMerge w:val="continue"/>
                  <w:vAlign w:val="center"/>
                </w:tcPr>
                <w:p w14:paraId="204459E3">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p>
              </w:tc>
              <w:tc>
                <w:tcPr>
                  <w:tcW w:w="805" w:type="dxa"/>
                  <w:vAlign w:val="center"/>
                </w:tcPr>
                <w:p w14:paraId="3C0B4064">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噪声</w:t>
                  </w:r>
                </w:p>
                <w:p w14:paraId="0AABDA50">
                  <w:pPr>
                    <w:pStyle w:val="2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eastAsia="宋体" w:cs="Times New Roman"/>
                      <w:color w:val="auto"/>
                      <w:sz w:val="21"/>
                      <w:szCs w:val="24"/>
                      <w:lang w:val="en-US" w:eastAsia="zh-CN" w:bidi="ar-SA"/>
                    </w:rPr>
                  </w:pPr>
                  <w:r>
                    <w:rPr>
                      <w:rFonts w:hint="eastAsia"/>
                      <w:color w:val="auto"/>
                      <w:lang w:val="en-US" w:eastAsia="zh-CN"/>
                    </w:rPr>
                    <w:t>治理</w:t>
                  </w:r>
                </w:p>
              </w:tc>
              <w:tc>
                <w:tcPr>
                  <w:tcW w:w="4330" w:type="dxa"/>
                  <w:gridSpan w:val="3"/>
                  <w:vAlign w:val="center"/>
                </w:tcPr>
                <w:p w14:paraId="176057C4">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color w:val="auto"/>
                      <w:szCs w:val="21"/>
                    </w:rPr>
                    <w:t>设备安装减振消声设施；厂房吸声隔声；距离衰减</w:t>
                  </w:r>
                </w:p>
              </w:tc>
              <w:tc>
                <w:tcPr>
                  <w:tcW w:w="2956" w:type="dxa"/>
                  <w:vAlign w:val="center"/>
                </w:tcPr>
                <w:p w14:paraId="2F82E39D">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与环评申报一致</w:t>
                  </w:r>
                </w:p>
              </w:tc>
            </w:tr>
            <w:tr w14:paraId="71F1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11" w:hRule="atLeast"/>
              </w:trPr>
              <w:tc>
                <w:tcPr>
                  <w:tcW w:w="647" w:type="dxa"/>
                  <w:vAlign w:val="center"/>
                </w:tcPr>
                <w:p w14:paraId="30455B6A">
                  <w:pPr>
                    <w:pStyle w:val="26"/>
                    <w:widowControl w:val="0"/>
                    <w:bidi w:val="0"/>
                    <w:spacing w:line="240" w:lineRule="auto"/>
                    <w:rPr>
                      <w:rFonts w:hint="eastAsia"/>
                      <w:color w:val="auto"/>
                      <w:lang w:val="en-US" w:eastAsia="zh-CN"/>
                    </w:rPr>
                  </w:pPr>
                  <w:r>
                    <w:rPr>
                      <w:rFonts w:hint="eastAsia"/>
                      <w:color w:val="auto"/>
                    </w:rPr>
                    <w:t>环境风险</w:t>
                  </w:r>
                </w:p>
              </w:tc>
              <w:tc>
                <w:tcPr>
                  <w:tcW w:w="5135" w:type="dxa"/>
                  <w:gridSpan w:val="4"/>
                  <w:vAlign w:val="center"/>
                </w:tcPr>
                <w:p w14:paraId="36F479F0">
                  <w:pPr>
                    <w:pStyle w:val="26"/>
                    <w:widowControl w:val="0"/>
                    <w:bidi w:val="0"/>
                    <w:spacing w:line="240" w:lineRule="auto"/>
                    <w:rPr>
                      <w:rFonts w:hint="eastAsia"/>
                      <w:color w:val="auto"/>
                      <w:lang w:val="en-US" w:eastAsia="zh-CN"/>
                    </w:rPr>
                  </w:pPr>
                  <w:r>
                    <w:rPr>
                      <w:rFonts w:hint="eastAsia"/>
                      <w:color w:val="auto"/>
                    </w:rPr>
                    <w:t>设置消防设施，脱脂池、表调池、磷化池、水洗池、化学品暂存间、危废暂存区、污水处理站区域重点防渗</w:t>
                  </w:r>
                </w:p>
              </w:tc>
              <w:tc>
                <w:tcPr>
                  <w:tcW w:w="2956" w:type="dxa"/>
                  <w:vAlign w:val="center"/>
                </w:tcPr>
                <w:p w14:paraId="2B28F460">
                  <w:pPr>
                    <w:pStyle w:val="2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与环评申报一致</w:t>
                  </w:r>
                </w:p>
              </w:tc>
            </w:tr>
          </w:tbl>
          <w:p w14:paraId="4037B1E4">
            <w:pPr>
              <w:bidi w:val="0"/>
              <w:rPr>
                <w:rFonts w:hint="eastAsia"/>
                <w:b/>
                <w:bCs/>
                <w:color w:val="auto"/>
                <w:lang w:val="en-US" w:eastAsia="zh-CN"/>
              </w:rPr>
            </w:pPr>
            <w:r>
              <w:rPr>
                <w:rFonts w:hint="eastAsia"/>
                <w:b/>
                <w:bCs/>
                <w:color w:val="auto"/>
                <w:lang w:val="en-US" w:eastAsia="zh-CN"/>
              </w:rPr>
              <w:t>4、项目变动情况</w:t>
            </w:r>
          </w:p>
          <w:p w14:paraId="3B00C6BF">
            <w:pPr>
              <w:bidi w:val="0"/>
              <w:ind w:firstLine="480" w:firstLineChars="200"/>
              <w:rPr>
                <w:rFonts w:hint="default"/>
                <w:color w:val="auto"/>
              </w:rPr>
            </w:pPr>
            <w:r>
              <w:rPr>
                <w:rFonts w:hint="default"/>
                <w:color w:val="auto"/>
                <w:szCs w:val="24"/>
              </w:rPr>
              <w:t>根</w:t>
            </w:r>
            <w:r>
              <w:rPr>
                <w:rFonts w:hint="default"/>
                <w:color w:val="auto"/>
              </w:rPr>
              <w:t>据《关于印发&lt;污染影响类建设项目重大变动清单（试行）&gt;的通知》（环办环评函〔2020〕688号），对项目是否涉及重大变动判定如下：</w:t>
            </w:r>
          </w:p>
          <w:p w14:paraId="391B63D7">
            <w:pPr>
              <w:bidi w:val="0"/>
              <w:spacing w:line="240" w:lineRule="auto"/>
              <w:jc w:val="center"/>
              <w:rPr>
                <w:rFonts w:hint="eastAsia"/>
                <w:b/>
                <w:bCs/>
                <w:color w:val="auto"/>
                <w:lang w:val="en-US" w:eastAsia="zh-CN"/>
              </w:rPr>
            </w:pPr>
            <w:r>
              <w:rPr>
                <w:rFonts w:hint="eastAsia"/>
                <w:b/>
                <w:bCs/>
                <w:color w:val="auto"/>
                <w:lang w:val="en-US" w:eastAsia="zh-CN"/>
              </w:rPr>
              <w:t>表2-3  项目变动情况分析表</w:t>
            </w:r>
          </w:p>
          <w:tbl>
            <w:tblPr>
              <w:tblStyle w:val="20"/>
              <w:tblW w:w="8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020"/>
              <w:gridCol w:w="4240"/>
              <w:gridCol w:w="2529"/>
              <w:gridCol w:w="990"/>
            </w:tblGrid>
            <w:tr w14:paraId="33767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19" w:hRule="atLeast"/>
              </w:trPr>
              <w:tc>
                <w:tcPr>
                  <w:tcW w:w="5260" w:type="dxa"/>
                  <w:gridSpan w:val="2"/>
                  <w:vAlign w:val="center"/>
                </w:tcPr>
                <w:p w14:paraId="06A1459E">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b/>
                      <w:bCs/>
                      <w:color w:val="auto"/>
                      <w:lang w:val="en-US" w:eastAsia="zh-CN"/>
                    </w:rPr>
                  </w:pPr>
                  <w:r>
                    <w:rPr>
                      <w:rFonts w:hint="default"/>
                      <w:b/>
                      <w:bCs/>
                      <w:color w:val="auto"/>
                    </w:rPr>
                    <w:t>《关于印发&lt;污染影响类建设项目重大变动清单（试行）&gt;的通知》（环办环评函〔2020〕688号）</w:t>
                  </w:r>
                  <w:r>
                    <w:rPr>
                      <w:rFonts w:hint="eastAsia"/>
                      <w:b/>
                      <w:bCs/>
                      <w:color w:val="auto"/>
                      <w:lang w:eastAsia="zh-CN"/>
                    </w:rPr>
                    <w:t xml:space="preserve"> </w:t>
                  </w:r>
                </w:p>
              </w:tc>
              <w:tc>
                <w:tcPr>
                  <w:tcW w:w="2529" w:type="dxa"/>
                  <w:vAlign w:val="center"/>
                </w:tcPr>
                <w:p w14:paraId="0554D5FA">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lang w:val="en-US" w:eastAsia="zh-CN"/>
                    </w:rPr>
                  </w:pPr>
                  <w:r>
                    <w:rPr>
                      <w:rFonts w:hint="eastAsia"/>
                      <w:b/>
                      <w:bCs/>
                      <w:color w:val="auto"/>
                      <w:lang w:val="en-US" w:eastAsia="zh-CN"/>
                    </w:rPr>
                    <w:t>变动情况</w:t>
                  </w:r>
                </w:p>
              </w:tc>
              <w:tc>
                <w:tcPr>
                  <w:tcW w:w="990" w:type="dxa"/>
                  <w:vAlign w:val="center"/>
                </w:tcPr>
                <w:p w14:paraId="3FF2BA1E">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lang w:val="en-US" w:eastAsia="zh-CN"/>
                    </w:rPr>
                  </w:pPr>
                  <w:r>
                    <w:rPr>
                      <w:rFonts w:hint="eastAsia"/>
                      <w:b/>
                      <w:bCs/>
                      <w:color w:val="auto"/>
                      <w:lang w:val="en-US" w:eastAsia="zh-CN"/>
                    </w:rPr>
                    <w:t>是否属于重大变动</w:t>
                  </w:r>
                </w:p>
              </w:tc>
            </w:tr>
            <w:tr w14:paraId="7FFE6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84" w:hRule="atLeast"/>
              </w:trPr>
              <w:tc>
                <w:tcPr>
                  <w:tcW w:w="1020" w:type="dxa"/>
                  <w:vAlign w:val="center"/>
                </w:tcPr>
                <w:p w14:paraId="06439307">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lang w:val="en-US" w:eastAsia="zh-CN"/>
                    </w:rPr>
                  </w:pPr>
                  <w:r>
                    <w:rPr>
                      <w:rFonts w:hint="eastAsia"/>
                      <w:color w:val="auto"/>
                      <w:lang w:val="en-US" w:eastAsia="zh-CN"/>
                    </w:rPr>
                    <w:t>一、性质</w:t>
                  </w:r>
                </w:p>
              </w:tc>
              <w:tc>
                <w:tcPr>
                  <w:tcW w:w="4240" w:type="dxa"/>
                  <w:vAlign w:val="center"/>
                </w:tcPr>
                <w:p w14:paraId="02D973C2">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1、建设项目开发、使用功能发生变化的</w:t>
                  </w:r>
                </w:p>
              </w:tc>
              <w:tc>
                <w:tcPr>
                  <w:tcW w:w="2529" w:type="dxa"/>
                  <w:vAlign w:val="center"/>
                </w:tcPr>
                <w:p w14:paraId="60400480">
                  <w:pPr>
                    <w:widowControl w:val="0"/>
                    <w:spacing w:line="240" w:lineRule="auto"/>
                    <w:ind w:firstLine="0" w:firstLineChars="0"/>
                    <w:jc w:val="center"/>
                    <w:rPr>
                      <w:rFonts w:hint="default" w:ascii="Times New Roman" w:hAnsi="Times New Roman" w:eastAsia="宋体" w:cs="Times New Roman"/>
                      <w:color w:val="auto"/>
                      <w:sz w:val="21"/>
                      <w:szCs w:val="24"/>
                      <w:lang w:val="en-US" w:eastAsia="zh-CN" w:bidi="ar-SA"/>
                    </w:rPr>
                  </w:pPr>
                  <w:r>
                    <w:rPr>
                      <w:rFonts w:hint="default" w:ascii="Times New Roman" w:hAnsi="Times New Roman" w:eastAsia="宋体" w:cs="Times New Roman"/>
                      <w:color w:val="auto"/>
                      <w:sz w:val="21"/>
                      <w:lang w:val="en-US" w:eastAsia="zh-CN"/>
                    </w:rPr>
                    <w:t>建设项目开发、使用功能</w:t>
                  </w:r>
                  <w:r>
                    <w:rPr>
                      <w:rFonts w:hint="eastAsia" w:ascii="Times New Roman" w:hAnsi="Times New Roman" w:eastAsia="宋体" w:cs="Times New Roman"/>
                      <w:color w:val="auto"/>
                      <w:sz w:val="21"/>
                      <w:lang w:val="en-US" w:eastAsia="zh-CN"/>
                    </w:rPr>
                    <w:t>未</w:t>
                  </w:r>
                  <w:r>
                    <w:rPr>
                      <w:rFonts w:hint="default" w:ascii="Times New Roman" w:hAnsi="Times New Roman" w:eastAsia="宋体" w:cs="Times New Roman"/>
                      <w:color w:val="auto"/>
                      <w:sz w:val="21"/>
                      <w:lang w:val="en-US" w:eastAsia="zh-CN"/>
                    </w:rPr>
                    <w:t>发生变化</w:t>
                  </w:r>
                </w:p>
              </w:tc>
              <w:tc>
                <w:tcPr>
                  <w:tcW w:w="990" w:type="dxa"/>
                  <w:vAlign w:val="center"/>
                </w:tcPr>
                <w:p w14:paraId="6D6FDB0B">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76B37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29" w:hRule="atLeast"/>
              </w:trPr>
              <w:tc>
                <w:tcPr>
                  <w:tcW w:w="1020" w:type="dxa"/>
                  <w:vMerge w:val="restart"/>
                  <w:vAlign w:val="center"/>
                </w:tcPr>
                <w:p w14:paraId="17C7507E">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lang w:val="en-US" w:eastAsia="zh-CN"/>
                    </w:rPr>
                  </w:pPr>
                  <w:r>
                    <w:rPr>
                      <w:rFonts w:hint="eastAsia"/>
                      <w:color w:val="auto"/>
                      <w:lang w:val="en-US" w:eastAsia="zh-CN"/>
                    </w:rPr>
                    <w:t>二、规模</w:t>
                  </w:r>
                </w:p>
              </w:tc>
              <w:tc>
                <w:tcPr>
                  <w:tcW w:w="4240" w:type="dxa"/>
                  <w:vAlign w:val="center"/>
                </w:tcPr>
                <w:p w14:paraId="6B63B2C2">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2、生产、处置或储存能力增大30%及以上的</w:t>
                  </w:r>
                </w:p>
              </w:tc>
              <w:tc>
                <w:tcPr>
                  <w:tcW w:w="2529" w:type="dxa"/>
                  <w:vAlign w:val="center"/>
                </w:tcPr>
                <w:p w14:paraId="39AB0237">
                  <w:pPr>
                    <w:widowControl w:val="0"/>
                    <w:spacing w:line="240" w:lineRule="auto"/>
                    <w:ind w:firstLine="0" w:firstLineChars="0"/>
                    <w:jc w:val="center"/>
                    <w:rPr>
                      <w:rFonts w:hint="default" w:ascii="Times New Roman" w:hAnsi="Times New Roman" w:eastAsia="宋体" w:cs="Times New Roman"/>
                      <w:color w:val="auto"/>
                      <w:sz w:val="21"/>
                      <w:szCs w:val="24"/>
                      <w:lang w:val="en-US" w:eastAsia="zh-CN" w:bidi="ar-SA"/>
                    </w:rPr>
                  </w:pPr>
                  <w:r>
                    <w:rPr>
                      <w:rFonts w:hint="default" w:ascii="Times New Roman" w:hAnsi="Times New Roman" w:eastAsia="宋体" w:cs="Times New Roman"/>
                      <w:color w:val="auto"/>
                      <w:sz w:val="21"/>
                      <w:lang w:val="en-US" w:eastAsia="zh-CN"/>
                    </w:rPr>
                    <w:t>生产、处置</w:t>
                  </w:r>
                  <w:r>
                    <w:rPr>
                      <w:rFonts w:hint="eastAsia" w:ascii="Times New Roman" w:hAnsi="Times New Roman" w:eastAsia="宋体" w:cs="Times New Roman"/>
                      <w:color w:val="auto"/>
                      <w:sz w:val="21"/>
                      <w:lang w:val="en-US" w:eastAsia="zh-CN"/>
                    </w:rPr>
                    <w:t>能力未增大</w:t>
                  </w:r>
                </w:p>
              </w:tc>
              <w:tc>
                <w:tcPr>
                  <w:tcW w:w="990" w:type="dxa"/>
                  <w:vAlign w:val="center"/>
                </w:tcPr>
                <w:p w14:paraId="14274E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1588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17" w:hRule="atLeast"/>
              </w:trPr>
              <w:tc>
                <w:tcPr>
                  <w:tcW w:w="1020" w:type="dxa"/>
                  <w:vMerge w:val="continue"/>
                  <w:vAlign w:val="center"/>
                </w:tcPr>
                <w:p w14:paraId="120A01D7">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lang w:val="en-US" w:eastAsia="zh-CN"/>
                    </w:rPr>
                  </w:pPr>
                </w:p>
              </w:tc>
              <w:tc>
                <w:tcPr>
                  <w:tcW w:w="4240" w:type="dxa"/>
                  <w:vAlign w:val="center"/>
                </w:tcPr>
                <w:p w14:paraId="7C725906">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3、生产、处置或储存能力增大，导致废水第一类污染物排放量增加的</w:t>
                  </w:r>
                </w:p>
              </w:tc>
              <w:tc>
                <w:tcPr>
                  <w:tcW w:w="2529" w:type="dxa"/>
                  <w:vAlign w:val="center"/>
                </w:tcPr>
                <w:p w14:paraId="39797122">
                  <w:pPr>
                    <w:widowControl w:val="0"/>
                    <w:spacing w:line="240" w:lineRule="auto"/>
                    <w:ind w:firstLine="0" w:firstLineChars="0"/>
                    <w:jc w:val="center"/>
                    <w:rPr>
                      <w:rFonts w:hint="default" w:ascii="Times New Roman" w:hAnsi="Times New Roman" w:eastAsia="宋体" w:cs="Times New Roman"/>
                      <w:color w:val="auto"/>
                      <w:sz w:val="21"/>
                      <w:szCs w:val="24"/>
                      <w:lang w:val="en-US" w:eastAsia="zh-CN" w:bidi="ar-SA"/>
                    </w:rPr>
                  </w:pPr>
                  <w:r>
                    <w:rPr>
                      <w:rFonts w:hint="eastAsia" w:ascii="Times New Roman" w:hAnsi="Times New Roman" w:eastAsia="宋体" w:cs="Times New Roman"/>
                      <w:color w:val="auto"/>
                      <w:sz w:val="21"/>
                      <w:lang w:val="en-US" w:eastAsia="zh-CN"/>
                    </w:rPr>
                    <w:t>本项目</w:t>
                  </w:r>
                  <w:r>
                    <w:rPr>
                      <w:rFonts w:hint="default" w:ascii="Times New Roman" w:hAnsi="Times New Roman" w:eastAsia="宋体" w:cs="Times New Roman"/>
                      <w:color w:val="auto"/>
                      <w:sz w:val="21"/>
                      <w:lang w:val="en-US" w:eastAsia="zh-CN"/>
                    </w:rPr>
                    <w:t>生产、处置</w:t>
                  </w:r>
                  <w:r>
                    <w:rPr>
                      <w:rFonts w:hint="eastAsia" w:ascii="Times New Roman" w:hAnsi="Times New Roman" w:eastAsia="宋体" w:cs="Times New Roman"/>
                      <w:color w:val="auto"/>
                      <w:sz w:val="21"/>
                      <w:lang w:val="en-US" w:eastAsia="zh-CN"/>
                    </w:rPr>
                    <w:t>能力未增大，不涉及废水第一类污染物排放</w:t>
                  </w:r>
                </w:p>
              </w:tc>
              <w:tc>
                <w:tcPr>
                  <w:tcW w:w="990" w:type="dxa"/>
                  <w:vAlign w:val="center"/>
                </w:tcPr>
                <w:p w14:paraId="053A16F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2150F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896" w:hRule="atLeast"/>
              </w:trPr>
              <w:tc>
                <w:tcPr>
                  <w:tcW w:w="1020" w:type="dxa"/>
                  <w:vMerge w:val="continue"/>
                  <w:vAlign w:val="center"/>
                </w:tcPr>
                <w:p w14:paraId="74569518">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lang w:val="en-US" w:eastAsia="zh-CN"/>
                    </w:rPr>
                  </w:pPr>
                </w:p>
              </w:tc>
              <w:tc>
                <w:tcPr>
                  <w:tcW w:w="4240" w:type="dxa"/>
                  <w:vAlign w:val="center"/>
                </w:tcPr>
                <w:p w14:paraId="46BCFA6C">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529" w:type="dxa"/>
                  <w:vAlign w:val="center"/>
                </w:tcPr>
                <w:p w14:paraId="04034C4F">
                  <w:pPr>
                    <w:widowControl w:val="0"/>
                    <w:spacing w:line="240" w:lineRule="auto"/>
                    <w:ind w:firstLine="0" w:firstLineChars="0"/>
                    <w:jc w:val="center"/>
                    <w:rPr>
                      <w:rFonts w:hint="default" w:ascii="Times New Roman" w:hAnsi="Times New Roman" w:eastAsia="宋体" w:cs="Times New Roman"/>
                      <w:color w:val="auto"/>
                      <w:sz w:val="21"/>
                      <w:szCs w:val="24"/>
                      <w:lang w:val="en-US" w:eastAsia="zh-CN" w:bidi="ar-SA"/>
                    </w:rPr>
                  </w:pPr>
                  <w:r>
                    <w:rPr>
                      <w:rFonts w:hint="default" w:ascii="Times New Roman" w:hAnsi="Times New Roman" w:eastAsia="宋体" w:cs="Times New Roman"/>
                      <w:color w:val="auto"/>
                      <w:sz w:val="21"/>
                      <w:lang w:val="en-US" w:eastAsia="zh-CN"/>
                    </w:rPr>
                    <w:t>本项目位于环境质量达标区，项目生产、处置或储存能力未增</w:t>
                  </w:r>
                  <w:r>
                    <w:rPr>
                      <w:rFonts w:hint="eastAsia" w:ascii="Times New Roman" w:hAnsi="Times New Roman" w:eastAsia="宋体" w:cs="Times New Roman"/>
                      <w:color w:val="auto"/>
                      <w:sz w:val="21"/>
                      <w:lang w:val="en-US" w:eastAsia="zh-CN"/>
                    </w:rPr>
                    <w:t>大，不涉及污染物排放量增加</w:t>
                  </w:r>
                </w:p>
              </w:tc>
              <w:tc>
                <w:tcPr>
                  <w:tcW w:w="990" w:type="dxa"/>
                  <w:vAlign w:val="center"/>
                </w:tcPr>
                <w:p w14:paraId="035F1AD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10081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80" w:hRule="atLeast"/>
              </w:trPr>
              <w:tc>
                <w:tcPr>
                  <w:tcW w:w="1020" w:type="dxa"/>
                  <w:vAlign w:val="center"/>
                </w:tcPr>
                <w:p w14:paraId="2C8CF6C3">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lang w:val="en-US" w:eastAsia="zh-CN"/>
                    </w:rPr>
                  </w:pPr>
                  <w:r>
                    <w:rPr>
                      <w:rFonts w:hint="eastAsia"/>
                      <w:color w:val="auto"/>
                      <w:lang w:val="en-US" w:eastAsia="zh-CN"/>
                    </w:rPr>
                    <w:t>三、地点</w:t>
                  </w:r>
                </w:p>
              </w:tc>
              <w:tc>
                <w:tcPr>
                  <w:tcW w:w="4240" w:type="dxa"/>
                  <w:vAlign w:val="center"/>
                </w:tcPr>
                <w:p w14:paraId="1DD72757">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5、重新选址；在原厂址附近调整（包括总平面布置变化）导致环境防护距离范围变化且新增敏感点的</w:t>
                  </w:r>
                </w:p>
              </w:tc>
              <w:tc>
                <w:tcPr>
                  <w:tcW w:w="2529" w:type="dxa"/>
                  <w:vAlign w:val="center"/>
                </w:tcPr>
                <w:p w14:paraId="6775AFBD">
                  <w:pPr>
                    <w:widowControl w:val="0"/>
                    <w:spacing w:line="240" w:lineRule="auto"/>
                    <w:ind w:firstLine="0" w:firstLineChars="0"/>
                    <w:jc w:val="center"/>
                    <w:rPr>
                      <w:rFonts w:hint="default" w:ascii="Times New Roman" w:hAnsi="Times New Roman" w:eastAsia="宋体" w:cs="Times New Roman"/>
                      <w:color w:val="auto"/>
                      <w:sz w:val="21"/>
                      <w:szCs w:val="24"/>
                      <w:lang w:val="en-US" w:eastAsia="zh-CN" w:bidi="ar-SA"/>
                    </w:rPr>
                  </w:pPr>
                  <w:r>
                    <w:rPr>
                      <w:rFonts w:hint="eastAsia"/>
                      <w:bCs/>
                      <w:color w:val="auto"/>
                      <w:sz w:val="21"/>
                      <w:szCs w:val="21"/>
                      <w:lang w:val="en-US" w:eastAsia="zh-CN"/>
                    </w:rPr>
                    <w:t>另租赁5#楼1层西侧第二间厂房（与3#楼隔路，距离小于10m），</w:t>
                  </w:r>
                  <w:r>
                    <w:rPr>
                      <w:rFonts w:hint="eastAsia" w:ascii="Times New Roman" w:hAnsi="Times New Roman" w:cs="Times New Roman"/>
                      <w:color w:val="auto"/>
                      <w:sz w:val="21"/>
                      <w:szCs w:val="21"/>
                    </w:rPr>
                    <w:t>环境防护距离范围</w:t>
                  </w:r>
                  <w:r>
                    <w:rPr>
                      <w:rFonts w:hint="eastAsia" w:ascii="Times New Roman" w:hAnsi="Times New Roman" w:cs="Times New Roman"/>
                      <w:color w:val="auto"/>
                      <w:sz w:val="21"/>
                      <w:szCs w:val="21"/>
                      <w:lang w:eastAsia="zh-CN"/>
                    </w:rPr>
                    <w:t>未发生</w:t>
                  </w:r>
                  <w:r>
                    <w:rPr>
                      <w:rFonts w:hint="eastAsia" w:ascii="Times New Roman" w:hAnsi="Times New Roman" w:cs="Times New Roman"/>
                      <w:color w:val="auto"/>
                      <w:sz w:val="21"/>
                      <w:szCs w:val="21"/>
                    </w:rPr>
                    <w:t>变化且</w:t>
                  </w:r>
                  <w:r>
                    <w:rPr>
                      <w:rFonts w:hint="eastAsia" w:ascii="Times New Roman" w:hAnsi="Times New Roman" w:cs="Times New Roman"/>
                      <w:color w:val="auto"/>
                      <w:sz w:val="21"/>
                      <w:szCs w:val="21"/>
                      <w:lang w:eastAsia="zh-CN"/>
                    </w:rPr>
                    <w:t>未</w:t>
                  </w:r>
                  <w:r>
                    <w:rPr>
                      <w:rFonts w:hint="eastAsia" w:ascii="Times New Roman" w:hAnsi="Times New Roman" w:cs="Times New Roman"/>
                      <w:color w:val="auto"/>
                      <w:sz w:val="21"/>
                      <w:szCs w:val="21"/>
                    </w:rPr>
                    <w:t>新增敏感点</w:t>
                  </w:r>
                </w:p>
              </w:tc>
              <w:tc>
                <w:tcPr>
                  <w:tcW w:w="990" w:type="dxa"/>
                  <w:vAlign w:val="center"/>
                </w:tcPr>
                <w:p w14:paraId="51D5F0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44B7B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75" w:hRule="atLeast"/>
              </w:trPr>
              <w:tc>
                <w:tcPr>
                  <w:tcW w:w="1020" w:type="dxa"/>
                  <w:vMerge w:val="restart"/>
                  <w:vAlign w:val="center"/>
                </w:tcPr>
                <w:p w14:paraId="61333928">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四、生产工艺</w:t>
                  </w:r>
                </w:p>
              </w:tc>
              <w:tc>
                <w:tcPr>
                  <w:tcW w:w="4240" w:type="dxa"/>
                  <w:vAlign w:val="center"/>
                </w:tcPr>
                <w:p w14:paraId="0B923FE4">
                  <w:pPr>
                    <w:keepNext w:val="0"/>
                    <w:keepLines w:val="0"/>
                    <w:pageBreakBefore w:val="0"/>
                    <w:widowControl w:val="0"/>
                    <w:tabs>
                      <w:tab w:val="left" w:pos="1540"/>
                    </w:tabs>
                    <w:kinsoku/>
                    <w:wordWrap/>
                    <w:overflowPunct/>
                    <w:topLinePunct w:val="0"/>
                    <w:autoSpaceDE/>
                    <w:autoSpaceDN/>
                    <w:bidi w:val="0"/>
                    <w:adjustRightInd w:val="0"/>
                    <w:snapToGrid w:val="0"/>
                    <w:spacing w:line="240" w:lineRule="auto"/>
                    <w:ind w:firstLine="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6、新增产品品种或生产工艺（含主要生产装置、设备及配套设施）、主要原辅材料、燃料变化，导致以下情形之一：</w:t>
                  </w:r>
                </w:p>
                <w:p w14:paraId="4D892D17">
                  <w:pPr>
                    <w:keepNext w:val="0"/>
                    <w:keepLines w:val="0"/>
                    <w:pageBreakBefore w:val="0"/>
                    <w:widowControl w:val="0"/>
                    <w:tabs>
                      <w:tab w:val="left" w:pos="1540"/>
                    </w:tabs>
                    <w:kinsoku/>
                    <w:wordWrap/>
                    <w:overflowPunct/>
                    <w:topLinePunct w:val="0"/>
                    <w:autoSpaceDE/>
                    <w:autoSpaceDN/>
                    <w:bidi w:val="0"/>
                    <w:adjustRightInd w:val="0"/>
                    <w:snapToGrid w:val="0"/>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（1）新增排放污染物种类的（毒性、挥发性降低的除外）；</w:t>
                  </w:r>
                </w:p>
                <w:p w14:paraId="29A64B39">
                  <w:pPr>
                    <w:keepNext w:val="0"/>
                    <w:keepLines w:val="0"/>
                    <w:pageBreakBefore w:val="0"/>
                    <w:widowControl w:val="0"/>
                    <w:tabs>
                      <w:tab w:val="left" w:pos="1540"/>
                    </w:tabs>
                    <w:kinsoku/>
                    <w:wordWrap/>
                    <w:overflowPunct/>
                    <w:topLinePunct w:val="0"/>
                    <w:autoSpaceDE/>
                    <w:autoSpaceDN/>
                    <w:bidi w:val="0"/>
                    <w:adjustRightInd w:val="0"/>
                    <w:snapToGrid w:val="0"/>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（2）位于环境质量不达标区的建设项目相应污染物排放量增加的；</w:t>
                  </w:r>
                </w:p>
                <w:p w14:paraId="71A05529">
                  <w:pPr>
                    <w:keepNext w:val="0"/>
                    <w:keepLines w:val="0"/>
                    <w:pageBreakBefore w:val="0"/>
                    <w:widowControl w:val="0"/>
                    <w:tabs>
                      <w:tab w:val="left" w:pos="1540"/>
                    </w:tabs>
                    <w:kinsoku/>
                    <w:wordWrap/>
                    <w:overflowPunct/>
                    <w:topLinePunct w:val="0"/>
                    <w:autoSpaceDE/>
                    <w:autoSpaceDN/>
                    <w:bidi w:val="0"/>
                    <w:adjustRightInd w:val="0"/>
                    <w:snapToGrid w:val="0"/>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（3）废水第一类污染物排放量增加的；</w:t>
                  </w:r>
                </w:p>
                <w:p w14:paraId="10A0AE40">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（4）其他污染物排放量增加10%及以上的</w:t>
                  </w:r>
                </w:p>
              </w:tc>
              <w:tc>
                <w:tcPr>
                  <w:tcW w:w="2529" w:type="dxa"/>
                  <w:vAlign w:val="center"/>
                </w:tcPr>
                <w:p w14:paraId="0A2DD64C">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本项目生产工艺、产品品种、原辅材料均与环评一致</w:t>
                  </w:r>
                </w:p>
              </w:tc>
              <w:tc>
                <w:tcPr>
                  <w:tcW w:w="990" w:type="dxa"/>
                  <w:vAlign w:val="center"/>
                </w:tcPr>
                <w:p w14:paraId="6E34340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1F500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14" w:hRule="atLeast"/>
              </w:trPr>
              <w:tc>
                <w:tcPr>
                  <w:tcW w:w="1020" w:type="dxa"/>
                  <w:vMerge w:val="continue"/>
                  <w:vAlign w:val="center"/>
                </w:tcPr>
                <w:p w14:paraId="3DD0F491">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p>
              </w:tc>
              <w:tc>
                <w:tcPr>
                  <w:tcW w:w="4240" w:type="dxa"/>
                  <w:vAlign w:val="center"/>
                </w:tcPr>
                <w:p w14:paraId="19D03B24">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7、物料运输、装卸、贮存方式变化，导致大气污染物无组织排放量增加10%及以上的</w:t>
                  </w:r>
                </w:p>
              </w:tc>
              <w:tc>
                <w:tcPr>
                  <w:tcW w:w="2529" w:type="dxa"/>
                  <w:vAlign w:val="center"/>
                </w:tcPr>
                <w:p w14:paraId="760DF2AB">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物料运输、装卸、贮存方式</w:t>
                  </w:r>
                  <w:r>
                    <w:rPr>
                      <w:rFonts w:hint="eastAsia" w:ascii="Times New Roman" w:hAnsi="Times New Roman" w:eastAsia="宋体" w:cs="Times New Roman"/>
                      <w:color w:val="auto"/>
                      <w:sz w:val="21"/>
                      <w:szCs w:val="21"/>
                      <w:lang w:val="en-US" w:eastAsia="zh-CN"/>
                    </w:rPr>
                    <w:t>未发生变化</w:t>
                  </w:r>
                </w:p>
              </w:tc>
              <w:tc>
                <w:tcPr>
                  <w:tcW w:w="990" w:type="dxa"/>
                  <w:vAlign w:val="center"/>
                </w:tcPr>
                <w:p w14:paraId="7572062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21C80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47" w:hRule="atLeast"/>
              </w:trPr>
              <w:tc>
                <w:tcPr>
                  <w:tcW w:w="1020" w:type="dxa"/>
                  <w:vMerge w:val="restart"/>
                  <w:vAlign w:val="center"/>
                </w:tcPr>
                <w:p w14:paraId="52ECB4B9">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五、环境保护措施</w:t>
                  </w:r>
                </w:p>
              </w:tc>
              <w:tc>
                <w:tcPr>
                  <w:tcW w:w="4240" w:type="dxa"/>
                  <w:vAlign w:val="center"/>
                </w:tcPr>
                <w:p w14:paraId="45822C09">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529" w:type="dxa"/>
                  <w:vAlign w:val="center"/>
                </w:tcPr>
                <w:p w14:paraId="033FA2F6">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大气污染物无组织排放量</w:t>
                  </w:r>
                  <w:r>
                    <w:rPr>
                      <w:rFonts w:hint="eastAsia" w:ascii="Times New Roman" w:hAnsi="Times New Roman" w:eastAsia="宋体" w:cs="Times New Roman"/>
                      <w:color w:val="auto"/>
                      <w:sz w:val="21"/>
                      <w:szCs w:val="21"/>
                      <w:lang w:val="en-US" w:eastAsia="zh-CN"/>
                    </w:rPr>
                    <w:t>未</w:t>
                  </w:r>
                  <w:r>
                    <w:rPr>
                      <w:rFonts w:hint="default" w:ascii="Times New Roman" w:hAnsi="Times New Roman" w:eastAsia="宋体" w:cs="Times New Roman"/>
                      <w:color w:val="auto"/>
                      <w:sz w:val="21"/>
                      <w:szCs w:val="21"/>
                      <w:lang w:val="en-US" w:eastAsia="zh-CN"/>
                    </w:rPr>
                    <w:t>增加10%及以上</w:t>
                  </w:r>
                  <w:r>
                    <w:rPr>
                      <w:rFonts w:hint="eastAsia" w:cs="Times New Roman"/>
                      <w:color w:val="auto"/>
                      <w:sz w:val="21"/>
                      <w:szCs w:val="21"/>
                      <w:lang w:val="en-US" w:eastAsia="zh-CN"/>
                    </w:rPr>
                    <w:t>，未超总量排放</w:t>
                  </w:r>
                </w:p>
              </w:tc>
              <w:tc>
                <w:tcPr>
                  <w:tcW w:w="990" w:type="dxa"/>
                  <w:vAlign w:val="center"/>
                </w:tcPr>
                <w:p w14:paraId="2FF9B65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01AAB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88" w:hRule="atLeast"/>
              </w:trPr>
              <w:tc>
                <w:tcPr>
                  <w:tcW w:w="1020" w:type="dxa"/>
                  <w:vMerge w:val="continue"/>
                  <w:vAlign w:val="center"/>
                </w:tcPr>
                <w:p w14:paraId="6F7E1484">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p>
              </w:tc>
              <w:tc>
                <w:tcPr>
                  <w:tcW w:w="4240" w:type="dxa"/>
                  <w:vAlign w:val="center"/>
                </w:tcPr>
                <w:p w14:paraId="65C5BEFD">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9、新增废水直接排放口；废水由间接排放改为直接排放；废水直接排放口位置变化，导致不利环境影响加重的</w:t>
                  </w:r>
                </w:p>
              </w:tc>
              <w:tc>
                <w:tcPr>
                  <w:tcW w:w="2529" w:type="dxa"/>
                  <w:vAlign w:val="center"/>
                </w:tcPr>
                <w:p w14:paraId="6C0EC6F2">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不涉及</w:t>
                  </w:r>
                </w:p>
              </w:tc>
              <w:tc>
                <w:tcPr>
                  <w:tcW w:w="990" w:type="dxa"/>
                  <w:vAlign w:val="center"/>
                </w:tcPr>
                <w:p w14:paraId="4F1D12B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293F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33" w:hRule="atLeast"/>
              </w:trPr>
              <w:tc>
                <w:tcPr>
                  <w:tcW w:w="1020" w:type="dxa"/>
                  <w:vMerge w:val="continue"/>
                  <w:vAlign w:val="center"/>
                </w:tcPr>
                <w:p w14:paraId="3B75E6F3">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p>
              </w:tc>
              <w:tc>
                <w:tcPr>
                  <w:tcW w:w="4240" w:type="dxa"/>
                  <w:vAlign w:val="center"/>
                </w:tcPr>
                <w:p w14:paraId="66A828E9">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10、新增废气主要排放口（废气无组织排放改为有组织排放的除外）；主要排放口排气筒高度降低10%及以上的</w:t>
                  </w:r>
                </w:p>
              </w:tc>
              <w:tc>
                <w:tcPr>
                  <w:tcW w:w="2529" w:type="dxa"/>
                  <w:vAlign w:val="center"/>
                </w:tcPr>
                <w:p w14:paraId="00E24DBF">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未</w:t>
                  </w:r>
                  <w:r>
                    <w:rPr>
                      <w:rFonts w:hint="default" w:ascii="Times New Roman" w:hAnsi="Times New Roman" w:eastAsia="宋体" w:cs="Times New Roman"/>
                      <w:color w:val="auto"/>
                      <w:sz w:val="21"/>
                      <w:szCs w:val="21"/>
                      <w:lang w:val="en-US" w:eastAsia="zh-CN"/>
                    </w:rPr>
                    <w:t>新增废气主要排放口</w:t>
                  </w:r>
                </w:p>
              </w:tc>
              <w:tc>
                <w:tcPr>
                  <w:tcW w:w="990" w:type="dxa"/>
                  <w:vAlign w:val="center"/>
                </w:tcPr>
                <w:p w14:paraId="3B7157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0EF06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72" w:hRule="atLeast"/>
              </w:trPr>
              <w:tc>
                <w:tcPr>
                  <w:tcW w:w="1020" w:type="dxa"/>
                  <w:vMerge w:val="continue"/>
                  <w:vAlign w:val="center"/>
                </w:tcPr>
                <w:p w14:paraId="6468972F">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p>
              </w:tc>
              <w:tc>
                <w:tcPr>
                  <w:tcW w:w="4240" w:type="dxa"/>
                  <w:vAlign w:val="center"/>
                </w:tcPr>
                <w:p w14:paraId="52E35B56">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11、噪声、土壤或地下水污染防治措施变化，导致不利环境影响加重的</w:t>
                  </w:r>
                </w:p>
              </w:tc>
              <w:tc>
                <w:tcPr>
                  <w:tcW w:w="2529" w:type="dxa"/>
                  <w:vAlign w:val="center"/>
                </w:tcPr>
                <w:p w14:paraId="46A279BA">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未发生变化</w:t>
                  </w:r>
                </w:p>
              </w:tc>
              <w:tc>
                <w:tcPr>
                  <w:tcW w:w="990" w:type="dxa"/>
                  <w:vAlign w:val="center"/>
                </w:tcPr>
                <w:p w14:paraId="2F02D33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2E3C7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33" w:hRule="atLeast"/>
              </w:trPr>
              <w:tc>
                <w:tcPr>
                  <w:tcW w:w="1020" w:type="dxa"/>
                  <w:vMerge w:val="continue"/>
                  <w:vAlign w:val="center"/>
                </w:tcPr>
                <w:p w14:paraId="2432105E">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p>
              </w:tc>
              <w:tc>
                <w:tcPr>
                  <w:tcW w:w="4240" w:type="dxa"/>
                  <w:vAlign w:val="center"/>
                </w:tcPr>
                <w:p w14:paraId="0835A33E">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529" w:type="dxa"/>
                  <w:vAlign w:val="center"/>
                </w:tcPr>
                <w:p w14:paraId="0EDFF717">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固废处置方式未发生变化</w:t>
                  </w:r>
                </w:p>
              </w:tc>
              <w:tc>
                <w:tcPr>
                  <w:tcW w:w="990" w:type="dxa"/>
                  <w:vAlign w:val="center"/>
                </w:tcPr>
                <w:p w14:paraId="112320C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540A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39" w:hRule="atLeast"/>
              </w:trPr>
              <w:tc>
                <w:tcPr>
                  <w:tcW w:w="1020" w:type="dxa"/>
                  <w:vMerge w:val="continue"/>
                  <w:vAlign w:val="center"/>
                </w:tcPr>
                <w:p w14:paraId="46B9F7C3">
                  <w:pPr>
                    <w:pStyle w:val="2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p>
              </w:tc>
              <w:tc>
                <w:tcPr>
                  <w:tcW w:w="4240" w:type="dxa"/>
                  <w:vAlign w:val="center"/>
                </w:tcPr>
                <w:p w14:paraId="0466CB20">
                  <w:pPr>
                    <w:pStyle w:val="26"/>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color w:val="auto"/>
                      <w:sz w:val="21"/>
                      <w:szCs w:val="21"/>
                      <w:lang w:val="en-US"/>
                    </w:rPr>
                  </w:pPr>
                  <w:r>
                    <w:rPr>
                      <w:rFonts w:hint="default" w:ascii="Times New Roman" w:hAnsi="Times New Roman" w:eastAsia="宋体" w:cs="Times New Roman"/>
                      <w:color w:val="auto"/>
                      <w:sz w:val="21"/>
                      <w:szCs w:val="21"/>
                      <w:lang w:val="en-US" w:eastAsia="zh-CN"/>
                    </w:rPr>
                    <w:t>13、事故废水暂存能力或拦截设施变化，导致环境风险防范能力弱化或降低的</w:t>
                  </w:r>
                </w:p>
              </w:tc>
              <w:tc>
                <w:tcPr>
                  <w:tcW w:w="2529" w:type="dxa"/>
                  <w:vAlign w:val="center"/>
                </w:tcPr>
                <w:p w14:paraId="08530908">
                  <w:pPr>
                    <w:widowControl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未发生变化</w:t>
                  </w:r>
                </w:p>
              </w:tc>
              <w:tc>
                <w:tcPr>
                  <w:tcW w:w="990" w:type="dxa"/>
                  <w:vAlign w:val="center"/>
                </w:tcPr>
                <w:p w14:paraId="7F3C07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 w:val="21"/>
                      <w:szCs w:val="21"/>
                      <w:lang w:val="en-US" w:eastAsia="zh-CN"/>
                    </w:rPr>
                  </w:pPr>
                  <w:r>
                    <w:rPr>
                      <w:rFonts w:hint="default"/>
                      <w:color w:val="auto"/>
                      <w:sz w:val="21"/>
                      <w:szCs w:val="21"/>
                      <w:lang w:val="en-US" w:eastAsia="zh-CN"/>
                    </w:rPr>
                    <w:t>不属于</w:t>
                  </w:r>
                </w:p>
              </w:tc>
            </w:tr>
          </w:tbl>
          <w:p w14:paraId="2476D4C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rPr>
            </w:pPr>
            <w:r>
              <w:rPr>
                <w:color w:val="auto"/>
                <w:sz w:val="24"/>
              </w:rPr>
              <w:t>根据《建设项目环境保护管理条例》（中华人民共和国国务院令</w:t>
            </w:r>
            <w:r>
              <w:rPr>
                <w:rFonts w:hint="default" w:ascii="Times New Roman" w:hAnsi="Times New Roman" w:cs="Times New Roman"/>
                <w:color w:val="auto"/>
                <w:sz w:val="24"/>
              </w:rPr>
              <w:t>第682条），</w:t>
            </w:r>
            <w:r>
              <w:rPr>
                <w:rFonts w:hint="eastAsia" w:cs="Times New Roman"/>
                <w:color w:val="auto"/>
                <w:sz w:val="24"/>
                <w:lang w:eastAsia="zh-CN"/>
              </w:rPr>
              <w:t>本</w:t>
            </w:r>
            <w:r>
              <w:rPr>
                <w:rFonts w:hint="default" w:ascii="Times New Roman" w:hAnsi="Times New Roman" w:cs="Times New Roman"/>
                <w:color w:val="auto"/>
                <w:sz w:val="24"/>
              </w:rPr>
              <w:t>项目不属于重大变动。</w:t>
            </w:r>
            <w:bookmarkStart w:id="2" w:name="_Toc14143_WPSOffice_Level3"/>
            <w:bookmarkStart w:id="3" w:name="_Toc105_WPSOffice_Level3"/>
          </w:p>
          <w:bookmarkEnd w:id="2"/>
          <w:bookmarkEnd w:id="3"/>
          <w:p w14:paraId="65E3DB97">
            <w:pPr>
              <w:numPr>
                <w:ilvl w:val="0"/>
                <w:numId w:val="0"/>
              </w:numPr>
              <w:bidi w:val="0"/>
              <w:rPr>
                <w:rFonts w:hint="eastAsia"/>
                <w:b/>
                <w:bCs/>
                <w:color w:val="auto"/>
                <w:lang w:val="en-US" w:eastAsia="zh-CN"/>
              </w:rPr>
            </w:pPr>
            <w:r>
              <w:rPr>
                <w:rFonts w:hint="eastAsia" w:ascii="Times New Roman" w:hAnsi="Times New Roman" w:eastAsia="宋体" w:cs="Times New Roman"/>
                <w:b/>
                <w:bCs/>
                <w:color w:val="auto"/>
                <w:sz w:val="24"/>
                <w:szCs w:val="24"/>
                <w:lang w:val="en-US" w:eastAsia="zh-CN" w:bidi="ar-SA"/>
              </w:rPr>
              <w:t>5、</w:t>
            </w:r>
            <w:r>
              <w:rPr>
                <w:rFonts w:hint="eastAsia"/>
                <w:b/>
                <w:bCs/>
                <w:color w:val="auto"/>
                <w:lang w:val="en-US" w:eastAsia="zh-CN"/>
              </w:rPr>
              <w:t>产品方案</w:t>
            </w:r>
          </w:p>
          <w:p w14:paraId="5ECA5A47">
            <w:pPr>
              <w:pStyle w:val="5"/>
              <w:bidi w:val="0"/>
              <w:rPr>
                <w:b/>
                <w:bCs/>
                <w:color w:val="auto"/>
                <w:sz w:val="24"/>
                <w:szCs w:val="32"/>
              </w:rPr>
            </w:pPr>
            <w:r>
              <w:rPr>
                <w:rFonts w:hint="eastAsia"/>
                <w:b/>
                <w:bCs/>
                <w:color w:val="auto"/>
                <w:sz w:val="24"/>
                <w:szCs w:val="32"/>
                <w:lang w:val="en-US" w:eastAsia="zh-CN"/>
              </w:rPr>
              <w:t xml:space="preserve">表2-4  </w:t>
            </w:r>
            <w:r>
              <w:rPr>
                <w:b/>
                <w:bCs/>
                <w:color w:val="auto"/>
                <w:sz w:val="24"/>
                <w:szCs w:val="32"/>
                <w:lang w:val="zh-CN"/>
              </w:rPr>
              <w:t>主要产品方案一览表</w:t>
            </w:r>
          </w:p>
          <w:tbl>
            <w:tblPr>
              <w:tblStyle w:val="19"/>
              <w:tblW w:w="87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114"/>
              <w:gridCol w:w="1209"/>
              <w:gridCol w:w="923"/>
              <w:gridCol w:w="923"/>
              <w:gridCol w:w="1063"/>
              <w:gridCol w:w="901"/>
              <w:gridCol w:w="936"/>
              <w:gridCol w:w="951"/>
            </w:tblGrid>
            <w:tr w14:paraId="249BD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410" w:type="pct"/>
                  <w:vMerge w:val="restart"/>
                  <w:noWrap w:val="0"/>
                  <w:vAlign w:val="center"/>
                </w:tcPr>
                <w:p w14:paraId="1D74A4BC">
                  <w:pPr>
                    <w:pStyle w:val="5"/>
                    <w:bidi w:val="0"/>
                    <w:rPr>
                      <w:rFonts w:hint="eastAsia"/>
                      <w:b/>
                      <w:bCs/>
                      <w:color w:val="auto"/>
                    </w:rPr>
                  </w:pPr>
                  <w:r>
                    <w:rPr>
                      <w:rFonts w:hint="eastAsia"/>
                      <w:b/>
                      <w:bCs/>
                      <w:color w:val="auto"/>
                    </w:rPr>
                    <w:t>产品名称</w:t>
                  </w:r>
                </w:p>
              </w:tc>
              <w:tc>
                <w:tcPr>
                  <w:tcW w:w="637" w:type="pct"/>
                  <w:vMerge w:val="restart"/>
                  <w:noWrap w:val="0"/>
                  <w:vAlign w:val="center"/>
                </w:tcPr>
                <w:p w14:paraId="3ACA5682">
                  <w:pPr>
                    <w:pStyle w:val="5"/>
                    <w:bidi w:val="0"/>
                    <w:rPr>
                      <w:rFonts w:hint="eastAsia"/>
                      <w:b/>
                      <w:bCs/>
                      <w:color w:val="auto"/>
                    </w:rPr>
                  </w:pPr>
                  <w:r>
                    <w:rPr>
                      <w:rFonts w:hint="eastAsia"/>
                      <w:b/>
                      <w:bCs/>
                      <w:color w:val="auto"/>
                    </w:rPr>
                    <w:t>年产量（樘/年）</w:t>
                  </w:r>
                </w:p>
              </w:tc>
              <w:tc>
                <w:tcPr>
                  <w:tcW w:w="691" w:type="pct"/>
                  <w:vMerge w:val="restart"/>
                  <w:noWrap w:val="0"/>
                  <w:vAlign w:val="center"/>
                </w:tcPr>
                <w:p w14:paraId="504688A5">
                  <w:pPr>
                    <w:pStyle w:val="5"/>
                    <w:bidi w:val="0"/>
                    <w:rPr>
                      <w:rFonts w:hint="eastAsia"/>
                      <w:b/>
                      <w:bCs/>
                      <w:color w:val="auto"/>
                    </w:rPr>
                  </w:pPr>
                  <w:r>
                    <w:rPr>
                      <w:rFonts w:hint="eastAsia"/>
                      <w:b/>
                      <w:bCs/>
                      <w:color w:val="auto"/>
                    </w:rPr>
                    <w:t>规格（m）</w:t>
                  </w:r>
                </w:p>
              </w:tc>
              <w:tc>
                <w:tcPr>
                  <w:tcW w:w="1056" w:type="pct"/>
                  <w:gridSpan w:val="2"/>
                  <w:noWrap w:val="0"/>
                  <w:vAlign w:val="center"/>
                </w:tcPr>
                <w:p w14:paraId="142E1D38">
                  <w:pPr>
                    <w:pStyle w:val="5"/>
                    <w:bidi w:val="0"/>
                    <w:rPr>
                      <w:rFonts w:hint="eastAsia"/>
                      <w:b/>
                      <w:bCs/>
                      <w:color w:val="auto"/>
                    </w:rPr>
                  </w:pPr>
                  <w:r>
                    <w:rPr>
                      <w:rFonts w:hint="eastAsia"/>
                      <w:b/>
                      <w:bCs/>
                      <w:color w:val="auto"/>
                    </w:rPr>
                    <w:t>喷塑面积（m</w:t>
                  </w:r>
                  <w:r>
                    <w:rPr>
                      <w:rFonts w:hint="eastAsia"/>
                      <w:b/>
                      <w:bCs/>
                      <w:color w:val="auto"/>
                      <w:vertAlign w:val="superscript"/>
                    </w:rPr>
                    <w:t>2</w:t>
                  </w:r>
                  <w:r>
                    <w:rPr>
                      <w:rFonts w:hint="eastAsia"/>
                      <w:b/>
                      <w:bCs/>
                      <w:color w:val="auto"/>
                    </w:rPr>
                    <w:t>）</w:t>
                  </w:r>
                </w:p>
              </w:tc>
              <w:tc>
                <w:tcPr>
                  <w:tcW w:w="1123" w:type="pct"/>
                  <w:gridSpan w:val="2"/>
                  <w:noWrap w:val="0"/>
                  <w:vAlign w:val="center"/>
                </w:tcPr>
                <w:p w14:paraId="792CD099">
                  <w:pPr>
                    <w:pStyle w:val="5"/>
                    <w:bidi w:val="0"/>
                    <w:rPr>
                      <w:rFonts w:hint="eastAsia"/>
                      <w:b/>
                      <w:bCs/>
                      <w:color w:val="auto"/>
                    </w:rPr>
                  </w:pPr>
                  <w:r>
                    <w:rPr>
                      <w:rFonts w:hint="eastAsia"/>
                      <w:b/>
                      <w:bCs/>
                      <w:color w:val="auto"/>
                    </w:rPr>
                    <w:t>喷中漆面积（m</w:t>
                  </w:r>
                  <w:r>
                    <w:rPr>
                      <w:rFonts w:hint="eastAsia"/>
                      <w:b/>
                      <w:bCs/>
                      <w:color w:val="auto"/>
                      <w:vertAlign w:val="superscript"/>
                    </w:rPr>
                    <w:t>2</w:t>
                  </w:r>
                  <w:r>
                    <w:rPr>
                      <w:rFonts w:hint="eastAsia"/>
                      <w:b/>
                      <w:bCs/>
                      <w:color w:val="auto"/>
                    </w:rPr>
                    <w:t>）</w:t>
                  </w:r>
                </w:p>
              </w:tc>
              <w:tc>
                <w:tcPr>
                  <w:tcW w:w="1079" w:type="pct"/>
                  <w:gridSpan w:val="2"/>
                  <w:noWrap w:val="0"/>
                  <w:vAlign w:val="center"/>
                </w:tcPr>
                <w:p w14:paraId="7CEE886A">
                  <w:pPr>
                    <w:pStyle w:val="5"/>
                    <w:bidi w:val="0"/>
                    <w:rPr>
                      <w:rFonts w:hint="eastAsia"/>
                      <w:b/>
                      <w:bCs/>
                      <w:color w:val="auto"/>
                    </w:rPr>
                  </w:pPr>
                  <w:r>
                    <w:rPr>
                      <w:rFonts w:hint="eastAsia"/>
                      <w:b/>
                      <w:bCs/>
                      <w:color w:val="auto"/>
                    </w:rPr>
                    <w:t>喷面漆面积（m</w:t>
                  </w:r>
                  <w:r>
                    <w:rPr>
                      <w:rFonts w:hint="eastAsia"/>
                      <w:b/>
                      <w:bCs/>
                      <w:color w:val="auto"/>
                      <w:vertAlign w:val="superscript"/>
                    </w:rPr>
                    <w:t>2</w:t>
                  </w:r>
                  <w:r>
                    <w:rPr>
                      <w:rFonts w:hint="eastAsia"/>
                      <w:b/>
                      <w:bCs/>
                      <w:color w:val="auto"/>
                    </w:rPr>
                    <w:t>）</w:t>
                  </w:r>
                </w:p>
              </w:tc>
            </w:tr>
            <w:tr w14:paraId="3241D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10" w:type="pct"/>
                  <w:vMerge w:val="continue"/>
                  <w:noWrap w:val="0"/>
                  <w:vAlign w:val="center"/>
                </w:tcPr>
                <w:p w14:paraId="232E5DE7">
                  <w:pPr>
                    <w:pStyle w:val="5"/>
                    <w:bidi w:val="0"/>
                    <w:rPr>
                      <w:rFonts w:hint="eastAsia"/>
                      <w:b/>
                      <w:bCs/>
                      <w:color w:val="auto"/>
                    </w:rPr>
                  </w:pPr>
                </w:p>
              </w:tc>
              <w:tc>
                <w:tcPr>
                  <w:tcW w:w="637" w:type="pct"/>
                  <w:vMerge w:val="continue"/>
                  <w:noWrap w:val="0"/>
                  <w:vAlign w:val="center"/>
                </w:tcPr>
                <w:p w14:paraId="53981E6A">
                  <w:pPr>
                    <w:pStyle w:val="5"/>
                    <w:bidi w:val="0"/>
                    <w:rPr>
                      <w:rFonts w:hint="eastAsia"/>
                      <w:b/>
                      <w:bCs/>
                      <w:color w:val="auto"/>
                    </w:rPr>
                  </w:pPr>
                </w:p>
              </w:tc>
              <w:tc>
                <w:tcPr>
                  <w:tcW w:w="691" w:type="pct"/>
                  <w:vMerge w:val="continue"/>
                  <w:noWrap w:val="0"/>
                  <w:vAlign w:val="center"/>
                </w:tcPr>
                <w:p w14:paraId="3051FF7F">
                  <w:pPr>
                    <w:pStyle w:val="5"/>
                    <w:bidi w:val="0"/>
                    <w:rPr>
                      <w:rFonts w:hint="eastAsia"/>
                      <w:b/>
                      <w:bCs/>
                      <w:color w:val="auto"/>
                    </w:rPr>
                  </w:pPr>
                </w:p>
              </w:tc>
              <w:tc>
                <w:tcPr>
                  <w:tcW w:w="528" w:type="pct"/>
                  <w:noWrap w:val="0"/>
                  <w:vAlign w:val="center"/>
                </w:tcPr>
                <w:p w14:paraId="712F31CF">
                  <w:pPr>
                    <w:pStyle w:val="5"/>
                    <w:bidi w:val="0"/>
                    <w:rPr>
                      <w:rFonts w:hint="eastAsia"/>
                      <w:b/>
                      <w:bCs/>
                      <w:color w:val="auto"/>
                    </w:rPr>
                  </w:pPr>
                  <w:r>
                    <w:rPr>
                      <w:rFonts w:hint="eastAsia"/>
                      <w:b/>
                      <w:bCs/>
                      <w:color w:val="auto"/>
                    </w:rPr>
                    <w:t>单樘喷塑面积</w:t>
                  </w:r>
                </w:p>
              </w:tc>
              <w:tc>
                <w:tcPr>
                  <w:tcW w:w="528" w:type="pct"/>
                  <w:noWrap w:val="0"/>
                  <w:vAlign w:val="center"/>
                </w:tcPr>
                <w:p w14:paraId="0A9AD749">
                  <w:pPr>
                    <w:pStyle w:val="5"/>
                    <w:bidi w:val="0"/>
                    <w:rPr>
                      <w:rFonts w:hint="eastAsia"/>
                      <w:b/>
                      <w:bCs/>
                      <w:color w:val="auto"/>
                    </w:rPr>
                  </w:pPr>
                  <w:r>
                    <w:rPr>
                      <w:rFonts w:hint="eastAsia"/>
                      <w:b/>
                      <w:bCs/>
                      <w:color w:val="auto"/>
                    </w:rPr>
                    <w:t>总喷塑面积</w:t>
                  </w:r>
                </w:p>
              </w:tc>
              <w:tc>
                <w:tcPr>
                  <w:tcW w:w="608" w:type="pct"/>
                  <w:noWrap w:val="0"/>
                  <w:vAlign w:val="center"/>
                </w:tcPr>
                <w:p w14:paraId="6DE43C3F">
                  <w:pPr>
                    <w:pStyle w:val="5"/>
                    <w:bidi w:val="0"/>
                    <w:rPr>
                      <w:rFonts w:hint="eastAsia"/>
                      <w:b/>
                      <w:bCs/>
                      <w:color w:val="auto"/>
                    </w:rPr>
                  </w:pPr>
                  <w:r>
                    <w:rPr>
                      <w:rFonts w:hint="eastAsia"/>
                      <w:b/>
                      <w:bCs/>
                      <w:color w:val="auto"/>
                    </w:rPr>
                    <w:t>单樘喷漆面积</w:t>
                  </w:r>
                </w:p>
              </w:tc>
              <w:tc>
                <w:tcPr>
                  <w:tcW w:w="515" w:type="pct"/>
                  <w:noWrap w:val="0"/>
                  <w:vAlign w:val="center"/>
                </w:tcPr>
                <w:p w14:paraId="7F4A2A40">
                  <w:pPr>
                    <w:pStyle w:val="5"/>
                    <w:bidi w:val="0"/>
                    <w:rPr>
                      <w:rFonts w:hint="eastAsia"/>
                      <w:b/>
                      <w:bCs/>
                      <w:color w:val="auto"/>
                    </w:rPr>
                  </w:pPr>
                  <w:r>
                    <w:rPr>
                      <w:rFonts w:hint="eastAsia"/>
                      <w:b/>
                      <w:bCs/>
                      <w:color w:val="auto"/>
                    </w:rPr>
                    <w:t>总喷漆面积</w:t>
                  </w:r>
                </w:p>
              </w:tc>
              <w:tc>
                <w:tcPr>
                  <w:tcW w:w="535" w:type="pct"/>
                  <w:noWrap w:val="0"/>
                  <w:vAlign w:val="center"/>
                </w:tcPr>
                <w:p w14:paraId="6317F8AE">
                  <w:pPr>
                    <w:pStyle w:val="5"/>
                    <w:bidi w:val="0"/>
                    <w:rPr>
                      <w:rFonts w:hint="eastAsia"/>
                      <w:b/>
                      <w:bCs/>
                      <w:color w:val="auto"/>
                    </w:rPr>
                  </w:pPr>
                  <w:r>
                    <w:rPr>
                      <w:rFonts w:hint="eastAsia"/>
                      <w:b/>
                      <w:bCs/>
                      <w:color w:val="auto"/>
                    </w:rPr>
                    <w:t>单樘喷漆面积</w:t>
                  </w:r>
                </w:p>
              </w:tc>
              <w:tc>
                <w:tcPr>
                  <w:tcW w:w="544" w:type="pct"/>
                  <w:noWrap w:val="0"/>
                  <w:vAlign w:val="center"/>
                </w:tcPr>
                <w:p w14:paraId="5462A23E">
                  <w:pPr>
                    <w:pStyle w:val="5"/>
                    <w:bidi w:val="0"/>
                    <w:rPr>
                      <w:rFonts w:hint="eastAsia"/>
                      <w:b/>
                      <w:bCs/>
                      <w:color w:val="auto"/>
                    </w:rPr>
                  </w:pPr>
                  <w:r>
                    <w:rPr>
                      <w:rFonts w:hint="eastAsia"/>
                      <w:b/>
                      <w:bCs/>
                      <w:color w:val="auto"/>
                    </w:rPr>
                    <w:t>总喷漆面积</w:t>
                  </w:r>
                </w:p>
              </w:tc>
            </w:tr>
            <w:tr w14:paraId="137A4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0" w:type="pct"/>
                  <w:vMerge w:val="restart"/>
                  <w:noWrap w:val="0"/>
                  <w:vAlign w:val="center"/>
                </w:tcPr>
                <w:p w14:paraId="5BA1BF79">
                  <w:pPr>
                    <w:pStyle w:val="5"/>
                    <w:bidi w:val="0"/>
                    <w:rPr>
                      <w:rFonts w:hint="eastAsia"/>
                      <w:color w:val="auto"/>
                    </w:rPr>
                  </w:pPr>
                  <w:r>
                    <w:rPr>
                      <w:rFonts w:hint="eastAsia"/>
                      <w:color w:val="auto"/>
                    </w:rPr>
                    <w:t>钢制非标门</w:t>
                  </w:r>
                </w:p>
              </w:tc>
              <w:tc>
                <w:tcPr>
                  <w:tcW w:w="637" w:type="pct"/>
                  <w:noWrap w:val="0"/>
                  <w:vAlign w:val="center"/>
                </w:tcPr>
                <w:p w14:paraId="63327E26">
                  <w:pPr>
                    <w:pStyle w:val="5"/>
                    <w:bidi w:val="0"/>
                    <w:rPr>
                      <w:color w:val="auto"/>
                    </w:rPr>
                  </w:pPr>
                  <w:r>
                    <w:rPr>
                      <w:rFonts w:hint="eastAsia"/>
                      <w:color w:val="auto"/>
                    </w:rPr>
                    <w:t>2000</w:t>
                  </w:r>
                </w:p>
              </w:tc>
              <w:tc>
                <w:tcPr>
                  <w:tcW w:w="691" w:type="pct"/>
                  <w:noWrap w:val="0"/>
                  <w:vAlign w:val="center"/>
                </w:tcPr>
                <w:p w14:paraId="3727EF9D">
                  <w:pPr>
                    <w:pStyle w:val="5"/>
                    <w:bidi w:val="0"/>
                    <w:rPr>
                      <w:color w:val="auto"/>
                    </w:rPr>
                  </w:pPr>
                  <w:r>
                    <w:rPr>
                      <w:rFonts w:hint="eastAsia"/>
                      <w:color w:val="auto"/>
                    </w:rPr>
                    <w:t>4</w:t>
                  </w:r>
                  <w:r>
                    <w:rPr>
                      <w:color w:val="auto"/>
                    </w:rPr>
                    <w:t>×</w:t>
                  </w:r>
                  <w:r>
                    <w:rPr>
                      <w:rFonts w:hint="eastAsia"/>
                      <w:color w:val="auto"/>
                    </w:rPr>
                    <w:t>3</w:t>
                  </w:r>
                  <w:r>
                    <w:rPr>
                      <w:color w:val="auto"/>
                    </w:rPr>
                    <w:t>×</w:t>
                  </w:r>
                  <w:r>
                    <w:rPr>
                      <w:rFonts w:hint="eastAsia"/>
                      <w:color w:val="auto"/>
                    </w:rPr>
                    <w:t>1</w:t>
                  </w:r>
                </w:p>
              </w:tc>
              <w:tc>
                <w:tcPr>
                  <w:tcW w:w="528" w:type="pct"/>
                  <w:noWrap w:val="0"/>
                  <w:vAlign w:val="center"/>
                </w:tcPr>
                <w:p w14:paraId="588D23C6">
                  <w:pPr>
                    <w:pStyle w:val="5"/>
                    <w:bidi w:val="0"/>
                    <w:rPr>
                      <w:color w:val="auto"/>
                    </w:rPr>
                  </w:pPr>
                  <w:r>
                    <w:rPr>
                      <w:rFonts w:hint="eastAsia"/>
                      <w:color w:val="auto"/>
                    </w:rPr>
                    <w:t>24</w:t>
                  </w:r>
                </w:p>
              </w:tc>
              <w:tc>
                <w:tcPr>
                  <w:tcW w:w="528" w:type="pct"/>
                  <w:noWrap w:val="0"/>
                  <w:vAlign w:val="center"/>
                </w:tcPr>
                <w:p w14:paraId="4F055C89">
                  <w:pPr>
                    <w:pStyle w:val="5"/>
                    <w:bidi w:val="0"/>
                    <w:rPr>
                      <w:color w:val="auto"/>
                    </w:rPr>
                  </w:pPr>
                  <w:r>
                    <w:rPr>
                      <w:rFonts w:hint="eastAsia"/>
                      <w:color w:val="auto"/>
                    </w:rPr>
                    <w:t>48000</w:t>
                  </w:r>
                </w:p>
              </w:tc>
              <w:tc>
                <w:tcPr>
                  <w:tcW w:w="608" w:type="pct"/>
                  <w:noWrap w:val="0"/>
                  <w:vAlign w:val="center"/>
                </w:tcPr>
                <w:p w14:paraId="4BE41602">
                  <w:pPr>
                    <w:pStyle w:val="5"/>
                    <w:bidi w:val="0"/>
                    <w:rPr>
                      <w:color w:val="auto"/>
                    </w:rPr>
                  </w:pPr>
                  <w:r>
                    <w:rPr>
                      <w:rFonts w:hint="eastAsia"/>
                      <w:color w:val="auto"/>
                    </w:rPr>
                    <w:t>12</w:t>
                  </w:r>
                </w:p>
              </w:tc>
              <w:tc>
                <w:tcPr>
                  <w:tcW w:w="515" w:type="pct"/>
                  <w:noWrap w:val="0"/>
                  <w:vAlign w:val="center"/>
                </w:tcPr>
                <w:p w14:paraId="2B73F9DB">
                  <w:pPr>
                    <w:pStyle w:val="5"/>
                    <w:bidi w:val="0"/>
                    <w:rPr>
                      <w:color w:val="auto"/>
                    </w:rPr>
                  </w:pPr>
                  <w:r>
                    <w:rPr>
                      <w:rFonts w:hint="eastAsia"/>
                      <w:color w:val="auto"/>
                    </w:rPr>
                    <w:t>24000</w:t>
                  </w:r>
                </w:p>
              </w:tc>
              <w:tc>
                <w:tcPr>
                  <w:tcW w:w="535" w:type="pct"/>
                  <w:noWrap w:val="0"/>
                  <w:vAlign w:val="center"/>
                </w:tcPr>
                <w:p w14:paraId="16C9C072">
                  <w:pPr>
                    <w:pStyle w:val="5"/>
                    <w:bidi w:val="0"/>
                    <w:rPr>
                      <w:rFonts w:hint="eastAsia"/>
                      <w:color w:val="auto"/>
                    </w:rPr>
                  </w:pPr>
                  <w:r>
                    <w:rPr>
                      <w:rFonts w:hint="eastAsia"/>
                      <w:color w:val="auto"/>
                    </w:rPr>
                    <w:t>12</w:t>
                  </w:r>
                </w:p>
              </w:tc>
              <w:tc>
                <w:tcPr>
                  <w:tcW w:w="544" w:type="pct"/>
                  <w:noWrap w:val="0"/>
                  <w:vAlign w:val="center"/>
                </w:tcPr>
                <w:p w14:paraId="2EFA48FB">
                  <w:pPr>
                    <w:pStyle w:val="5"/>
                    <w:bidi w:val="0"/>
                    <w:rPr>
                      <w:rFonts w:hint="eastAsia"/>
                      <w:color w:val="auto"/>
                    </w:rPr>
                  </w:pPr>
                  <w:r>
                    <w:rPr>
                      <w:rFonts w:hint="eastAsia"/>
                      <w:color w:val="auto"/>
                    </w:rPr>
                    <w:t>24000</w:t>
                  </w:r>
                </w:p>
              </w:tc>
            </w:tr>
            <w:tr w14:paraId="1D906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410" w:type="pct"/>
                  <w:vMerge w:val="continue"/>
                  <w:noWrap w:val="0"/>
                  <w:vAlign w:val="center"/>
                </w:tcPr>
                <w:p w14:paraId="57E1CE6C">
                  <w:pPr>
                    <w:pStyle w:val="5"/>
                    <w:bidi w:val="0"/>
                    <w:rPr>
                      <w:rFonts w:hint="eastAsia"/>
                      <w:color w:val="auto"/>
                    </w:rPr>
                  </w:pPr>
                </w:p>
              </w:tc>
              <w:tc>
                <w:tcPr>
                  <w:tcW w:w="637" w:type="pct"/>
                  <w:noWrap w:val="0"/>
                  <w:vAlign w:val="center"/>
                </w:tcPr>
                <w:p w14:paraId="2A63D082">
                  <w:pPr>
                    <w:pStyle w:val="5"/>
                    <w:bidi w:val="0"/>
                    <w:rPr>
                      <w:color w:val="auto"/>
                    </w:rPr>
                  </w:pPr>
                  <w:r>
                    <w:rPr>
                      <w:rFonts w:hint="eastAsia"/>
                      <w:color w:val="auto"/>
                    </w:rPr>
                    <w:t>3000</w:t>
                  </w:r>
                </w:p>
              </w:tc>
              <w:tc>
                <w:tcPr>
                  <w:tcW w:w="691" w:type="pct"/>
                  <w:noWrap w:val="0"/>
                  <w:vAlign w:val="center"/>
                </w:tcPr>
                <w:p w14:paraId="17EFFE33">
                  <w:pPr>
                    <w:pStyle w:val="5"/>
                    <w:bidi w:val="0"/>
                    <w:rPr>
                      <w:color w:val="auto"/>
                    </w:rPr>
                  </w:pPr>
                  <w:r>
                    <w:rPr>
                      <w:rFonts w:hint="eastAsia"/>
                      <w:color w:val="auto"/>
                    </w:rPr>
                    <w:t>3</w:t>
                  </w:r>
                  <w:r>
                    <w:rPr>
                      <w:color w:val="auto"/>
                    </w:rPr>
                    <w:t>×</w:t>
                  </w:r>
                  <w:r>
                    <w:rPr>
                      <w:rFonts w:hint="eastAsia"/>
                      <w:color w:val="auto"/>
                    </w:rPr>
                    <w:t>2</w:t>
                  </w:r>
                  <w:r>
                    <w:rPr>
                      <w:color w:val="auto"/>
                    </w:rPr>
                    <w:t>×</w:t>
                  </w:r>
                  <w:r>
                    <w:rPr>
                      <w:rFonts w:hint="eastAsia"/>
                      <w:color w:val="auto"/>
                    </w:rPr>
                    <w:t>0.5</w:t>
                  </w:r>
                </w:p>
              </w:tc>
              <w:tc>
                <w:tcPr>
                  <w:tcW w:w="528" w:type="pct"/>
                  <w:noWrap w:val="0"/>
                  <w:vAlign w:val="center"/>
                </w:tcPr>
                <w:p w14:paraId="07145D42">
                  <w:pPr>
                    <w:pStyle w:val="5"/>
                    <w:bidi w:val="0"/>
                    <w:rPr>
                      <w:color w:val="auto"/>
                    </w:rPr>
                  </w:pPr>
                  <w:r>
                    <w:rPr>
                      <w:rFonts w:hint="eastAsia"/>
                      <w:color w:val="auto"/>
                    </w:rPr>
                    <w:t>12</w:t>
                  </w:r>
                </w:p>
              </w:tc>
              <w:tc>
                <w:tcPr>
                  <w:tcW w:w="528" w:type="pct"/>
                  <w:noWrap w:val="0"/>
                  <w:vAlign w:val="center"/>
                </w:tcPr>
                <w:p w14:paraId="0C83B1A9">
                  <w:pPr>
                    <w:pStyle w:val="5"/>
                    <w:bidi w:val="0"/>
                    <w:rPr>
                      <w:color w:val="auto"/>
                    </w:rPr>
                  </w:pPr>
                  <w:r>
                    <w:rPr>
                      <w:rFonts w:hint="eastAsia"/>
                      <w:color w:val="auto"/>
                    </w:rPr>
                    <w:t>36000</w:t>
                  </w:r>
                </w:p>
              </w:tc>
              <w:tc>
                <w:tcPr>
                  <w:tcW w:w="608" w:type="pct"/>
                  <w:noWrap w:val="0"/>
                  <w:vAlign w:val="center"/>
                </w:tcPr>
                <w:p w14:paraId="5F30685A">
                  <w:pPr>
                    <w:pStyle w:val="5"/>
                    <w:bidi w:val="0"/>
                    <w:rPr>
                      <w:color w:val="auto"/>
                    </w:rPr>
                  </w:pPr>
                  <w:r>
                    <w:rPr>
                      <w:rFonts w:hint="eastAsia"/>
                      <w:color w:val="auto"/>
                    </w:rPr>
                    <w:t>6</w:t>
                  </w:r>
                </w:p>
              </w:tc>
              <w:tc>
                <w:tcPr>
                  <w:tcW w:w="515" w:type="pct"/>
                  <w:noWrap w:val="0"/>
                  <w:vAlign w:val="center"/>
                </w:tcPr>
                <w:p w14:paraId="295C1FD0">
                  <w:pPr>
                    <w:pStyle w:val="5"/>
                    <w:bidi w:val="0"/>
                    <w:rPr>
                      <w:color w:val="auto"/>
                    </w:rPr>
                  </w:pPr>
                  <w:r>
                    <w:rPr>
                      <w:rFonts w:hint="eastAsia"/>
                      <w:color w:val="auto"/>
                    </w:rPr>
                    <w:t>18000</w:t>
                  </w:r>
                </w:p>
              </w:tc>
              <w:tc>
                <w:tcPr>
                  <w:tcW w:w="535" w:type="pct"/>
                  <w:noWrap w:val="0"/>
                  <w:vAlign w:val="center"/>
                </w:tcPr>
                <w:p w14:paraId="3CC51744">
                  <w:pPr>
                    <w:pStyle w:val="5"/>
                    <w:bidi w:val="0"/>
                    <w:rPr>
                      <w:rFonts w:hint="eastAsia"/>
                      <w:color w:val="auto"/>
                    </w:rPr>
                  </w:pPr>
                  <w:r>
                    <w:rPr>
                      <w:rFonts w:hint="eastAsia"/>
                      <w:color w:val="auto"/>
                    </w:rPr>
                    <w:t>6</w:t>
                  </w:r>
                </w:p>
              </w:tc>
              <w:tc>
                <w:tcPr>
                  <w:tcW w:w="544" w:type="pct"/>
                  <w:noWrap w:val="0"/>
                  <w:vAlign w:val="center"/>
                </w:tcPr>
                <w:p w14:paraId="530396C7">
                  <w:pPr>
                    <w:pStyle w:val="5"/>
                    <w:bidi w:val="0"/>
                    <w:rPr>
                      <w:rFonts w:hint="eastAsia"/>
                      <w:color w:val="auto"/>
                    </w:rPr>
                  </w:pPr>
                  <w:r>
                    <w:rPr>
                      <w:rFonts w:hint="eastAsia"/>
                      <w:color w:val="auto"/>
                    </w:rPr>
                    <w:t>18000</w:t>
                  </w:r>
                </w:p>
              </w:tc>
            </w:tr>
            <w:tr w14:paraId="7E296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410" w:type="pct"/>
                  <w:vMerge w:val="continue"/>
                  <w:noWrap w:val="0"/>
                  <w:vAlign w:val="center"/>
                </w:tcPr>
                <w:p w14:paraId="3DF702CF">
                  <w:pPr>
                    <w:pStyle w:val="5"/>
                    <w:bidi w:val="0"/>
                    <w:rPr>
                      <w:rFonts w:hint="eastAsia"/>
                      <w:color w:val="auto"/>
                    </w:rPr>
                  </w:pPr>
                </w:p>
              </w:tc>
              <w:tc>
                <w:tcPr>
                  <w:tcW w:w="637" w:type="pct"/>
                  <w:noWrap w:val="0"/>
                  <w:vAlign w:val="center"/>
                </w:tcPr>
                <w:p w14:paraId="1166A05E">
                  <w:pPr>
                    <w:pStyle w:val="5"/>
                    <w:bidi w:val="0"/>
                    <w:rPr>
                      <w:color w:val="auto"/>
                    </w:rPr>
                  </w:pPr>
                  <w:r>
                    <w:rPr>
                      <w:rFonts w:hint="eastAsia"/>
                      <w:color w:val="auto"/>
                    </w:rPr>
                    <w:t>5000</w:t>
                  </w:r>
                </w:p>
              </w:tc>
              <w:tc>
                <w:tcPr>
                  <w:tcW w:w="691" w:type="pct"/>
                  <w:noWrap w:val="0"/>
                  <w:vAlign w:val="center"/>
                </w:tcPr>
                <w:p w14:paraId="4EDF101F">
                  <w:pPr>
                    <w:pStyle w:val="5"/>
                    <w:bidi w:val="0"/>
                    <w:rPr>
                      <w:color w:val="auto"/>
                    </w:rPr>
                  </w:pPr>
                  <w:r>
                    <w:rPr>
                      <w:rFonts w:hint="eastAsia"/>
                      <w:color w:val="auto"/>
                    </w:rPr>
                    <w:t>3</w:t>
                  </w:r>
                  <w:r>
                    <w:rPr>
                      <w:color w:val="auto"/>
                    </w:rPr>
                    <w:t>×</w:t>
                  </w:r>
                  <w:r>
                    <w:rPr>
                      <w:rFonts w:hint="eastAsia"/>
                      <w:color w:val="auto"/>
                    </w:rPr>
                    <w:t>1.5</w:t>
                  </w:r>
                  <w:r>
                    <w:rPr>
                      <w:color w:val="auto"/>
                    </w:rPr>
                    <w:t>×</w:t>
                  </w:r>
                  <w:r>
                    <w:rPr>
                      <w:rFonts w:hint="eastAsia"/>
                      <w:color w:val="auto"/>
                    </w:rPr>
                    <w:t>0.5</w:t>
                  </w:r>
                </w:p>
              </w:tc>
              <w:tc>
                <w:tcPr>
                  <w:tcW w:w="528" w:type="pct"/>
                  <w:noWrap w:val="0"/>
                  <w:vAlign w:val="center"/>
                </w:tcPr>
                <w:p w14:paraId="4BC3E8FC">
                  <w:pPr>
                    <w:pStyle w:val="5"/>
                    <w:bidi w:val="0"/>
                    <w:rPr>
                      <w:color w:val="auto"/>
                    </w:rPr>
                  </w:pPr>
                  <w:r>
                    <w:rPr>
                      <w:rFonts w:hint="eastAsia"/>
                      <w:color w:val="auto"/>
                    </w:rPr>
                    <w:t>9</w:t>
                  </w:r>
                </w:p>
              </w:tc>
              <w:tc>
                <w:tcPr>
                  <w:tcW w:w="528" w:type="pct"/>
                  <w:noWrap w:val="0"/>
                  <w:vAlign w:val="center"/>
                </w:tcPr>
                <w:p w14:paraId="53DEB17C">
                  <w:pPr>
                    <w:pStyle w:val="5"/>
                    <w:bidi w:val="0"/>
                    <w:rPr>
                      <w:color w:val="auto"/>
                    </w:rPr>
                  </w:pPr>
                  <w:r>
                    <w:rPr>
                      <w:rFonts w:hint="eastAsia"/>
                      <w:color w:val="auto"/>
                    </w:rPr>
                    <w:t>45000</w:t>
                  </w:r>
                </w:p>
              </w:tc>
              <w:tc>
                <w:tcPr>
                  <w:tcW w:w="608" w:type="pct"/>
                  <w:noWrap w:val="0"/>
                  <w:vAlign w:val="center"/>
                </w:tcPr>
                <w:p w14:paraId="4B1AE426">
                  <w:pPr>
                    <w:pStyle w:val="5"/>
                    <w:bidi w:val="0"/>
                    <w:rPr>
                      <w:color w:val="auto"/>
                    </w:rPr>
                  </w:pPr>
                  <w:r>
                    <w:rPr>
                      <w:rFonts w:hint="eastAsia"/>
                      <w:color w:val="auto"/>
                    </w:rPr>
                    <w:t>4.5</w:t>
                  </w:r>
                </w:p>
              </w:tc>
              <w:tc>
                <w:tcPr>
                  <w:tcW w:w="515" w:type="pct"/>
                  <w:noWrap w:val="0"/>
                  <w:vAlign w:val="center"/>
                </w:tcPr>
                <w:p w14:paraId="1972A474">
                  <w:pPr>
                    <w:pStyle w:val="5"/>
                    <w:bidi w:val="0"/>
                    <w:rPr>
                      <w:color w:val="auto"/>
                    </w:rPr>
                  </w:pPr>
                  <w:r>
                    <w:rPr>
                      <w:rFonts w:hint="eastAsia"/>
                      <w:color w:val="auto"/>
                    </w:rPr>
                    <w:t>22500</w:t>
                  </w:r>
                </w:p>
              </w:tc>
              <w:tc>
                <w:tcPr>
                  <w:tcW w:w="535" w:type="pct"/>
                  <w:noWrap w:val="0"/>
                  <w:vAlign w:val="center"/>
                </w:tcPr>
                <w:p w14:paraId="7DF5FD2D">
                  <w:pPr>
                    <w:pStyle w:val="5"/>
                    <w:bidi w:val="0"/>
                    <w:rPr>
                      <w:rFonts w:hint="eastAsia"/>
                      <w:color w:val="auto"/>
                    </w:rPr>
                  </w:pPr>
                  <w:r>
                    <w:rPr>
                      <w:rFonts w:hint="eastAsia"/>
                      <w:color w:val="auto"/>
                    </w:rPr>
                    <w:t>4.5</w:t>
                  </w:r>
                </w:p>
              </w:tc>
              <w:tc>
                <w:tcPr>
                  <w:tcW w:w="544" w:type="pct"/>
                  <w:noWrap w:val="0"/>
                  <w:vAlign w:val="center"/>
                </w:tcPr>
                <w:p w14:paraId="0D87EF3B">
                  <w:pPr>
                    <w:pStyle w:val="5"/>
                    <w:bidi w:val="0"/>
                    <w:rPr>
                      <w:rFonts w:hint="eastAsia"/>
                      <w:color w:val="auto"/>
                    </w:rPr>
                  </w:pPr>
                  <w:r>
                    <w:rPr>
                      <w:rFonts w:hint="eastAsia"/>
                      <w:color w:val="auto"/>
                    </w:rPr>
                    <w:t>22500</w:t>
                  </w:r>
                </w:p>
              </w:tc>
            </w:tr>
            <w:tr w14:paraId="583E4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10" w:type="pct"/>
                  <w:noWrap w:val="0"/>
                  <w:vAlign w:val="center"/>
                </w:tcPr>
                <w:p w14:paraId="2F167BE4">
                  <w:pPr>
                    <w:pStyle w:val="5"/>
                    <w:bidi w:val="0"/>
                    <w:rPr>
                      <w:rFonts w:hint="eastAsia"/>
                      <w:color w:val="auto"/>
                    </w:rPr>
                  </w:pPr>
                  <w:r>
                    <w:rPr>
                      <w:rFonts w:hint="eastAsia"/>
                      <w:color w:val="auto"/>
                    </w:rPr>
                    <w:t>合计</w:t>
                  </w:r>
                </w:p>
              </w:tc>
              <w:tc>
                <w:tcPr>
                  <w:tcW w:w="637" w:type="pct"/>
                  <w:noWrap w:val="0"/>
                  <w:vAlign w:val="center"/>
                </w:tcPr>
                <w:p w14:paraId="6F589B6A">
                  <w:pPr>
                    <w:pStyle w:val="5"/>
                    <w:bidi w:val="0"/>
                    <w:rPr>
                      <w:color w:val="auto"/>
                    </w:rPr>
                  </w:pPr>
                  <w:r>
                    <w:rPr>
                      <w:rFonts w:hint="eastAsia"/>
                      <w:color w:val="auto"/>
                    </w:rPr>
                    <w:t>10000</w:t>
                  </w:r>
                </w:p>
              </w:tc>
              <w:tc>
                <w:tcPr>
                  <w:tcW w:w="691" w:type="pct"/>
                  <w:noWrap w:val="0"/>
                  <w:vAlign w:val="center"/>
                </w:tcPr>
                <w:p w14:paraId="40C6F9FB">
                  <w:pPr>
                    <w:pStyle w:val="5"/>
                    <w:bidi w:val="0"/>
                    <w:rPr>
                      <w:color w:val="auto"/>
                    </w:rPr>
                  </w:pPr>
                  <w:r>
                    <w:rPr>
                      <w:rFonts w:hint="eastAsia"/>
                      <w:color w:val="auto"/>
                    </w:rPr>
                    <w:t>/</w:t>
                  </w:r>
                </w:p>
              </w:tc>
              <w:tc>
                <w:tcPr>
                  <w:tcW w:w="528" w:type="pct"/>
                  <w:noWrap w:val="0"/>
                  <w:vAlign w:val="center"/>
                </w:tcPr>
                <w:p w14:paraId="7C6B4956">
                  <w:pPr>
                    <w:pStyle w:val="5"/>
                    <w:bidi w:val="0"/>
                    <w:rPr>
                      <w:color w:val="auto"/>
                    </w:rPr>
                  </w:pPr>
                  <w:r>
                    <w:rPr>
                      <w:rFonts w:hint="eastAsia"/>
                      <w:color w:val="auto"/>
                    </w:rPr>
                    <w:t>/</w:t>
                  </w:r>
                </w:p>
              </w:tc>
              <w:tc>
                <w:tcPr>
                  <w:tcW w:w="528" w:type="pct"/>
                  <w:noWrap w:val="0"/>
                  <w:vAlign w:val="center"/>
                </w:tcPr>
                <w:p w14:paraId="5744D930">
                  <w:pPr>
                    <w:pStyle w:val="5"/>
                    <w:bidi w:val="0"/>
                    <w:rPr>
                      <w:color w:val="auto"/>
                    </w:rPr>
                  </w:pPr>
                  <w:r>
                    <w:rPr>
                      <w:rFonts w:hint="eastAsia"/>
                      <w:color w:val="auto"/>
                    </w:rPr>
                    <w:t>129000</w:t>
                  </w:r>
                </w:p>
              </w:tc>
              <w:tc>
                <w:tcPr>
                  <w:tcW w:w="608" w:type="pct"/>
                  <w:noWrap w:val="0"/>
                  <w:vAlign w:val="center"/>
                </w:tcPr>
                <w:p w14:paraId="7E991473">
                  <w:pPr>
                    <w:pStyle w:val="5"/>
                    <w:bidi w:val="0"/>
                    <w:rPr>
                      <w:color w:val="auto"/>
                    </w:rPr>
                  </w:pPr>
                  <w:r>
                    <w:rPr>
                      <w:rFonts w:hint="eastAsia"/>
                      <w:color w:val="auto"/>
                    </w:rPr>
                    <w:t>/</w:t>
                  </w:r>
                </w:p>
              </w:tc>
              <w:tc>
                <w:tcPr>
                  <w:tcW w:w="515" w:type="pct"/>
                  <w:noWrap w:val="0"/>
                  <w:vAlign w:val="center"/>
                </w:tcPr>
                <w:p w14:paraId="34C5AE87">
                  <w:pPr>
                    <w:pStyle w:val="5"/>
                    <w:bidi w:val="0"/>
                    <w:rPr>
                      <w:color w:val="auto"/>
                    </w:rPr>
                  </w:pPr>
                  <w:r>
                    <w:rPr>
                      <w:rFonts w:hint="eastAsia"/>
                      <w:color w:val="auto"/>
                    </w:rPr>
                    <w:t>64500</w:t>
                  </w:r>
                </w:p>
              </w:tc>
              <w:tc>
                <w:tcPr>
                  <w:tcW w:w="535" w:type="pct"/>
                  <w:noWrap w:val="0"/>
                  <w:vAlign w:val="center"/>
                </w:tcPr>
                <w:p w14:paraId="193F18D3">
                  <w:pPr>
                    <w:pStyle w:val="5"/>
                    <w:bidi w:val="0"/>
                    <w:rPr>
                      <w:rFonts w:hint="eastAsia"/>
                      <w:color w:val="auto"/>
                    </w:rPr>
                  </w:pPr>
                  <w:r>
                    <w:rPr>
                      <w:rFonts w:hint="eastAsia"/>
                      <w:color w:val="auto"/>
                    </w:rPr>
                    <w:t>/</w:t>
                  </w:r>
                </w:p>
              </w:tc>
              <w:tc>
                <w:tcPr>
                  <w:tcW w:w="544" w:type="pct"/>
                  <w:noWrap w:val="0"/>
                  <w:vAlign w:val="center"/>
                </w:tcPr>
                <w:p w14:paraId="1A5D6819">
                  <w:pPr>
                    <w:pStyle w:val="5"/>
                    <w:bidi w:val="0"/>
                    <w:rPr>
                      <w:rFonts w:hint="eastAsia"/>
                      <w:color w:val="auto"/>
                    </w:rPr>
                  </w:pPr>
                  <w:r>
                    <w:rPr>
                      <w:rFonts w:hint="eastAsia"/>
                      <w:color w:val="auto"/>
                    </w:rPr>
                    <w:t>64500</w:t>
                  </w:r>
                </w:p>
              </w:tc>
            </w:tr>
          </w:tbl>
          <w:p w14:paraId="159A77A4">
            <w:pPr>
              <w:numPr>
                <w:ilvl w:val="0"/>
                <w:numId w:val="0"/>
              </w:numPr>
              <w:bidi w:val="0"/>
              <w:rPr>
                <w:rFonts w:hint="eastAsia" w:ascii="Times New Roman" w:hAnsi="Times New Roman" w:eastAsia="宋体" w:cs="Times New Roman"/>
                <w:b/>
                <w:bCs/>
                <w:color w:val="auto"/>
                <w:sz w:val="24"/>
                <w:szCs w:val="24"/>
                <w:lang w:val="en-US" w:eastAsia="zh-CN" w:bidi="ar-SA"/>
              </w:rPr>
            </w:pPr>
          </w:p>
          <w:p w14:paraId="2390D10D">
            <w:pPr>
              <w:numPr>
                <w:ilvl w:val="0"/>
                <w:numId w:val="0"/>
              </w:numPr>
              <w:bidi w:val="0"/>
              <w:rPr>
                <w:rFonts w:hint="eastAsia" w:ascii="Times New Roman" w:hAnsi="Times New Roman" w:eastAsia="宋体" w:cs="Times New Roman"/>
                <w:b/>
                <w:bCs/>
                <w:color w:val="auto"/>
                <w:sz w:val="24"/>
                <w:szCs w:val="24"/>
                <w:lang w:val="en-US" w:eastAsia="zh-CN" w:bidi="ar-SA"/>
              </w:rPr>
            </w:pPr>
          </w:p>
          <w:p w14:paraId="2F642CEC">
            <w:pPr>
              <w:numPr>
                <w:ilvl w:val="0"/>
                <w:numId w:val="0"/>
              </w:numPr>
              <w:bidi w:val="0"/>
              <w:rPr>
                <w:rFonts w:hint="eastAsia" w:ascii="Times New Roman" w:hAnsi="Times New Roman" w:eastAsia="宋体" w:cs="Times New Roman"/>
                <w:b/>
                <w:bCs/>
                <w:color w:val="auto"/>
                <w:sz w:val="24"/>
                <w:szCs w:val="24"/>
                <w:lang w:val="en-US" w:eastAsia="zh-CN" w:bidi="ar-SA"/>
              </w:rPr>
            </w:pPr>
          </w:p>
          <w:p w14:paraId="3B312561">
            <w:pPr>
              <w:numPr>
                <w:ilvl w:val="0"/>
                <w:numId w:val="0"/>
              </w:numPr>
              <w:bidi w:val="0"/>
              <w:rPr>
                <w:rFonts w:hint="eastAsia" w:ascii="Times New Roman" w:hAnsi="Times New Roman" w:eastAsia="宋体" w:cs="Times New Roman"/>
                <w:b/>
                <w:bCs/>
                <w:color w:val="auto"/>
                <w:sz w:val="24"/>
                <w:szCs w:val="24"/>
                <w:lang w:val="en-US" w:eastAsia="zh-CN" w:bidi="ar-SA"/>
              </w:rPr>
            </w:pPr>
          </w:p>
          <w:p w14:paraId="6687D35B">
            <w:pPr>
              <w:numPr>
                <w:ilvl w:val="0"/>
                <w:numId w:val="0"/>
              </w:numPr>
              <w:bidi w:val="0"/>
              <w:rPr>
                <w:rFonts w:hint="eastAsia"/>
                <w:b/>
                <w:bCs/>
                <w:color w:val="auto"/>
                <w:sz w:val="24"/>
                <w:szCs w:val="24"/>
                <w:lang w:val="en-US" w:eastAsia="zh-CN"/>
              </w:rPr>
            </w:pPr>
            <w:r>
              <w:rPr>
                <w:rFonts w:hint="eastAsia" w:ascii="Times New Roman" w:hAnsi="Times New Roman" w:eastAsia="宋体" w:cs="Times New Roman"/>
                <w:b/>
                <w:bCs/>
                <w:color w:val="auto"/>
                <w:sz w:val="24"/>
                <w:szCs w:val="24"/>
                <w:lang w:val="en-US" w:eastAsia="zh-CN" w:bidi="ar-SA"/>
              </w:rPr>
              <w:t>6、</w:t>
            </w:r>
            <w:r>
              <w:rPr>
                <w:rFonts w:hint="eastAsia"/>
                <w:b/>
                <w:bCs/>
                <w:color w:val="auto"/>
                <w:lang w:val="en-US" w:eastAsia="zh-CN"/>
              </w:rPr>
              <w:t>主要生产设备</w:t>
            </w:r>
          </w:p>
          <w:p w14:paraId="6C78B0E6">
            <w:pPr>
              <w:pStyle w:val="5"/>
              <w:bidi w:val="0"/>
              <w:rPr>
                <w:b/>
                <w:bCs/>
                <w:color w:val="auto"/>
                <w:sz w:val="24"/>
                <w:szCs w:val="24"/>
              </w:rPr>
            </w:pPr>
            <w:r>
              <w:rPr>
                <w:b/>
                <w:bCs/>
                <w:color w:val="auto"/>
                <w:sz w:val="24"/>
                <w:szCs w:val="24"/>
              </w:rPr>
              <w:t>表</w:t>
            </w:r>
            <w:r>
              <w:rPr>
                <w:rFonts w:hint="eastAsia"/>
                <w:b/>
                <w:bCs/>
                <w:color w:val="auto"/>
                <w:sz w:val="24"/>
                <w:szCs w:val="24"/>
              </w:rPr>
              <w:t>2</w:t>
            </w:r>
            <w:r>
              <w:rPr>
                <w:rFonts w:hint="eastAsia"/>
                <w:b/>
                <w:bCs/>
                <w:color w:val="auto"/>
                <w:sz w:val="24"/>
                <w:szCs w:val="24"/>
                <w:lang w:val="en-US" w:eastAsia="zh-CN"/>
              </w:rPr>
              <w:t>-5</w:t>
            </w:r>
            <w:r>
              <w:rPr>
                <w:rFonts w:hint="eastAsia"/>
                <w:b/>
                <w:bCs/>
                <w:color w:val="auto"/>
                <w:sz w:val="24"/>
                <w:szCs w:val="24"/>
              </w:rPr>
              <w:t xml:space="preserve"> </w:t>
            </w:r>
            <w:r>
              <w:rPr>
                <w:b/>
                <w:bCs/>
                <w:color w:val="auto"/>
                <w:sz w:val="24"/>
                <w:szCs w:val="24"/>
              </w:rPr>
              <w:t xml:space="preserve"> 主要生产设备、设施清单</w:t>
            </w:r>
          </w:p>
          <w:tbl>
            <w:tblPr>
              <w:tblStyle w:val="19"/>
              <w:tblW w:w="865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47"/>
              <w:gridCol w:w="2182"/>
              <w:gridCol w:w="2242"/>
              <w:gridCol w:w="1964"/>
              <w:gridCol w:w="1622"/>
            </w:tblGrid>
            <w:tr w14:paraId="789DD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3A1724A9">
                  <w:pPr>
                    <w:pStyle w:val="5"/>
                    <w:bidi w:val="0"/>
                    <w:rPr>
                      <w:b/>
                      <w:bCs/>
                      <w:color w:val="auto"/>
                    </w:rPr>
                  </w:pPr>
                  <w:r>
                    <w:rPr>
                      <w:b/>
                      <w:bCs/>
                      <w:color w:val="auto"/>
                    </w:rPr>
                    <w:t>序号</w:t>
                  </w:r>
                </w:p>
              </w:tc>
              <w:tc>
                <w:tcPr>
                  <w:tcW w:w="1260" w:type="pct"/>
                  <w:noWrap w:val="0"/>
                  <w:tcMar>
                    <w:top w:w="15" w:type="dxa"/>
                    <w:left w:w="15" w:type="dxa"/>
                    <w:right w:w="15" w:type="dxa"/>
                  </w:tcMar>
                  <w:vAlign w:val="center"/>
                </w:tcPr>
                <w:p w14:paraId="7B59AAF5">
                  <w:pPr>
                    <w:pStyle w:val="5"/>
                    <w:bidi w:val="0"/>
                    <w:rPr>
                      <w:b/>
                      <w:bCs/>
                      <w:color w:val="auto"/>
                    </w:rPr>
                  </w:pPr>
                  <w:r>
                    <w:rPr>
                      <w:b/>
                      <w:bCs/>
                      <w:color w:val="auto"/>
                    </w:rPr>
                    <w:t>设备名称</w:t>
                  </w:r>
                </w:p>
              </w:tc>
              <w:tc>
                <w:tcPr>
                  <w:tcW w:w="1294" w:type="pct"/>
                  <w:noWrap w:val="0"/>
                  <w:tcMar>
                    <w:top w:w="15" w:type="dxa"/>
                    <w:left w:w="15" w:type="dxa"/>
                    <w:right w:w="15" w:type="dxa"/>
                  </w:tcMar>
                  <w:vAlign w:val="center"/>
                </w:tcPr>
                <w:p w14:paraId="4C1268B5">
                  <w:pPr>
                    <w:pStyle w:val="5"/>
                    <w:bidi w:val="0"/>
                    <w:rPr>
                      <w:b/>
                      <w:bCs/>
                      <w:color w:val="auto"/>
                    </w:rPr>
                  </w:pPr>
                  <w:r>
                    <w:rPr>
                      <w:b/>
                      <w:bCs/>
                      <w:color w:val="auto"/>
                    </w:rPr>
                    <w:t>规格型号</w:t>
                  </w:r>
                </w:p>
              </w:tc>
              <w:tc>
                <w:tcPr>
                  <w:tcW w:w="1134" w:type="pct"/>
                  <w:noWrap w:val="0"/>
                  <w:tcMar>
                    <w:top w:w="15" w:type="dxa"/>
                    <w:left w:w="15" w:type="dxa"/>
                    <w:right w:w="15" w:type="dxa"/>
                  </w:tcMar>
                  <w:vAlign w:val="center"/>
                </w:tcPr>
                <w:p w14:paraId="47B23B3C">
                  <w:pPr>
                    <w:pStyle w:val="5"/>
                    <w:bidi w:val="0"/>
                    <w:rPr>
                      <w:rFonts w:hint="eastAsia"/>
                      <w:b/>
                      <w:bCs/>
                      <w:color w:val="auto"/>
                    </w:rPr>
                  </w:pPr>
                  <w:r>
                    <w:rPr>
                      <w:rFonts w:hint="eastAsia"/>
                      <w:b/>
                      <w:bCs/>
                      <w:color w:val="auto"/>
                      <w:lang w:eastAsia="zh-CN"/>
                    </w:rPr>
                    <w:t>环评申报</w:t>
                  </w:r>
                  <w:r>
                    <w:rPr>
                      <w:b/>
                      <w:bCs/>
                      <w:color w:val="auto"/>
                    </w:rPr>
                    <w:t>数量</w:t>
                  </w:r>
                  <w:r>
                    <w:rPr>
                      <w:rFonts w:hint="eastAsia"/>
                      <w:b/>
                      <w:bCs/>
                      <w:color w:val="auto"/>
                    </w:rPr>
                    <w:t>（台）</w:t>
                  </w:r>
                </w:p>
              </w:tc>
              <w:tc>
                <w:tcPr>
                  <w:tcW w:w="936" w:type="pct"/>
                  <w:noWrap w:val="0"/>
                  <w:tcMar>
                    <w:top w:w="15" w:type="dxa"/>
                    <w:left w:w="15" w:type="dxa"/>
                    <w:right w:w="15" w:type="dxa"/>
                  </w:tcMar>
                  <w:vAlign w:val="center"/>
                </w:tcPr>
                <w:p w14:paraId="439C7779">
                  <w:pPr>
                    <w:pStyle w:val="5"/>
                    <w:bidi w:val="0"/>
                    <w:rPr>
                      <w:rFonts w:hint="eastAsia" w:eastAsia="宋体"/>
                      <w:b/>
                      <w:bCs/>
                      <w:color w:val="auto"/>
                      <w:lang w:eastAsia="zh-CN"/>
                    </w:rPr>
                  </w:pPr>
                  <w:r>
                    <w:rPr>
                      <w:rFonts w:hint="eastAsia"/>
                      <w:b/>
                      <w:bCs/>
                      <w:color w:val="auto"/>
                      <w:lang w:eastAsia="zh-CN"/>
                    </w:rPr>
                    <w:t>实际数量</w:t>
                  </w:r>
                </w:p>
              </w:tc>
            </w:tr>
            <w:tr w14:paraId="121D40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9" w:hRule="atLeast"/>
                <w:jc w:val="center"/>
              </w:trPr>
              <w:tc>
                <w:tcPr>
                  <w:tcW w:w="5000" w:type="pct"/>
                  <w:gridSpan w:val="5"/>
                  <w:noWrap w:val="0"/>
                  <w:tcMar>
                    <w:top w:w="15" w:type="dxa"/>
                    <w:left w:w="15" w:type="dxa"/>
                    <w:right w:w="15" w:type="dxa"/>
                  </w:tcMar>
                  <w:vAlign w:val="center"/>
                </w:tcPr>
                <w:p w14:paraId="0DBFEB1E">
                  <w:pPr>
                    <w:pStyle w:val="5"/>
                    <w:bidi w:val="0"/>
                    <w:rPr>
                      <w:rFonts w:hint="eastAsia"/>
                      <w:color w:val="auto"/>
                    </w:rPr>
                  </w:pPr>
                  <w:r>
                    <w:rPr>
                      <w:rFonts w:hint="eastAsia"/>
                      <w:color w:val="auto"/>
                    </w:rPr>
                    <w:t>机加工区</w:t>
                  </w:r>
                </w:p>
              </w:tc>
            </w:tr>
            <w:tr w14:paraId="4F19B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4" w:hRule="atLeast"/>
                <w:jc w:val="center"/>
              </w:trPr>
              <w:tc>
                <w:tcPr>
                  <w:tcW w:w="373" w:type="pct"/>
                  <w:noWrap w:val="0"/>
                  <w:tcMar>
                    <w:top w:w="15" w:type="dxa"/>
                    <w:left w:w="15" w:type="dxa"/>
                    <w:right w:w="15" w:type="dxa"/>
                  </w:tcMar>
                  <w:vAlign w:val="center"/>
                </w:tcPr>
                <w:p w14:paraId="2A3C8906">
                  <w:pPr>
                    <w:pStyle w:val="5"/>
                    <w:bidi w:val="0"/>
                    <w:rPr>
                      <w:color w:val="auto"/>
                    </w:rPr>
                  </w:pPr>
                  <w:r>
                    <w:rPr>
                      <w:color w:val="auto"/>
                    </w:rPr>
                    <w:t>1</w:t>
                  </w:r>
                </w:p>
              </w:tc>
              <w:tc>
                <w:tcPr>
                  <w:tcW w:w="1260" w:type="pct"/>
                  <w:noWrap w:val="0"/>
                  <w:tcMar>
                    <w:top w:w="15" w:type="dxa"/>
                    <w:left w:w="15" w:type="dxa"/>
                    <w:right w:w="15" w:type="dxa"/>
                  </w:tcMar>
                  <w:vAlign w:val="center"/>
                </w:tcPr>
                <w:p w14:paraId="0914E3D2">
                  <w:pPr>
                    <w:pStyle w:val="5"/>
                    <w:bidi w:val="0"/>
                    <w:rPr>
                      <w:rFonts w:hint="eastAsia"/>
                      <w:color w:val="auto"/>
                    </w:rPr>
                  </w:pPr>
                  <w:r>
                    <w:rPr>
                      <w:rFonts w:hint="eastAsia"/>
                      <w:color w:val="auto"/>
                    </w:rPr>
                    <w:t>下料机</w:t>
                  </w:r>
                </w:p>
              </w:tc>
              <w:tc>
                <w:tcPr>
                  <w:tcW w:w="1294" w:type="pct"/>
                  <w:noWrap w:val="0"/>
                  <w:tcMar>
                    <w:top w:w="15" w:type="dxa"/>
                    <w:left w:w="15" w:type="dxa"/>
                    <w:right w:w="15" w:type="dxa"/>
                  </w:tcMar>
                  <w:vAlign w:val="center"/>
                </w:tcPr>
                <w:p w14:paraId="3E276763">
                  <w:pPr>
                    <w:pStyle w:val="5"/>
                    <w:bidi w:val="0"/>
                    <w:rPr>
                      <w:color w:val="auto"/>
                    </w:rPr>
                  </w:pPr>
                  <w:r>
                    <w:rPr>
                      <w:rFonts w:hint="eastAsia"/>
                      <w:color w:val="auto"/>
                    </w:rPr>
                    <w:t>QC12Y-680</w:t>
                  </w:r>
                </w:p>
              </w:tc>
              <w:tc>
                <w:tcPr>
                  <w:tcW w:w="1134" w:type="pct"/>
                  <w:noWrap w:val="0"/>
                  <w:tcMar>
                    <w:top w:w="15" w:type="dxa"/>
                    <w:left w:w="15" w:type="dxa"/>
                    <w:right w:w="15" w:type="dxa"/>
                  </w:tcMar>
                  <w:vAlign w:val="center"/>
                </w:tcPr>
                <w:p w14:paraId="1C4C3F6C">
                  <w:pPr>
                    <w:pStyle w:val="5"/>
                    <w:bidi w:val="0"/>
                    <w:rPr>
                      <w:rFonts w:hint="eastAsia"/>
                      <w:color w:val="auto"/>
                    </w:rPr>
                  </w:pPr>
                  <w:r>
                    <w:rPr>
                      <w:rFonts w:hint="eastAsia"/>
                      <w:color w:val="auto"/>
                    </w:rPr>
                    <w:t>1</w:t>
                  </w:r>
                </w:p>
              </w:tc>
              <w:tc>
                <w:tcPr>
                  <w:tcW w:w="936" w:type="pct"/>
                  <w:noWrap w:val="0"/>
                  <w:tcMar>
                    <w:top w:w="15" w:type="dxa"/>
                    <w:left w:w="15" w:type="dxa"/>
                    <w:right w:w="15" w:type="dxa"/>
                  </w:tcMar>
                  <w:vAlign w:val="center"/>
                </w:tcPr>
                <w:p w14:paraId="0124B341">
                  <w:pPr>
                    <w:pStyle w:val="5"/>
                    <w:bidi w:val="0"/>
                    <w:rPr>
                      <w:rFonts w:hint="eastAsia" w:eastAsia="宋体"/>
                      <w:color w:val="auto"/>
                      <w:lang w:val="en-US" w:eastAsia="zh-CN"/>
                    </w:rPr>
                  </w:pPr>
                  <w:r>
                    <w:rPr>
                      <w:rFonts w:hint="eastAsia"/>
                      <w:color w:val="auto"/>
                      <w:lang w:val="en-US" w:eastAsia="zh-CN"/>
                    </w:rPr>
                    <w:t>1</w:t>
                  </w:r>
                </w:p>
              </w:tc>
            </w:tr>
            <w:tr w14:paraId="39E9E2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373" w:type="pct"/>
                  <w:noWrap w:val="0"/>
                  <w:tcMar>
                    <w:top w:w="15" w:type="dxa"/>
                    <w:left w:w="15" w:type="dxa"/>
                    <w:right w:w="15" w:type="dxa"/>
                  </w:tcMar>
                  <w:vAlign w:val="center"/>
                </w:tcPr>
                <w:p w14:paraId="17A47E52">
                  <w:pPr>
                    <w:pStyle w:val="5"/>
                    <w:bidi w:val="0"/>
                    <w:rPr>
                      <w:color w:val="auto"/>
                    </w:rPr>
                  </w:pPr>
                  <w:r>
                    <w:rPr>
                      <w:color w:val="auto"/>
                    </w:rPr>
                    <w:t>2</w:t>
                  </w:r>
                </w:p>
              </w:tc>
              <w:tc>
                <w:tcPr>
                  <w:tcW w:w="1260" w:type="pct"/>
                  <w:noWrap w:val="0"/>
                  <w:tcMar>
                    <w:top w:w="15" w:type="dxa"/>
                    <w:left w:w="15" w:type="dxa"/>
                    <w:right w:w="15" w:type="dxa"/>
                  </w:tcMar>
                  <w:vAlign w:val="center"/>
                </w:tcPr>
                <w:p w14:paraId="5209B4E8">
                  <w:pPr>
                    <w:pStyle w:val="5"/>
                    <w:bidi w:val="0"/>
                    <w:rPr>
                      <w:color w:val="auto"/>
                    </w:rPr>
                  </w:pPr>
                  <w:r>
                    <w:rPr>
                      <w:color w:val="auto"/>
                    </w:rPr>
                    <w:t>剪板机</w:t>
                  </w:r>
                </w:p>
              </w:tc>
              <w:tc>
                <w:tcPr>
                  <w:tcW w:w="1294" w:type="pct"/>
                  <w:noWrap w:val="0"/>
                  <w:tcMar>
                    <w:top w:w="15" w:type="dxa"/>
                    <w:left w:w="15" w:type="dxa"/>
                    <w:right w:w="15" w:type="dxa"/>
                  </w:tcMar>
                  <w:vAlign w:val="center"/>
                </w:tcPr>
                <w:p w14:paraId="62DE29FC">
                  <w:pPr>
                    <w:pStyle w:val="5"/>
                    <w:bidi w:val="0"/>
                    <w:rPr>
                      <w:color w:val="auto"/>
                    </w:rPr>
                  </w:pPr>
                  <w:r>
                    <w:rPr>
                      <w:rFonts w:hint="eastAsia"/>
                      <w:color w:val="auto"/>
                    </w:rPr>
                    <w:t>QC12Y-4*6000</w:t>
                  </w:r>
                </w:p>
              </w:tc>
              <w:tc>
                <w:tcPr>
                  <w:tcW w:w="1134" w:type="pct"/>
                  <w:noWrap w:val="0"/>
                  <w:tcMar>
                    <w:top w:w="15" w:type="dxa"/>
                    <w:left w:w="15" w:type="dxa"/>
                    <w:right w:w="15" w:type="dxa"/>
                  </w:tcMar>
                  <w:vAlign w:val="center"/>
                </w:tcPr>
                <w:p w14:paraId="4D87ED2C">
                  <w:pPr>
                    <w:pStyle w:val="5"/>
                    <w:bidi w:val="0"/>
                    <w:rPr>
                      <w:rFonts w:hint="eastAsia"/>
                      <w:color w:val="auto"/>
                    </w:rPr>
                  </w:pPr>
                  <w:r>
                    <w:rPr>
                      <w:rFonts w:hint="eastAsia"/>
                      <w:color w:val="auto"/>
                    </w:rPr>
                    <w:t>2</w:t>
                  </w:r>
                </w:p>
              </w:tc>
              <w:tc>
                <w:tcPr>
                  <w:tcW w:w="936" w:type="pct"/>
                  <w:noWrap w:val="0"/>
                  <w:tcMar>
                    <w:top w:w="15" w:type="dxa"/>
                    <w:left w:w="15" w:type="dxa"/>
                    <w:right w:w="15" w:type="dxa"/>
                  </w:tcMar>
                  <w:vAlign w:val="center"/>
                </w:tcPr>
                <w:p w14:paraId="54A7BFCC">
                  <w:pPr>
                    <w:pStyle w:val="5"/>
                    <w:bidi w:val="0"/>
                    <w:rPr>
                      <w:rFonts w:hint="eastAsia" w:eastAsia="宋体"/>
                      <w:color w:val="auto"/>
                      <w:lang w:val="en-US" w:eastAsia="zh-CN"/>
                    </w:rPr>
                  </w:pPr>
                  <w:r>
                    <w:rPr>
                      <w:rFonts w:hint="eastAsia"/>
                      <w:color w:val="auto"/>
                      <w:lang w:val="en-US" w:eastAsia="zh-CN"/>
                    </w:rPr>
                    <w:t>2</w:t>
                  </w:r>
                </w:p>
              </w:tc>
            </w:tr>
            <w:tr w14:paraId="0A1F47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373" w:type="pct"/>
                  <w:noWrap w:val="0"/>
                  <w:tcMar>
                    <w:top w:w="15" w:type="dxa"/>
                    <w:left w:w="15" w:type="dxa"/>
                    <w:right w:w="15" w:type="dxa"/>
                  </w:tcMar>
                  <w:vAlign w:val="center"/>
                </w:tcPr>
                <w:p w14:paraId="183FB14B">
                  <w:pPr>
                    <w:pStyle w:val="5"/>
                    <w:bidi w:val="0"/>
                    <w:rPr>
                      <w:color w:val="auto"/>
                    </w:rPr>
                  </w:pPr>
                  <w:r>
                    <w:rPr>
                      <w:color w:val="auto"/>
                    </w:rPr>
                    <w:t>3</w:t>
                  </w:r>
                </w:p>
              </w:tc>
              <w:tc>
                <w:tcPr>
                  <w:tcW w:w="1260" w:type="pct"/>
                  <w:noWrap w:val="0"/>
                  <w:tcMar>
                    <w:top w:w="15" w:type="dxa"/>
                    <w:left w:w="15" w:type="dxa"/>
                    <w:right w:w="15" w:type="dxa"/>
                  </w:tcMar>
                  <w:vAlign w:val="center"/>
                </w:tcPr>
                <w:p w14:paraId="367716DD">
                  <w:pPr>
                    <w:pStyle w:val="5"/>
                    <w:bidi w:val="0"/>
                    <w:rPr>
                      <w:color w:val="auto"/>
                    </w:rPr>
                  </w:pPr>
                  <w:r>
                    <w:rPr>
                      <w:color w:val="auto"/>
                    </w:rPr>
                    <w:t>折边机</w:t>
                  </w:r>
                </w:p>
              </w:tc>
              <w:tc>
                <w:tcPr>
                  <w:tcW w:w="1294" w:type="pct"/>
                  <w:noWrap w:val="0"/>
                  <w:tcMar>
                    <w:top w:w="15" w:type="dxa"/>
                    <w:left w:w="15" w:type="dxa"/>
                    <w:right w:w="15" w:type="dxa"/>
                  </w:tcMar>
                  <w:vAlign w:val="center"/>
                </w:tcPr>
                <w:p w14:paraId="06E5C781">
                  <w:pPr>
                    <w:pStyle w:val="5"/>
                    <w:bidi w:val="0"/>
                    <w:rPr>
                      <w:color w:val="auto"/>
                    </w:rPr>
                  </w:pPr>
                  <w:r>
                    <w:rPr>
                      <w:rFonts w:hint="eastAsia"/>
                      <w:color w:val="auto"/>
                    </w:rPr>
                    <w:t>MODEL-YY2D-1200</w:t>
                  </w:r>
                </w:p>
              </w:tc>
              <w:tc>
                <w:tcPr>
                  <w:tcW w:w="1134" w:type="pct"/>
                  <w:noWrap w:val="0"/>
                  <w:tcMar>
                    <w:top w:w="15" w:type="dxa"/>
                    <w:left w:w="15" w:type="dxa"/>
                    <w:right w:w="15" w:type="dxa"/>
                  </w:tcMar>
                  <w:vAlign w:val="center"/>
                </w:tcPr>
                <w:p w14:paraId="42A0B9C5">
                  <w:pPr>
                    <w:pStyle w:val="5"/>
                    <w:bidi w:val="0"/>
                    <w:rPr>
                      <w:rFonts w:hint="eastAsia"/>
                      <w:color w:val="auto"/>
                    </w:rPr>
                  </w:pPr>
                  <w:r>
                    <w:rPr>
                      <w:rFonts w:hint="eastAsia"/>
                      <w:color w:val="auto"/>
                    </w:rPr>
                    <w:t>1</w:t>
                  </w:r>
                </w:p>
              </w:tc>
              <w:tc>
                <w:tcPr>
                  <w:tcW w:w="936" w:type="pct"/>
                  <w:noWrap w:val="0"/>
                  <w:tcMar>
                    <w:top w:w="15" w:type="dxa"/>
                    <w:left w:w="15" w:type="dxa"/>
                    <w:right w:w="15" w:type="dxa"/>
                  </w:tcMar>
                  <w:vAlign w:val="center"/>
                </w:tcPr>
                <w:p w14:paraId="4D82D085">
                  <w:pPr>
                    <w:pStyle w:val="5"/>
                    <w:bidi w:val="0"/>
                    <w:rPr>
                      <w:rFonts w:hint="eastAsia" w:eastAsia="宋体"/>
                      <w:color w:val="auto"/>
                      <w:lang w:val="en-US" w:eastAsia="zh-CN"/>
                    </w:rPr>
                  </w:pPr>
                  <w:r>
                    <w:rPr>
                      <w:rFonts w:hint="eastAsia"/>
                      <w:color w:val="auto"/>
                      <w:lang w:val="en-US" w:eastAsia="zh-CN"/>
                    </w:rPr>
                    <w:t>1</w:t>
                  </w:r>
                </w:p>
              </w:tc>
            </w:tr>
            <w:tr w14:paraId="20070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373" w:type="pct"/>
                  <w:noWrap w:val="0"/>
                  <w:tcMar>
                    <w:top w:w="15" w:type="dxa"/>
                    <w:left w:w="15" w:type="dxa"/>
                    <w:right w:w="15" w:type="dxa"/>
                  </w:tcMar>
                  <w:vAlign w:val="center"/>
                </w:tcPr>
                <w:p w14:paraId="3419A304">
                  <w:pPr>
                    <w:pStyle w:val="5"/>
                    <w:bidi w:val="0"/>
                    <w:rPr>
                      <w:color w:val="auto"/>
                    </w:rPr>
                  </w:pPr>
                  <w:r>
                    <w:rPr>
                      <w:color w:val="auto"/>
                    </w:rPr>
                    <w:t>4</w:t>
                  </w:r>
                </w:p>
              </w:tc>
              <w:tc>
                <w:tcPr>
                  <w:tcW w:w="1260" w:type="pct"/>
                  <w:noWrap w:val="0"/>
                  <w:tcMar>
                    <w:top w:w="15" w:type="dxa"/>
                    <w:left w:w="15" w:type="dxa"/>
                    <w:right w:w="15" w:type="dxa"/>
                  </w:tcMar>
                  <w:vAlign w:val="center"/>
                </w:tcPr>
                <w:p w14:paraId="718D5811">
                  <w:pPr>
                    <w:pStyle w:val="5"/>
                    <w:bidi w:val="0"/>
                    <w:rPr>
                      <w:rFonts w:hint="eastAsia"/>
                      <w:color w:val="auto"/>
                    </w:rPr>
                  </w:pPr>
                  <w:r>
                    <w:rPr>
                      <w:rFonts w:hint="eastAsia"/>
                      <w:color w:val="auto"/>
                    </w:rPr>
                    <w:t>折弯机</w:t>
                  </w:r>
                </w:p>
              </w:tc>
              <w:tc>
                <w:tcPr>
                  <w:tcW w:w="1294" w:type="pct"/>
                  <w:noWrap w:val="0"/>
                  <w:tcMar>
                    <w:top w:w="15" w:type="dxa"/>
                    <w:left w:w="15" w:type="dxa"/>
                    <w:right w:w="15" w:type="dxa"/>
                  </w:tcMar>
                  <w:vAlign w:val="center"/>
                </w:tcPr>
                <w:p w14:paraId="79A640EF">
                  <w:pPr>
                    <w:pStyle w:val="5"/>
                    <w:bidi w:val="0"/>
                    <w:rPr>
                      <w:color w:val="auto"/>
                    </w:rPr>
                  </w:pPr>
                  <w:r>
                    <w:rPr>
                      <w:rFonts w:hint="eastAsia"/>
                      <w:color w:val="auto"/>
                    </w:rPr>
                    <w:t>WC67Y-125</w:t>
                  </w:r>
                </w:p>
              </w:tc>
              <w:tc>
                <w:tcPr>
                  <w:tcW w:w="1134" w:type="pct"/>
                  <w:noWrap w:val="0"/>
                  <w:tcMar>
                    <w:top w:w="15" w:type="dxa"/>
                    <w:left w:w="15" w:type="dxa"/>
                    <w:right w:w="15" w:type="dxa"/>
                  </w:tcMar>
                  <w:vAlign w:val="center"/>
                </w:tcPr>
                <w:p w14:paraId="1AAB9B62">
                  <w:pPr>
                    <w:pStyle w:val="5"/>
                    <w:bidi w:val="0"/>
                    <w:rPr>
                      <w:color w:val="auto"/>
                    </w:rPr>
                  </w:pPr>
                  <w:r>
                    <w:rPr>
                      <w:rFonts w:hint="eastAsia"/>
                      <w:color w:val="auto"/>
                    </w:rPr>
                    <w:t>4</w:t>
                  </w:r>
                </w:p>
              </w:tc>
              <w:tc>
                <w:tcPr>
                  <w:tcW w:w="936" w:type="pct"/>
                  <w:noWrap w:val="0"/>
                  <w:tcMar>
                    <w:top w:w="15" w:type="dxa"/>
                    <w:left w:w="15" w:type="dxa"/>
                    <w:right w:w="15" w:type="dxa"/>
                  </w:tcMar>
                  <w:vAlign w:val="center"/>
                </w:tcPr>
                <w:p w14:paraId="2F422017">
                  <w:pPr>
                    <w:pStyle w:val="5"/>
                    <w:bidi w:val="0"/>
                    <w:rPr>
                      <w:rFonts w:hint="default" w:eastAsia="宋体"/>
                      <w:color w:val="auto"/>
                      <w:lang w:val="en-US" w:eastAsia="zh-CN"/>
                    </w:rPr>
                  </w:pPr>
                  <w:r>
                    <w:rPr>
                      <w:rFonts w:hint="eastAsia"/>
                      <w:color w:val="auto"/>
                      <w:lang w:val="en-US" w:eastAsia="zh-CN"/>
                    </w:rPr>
                    <w:t>4</w:t>
                  </w:r>
                </w:p>
              </w:tc>
            </w:tr>
            <w:tr w14:paraId="7288D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0C9E8615">
                  <w:pPr>
                    <w:pStyle w:val="5"/>
                    <w:bidi w:val="0"/>
                    <w:rPr>
                      <w:color w:val="auto"/>
                    </w:rPr>
                  </w:pPr>
                  <w:r>
                    <w:rPr>
                      <w:color w:val="auto"/>
                    </w:rPr>
                    <w:t>5</w:t>
                  </w:r>
                </w:p>
              </w:tc>
              <w:tc>
                <w:tcPr>
                  <w:tcW w:w="1260" w:type="pct"/>
                  <w:noWrap w:val="0"/>
                  <w:tcMar>
                    <w:top w:w="15" w:type="dxa"/>
                    <w:left w:w="15" w:type="dxa"/>
                    <w:right w:w="15" w:type="dxa"/>
                  </w:tcMar>
                  <w:vAlign w:val="center"/>
                </w:tcPr>
                <w:p w14:paraId="1DCFEF24">
                  <w:pPr>
                    <w:pStyle w:val="5"/>
                    <w:bidi w:val="0"/>
                    <w:rPr>
                      <w:color w:val="auto"/>
                    </w:rPr>
                  </w:pPr>
                  <w:r>
                    <w:rPr>
                      <w:rFonts w:hint="eastAsia"/>
                      <w:color w:val="auto"/>
                    </w:rPr>
                    <w:t>冲床</w:t>
                  </w:r>
                </w:p>
              </w:tc>
              <w:tc>
                <w:tcPr>
                  <w:tcW w:w="1294" w:type="pct"/>
                  <w:noWrap w:val="0"/>
                  <w:tcMar>
                    <w:top w:w="15" w:type="dxa"/>
                    <w:left w:w="15" w:type="dxa"/>
                    <w:right w:w="15" w:type="dxa"/>
                  </w:tcMar>
                  <w:vAlign w:val="center"/>
                </w:tcPr>
                <w:p w14:paraId="209E0CAD">
                  <w:pPr>
                    <w:pStyle w:val="5"/>
                    <w:bidi w:val="0"/>
                    <w:rPr>
                      <w:color w:val="auto"/>
                    </w:rPr>
                  </w:pPr>
                  <w:r>
                    <w:rPr>
                      <w:rFonts w:hint="eastAsia"/>
                      <w:color w:val="auto"/>
                    </w:rPr>
                    <w:t>J23-25</w:t>
                  </w:r>
                </w:p>
              </w:tc>
              <w:tc>
                <w:tcPr>
                  <w:tcW w:w="1134" w:type="pct"/>
                  <w:noWrap w:val="0"/>
                  <w:tcMar>
                    <w:top w:w="15" w:type="dxa"/>
                    <w:left w:w="15" w:type="dxa"/>
                    <w:right w:w="15" w:type="dxa"/>
                  </w:tcMar>
                  <w:vAlign w:val="center"/>
                </w:tcPr>
                <w:p w14:paraId="6CCBDEF7">
                  <w:pPr>
                    <w:pStyle w:val="5"/>
                    <w:bidi w:val="0"/>
                    <w:rPr>
                      <w:color w:val="auto"/>
                    </w:rPr>
                  </w:pPr>
                  <w:r>
                    <w:rPr>
                      <w:rFonts w:hint="eastAsia"/>
                      <w:color w:val="auto"/>
                    </w:rPr>
                    <w:t>5</w:t>
                  </w:r>
                </w:p>
              </w:tc>
              <w:tc>
                <w:tcPr>
                  <w:tcW w:w="936" w:type="pct"/>
                  <w:noWrap w:val="0"/>
                  <w:tcMar>
                    <w:top w:w="15" w:type="dxa"/>
                    <w:left w:w="15" w:type="dxa"/>
                    <w:right w:w="15" w:type="dxa"/>
                  </w:tcMar>
                  <w:vAlign w:val="center"/>
                </w:tcPr>
                <w:p w14:paraId="6586AA58">
                  <w:pPr>
                    <w:pStyle w:val="5"/>
                    <w:bidi w:val="0"/>
                    <w:rPr>
                      <w:rFonts w:hint="eastAsia" w:eastAsia="宋体"/>
                      <w:color w:val="auto"/>
                      <w:lang w:val="en-US" w:eastAsia="zh-CN"/>
                    </w:rPr>
                  </w:pPr>
                  <w:r>
                    <w:rPr>
                      <w:rFonts w:hint="eastAsia"/>
                      <w:color w:val="auto"/>
                      <w:lang w:val="en-US" w:eastAsia="zh-CN"/>
                    </w:rPr>
                    <w:t>5</w:t>
                  </w:r>
                </w:p>
              </w:tc>
            </w:tr>
            <w:tr w14:paraId="2AA31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1" w:hRule="atLeast"/>
                <w:jc w:val="center"/>
              </w:trPr>
              <w:tc>
                <w:tcPr>
                  <w:tcW w:w="373" w:type="pct"/>
                  <w:noWrap w:val="0"/>
                  <w:tcMar>
                    <w:top w:w="15" w:type="dxa"/>
                    <w:left w:w="15" w:type="dxa"/>
                    <w:right w:w="15" w:type="dxa"/>
                  </w:tcMar>
                  <w:vAlign w:val="center"/>
                </w:tcPr>
                <w:p w14:paraId="2A122141">
                  <w:pPr>
                    <w:pStyle w:val="5"/>
                    <w:bidi w:val="0"/>
                    <w:rPr>
                      <w:color w:val="auto"/>
                    </w:rPr>
                  </w:pPr>
                  <w:r>
                    <w:rPr>
                      <w:color w:val="auto"/>
                    </w:rPr>
                    <w:t>6</w:t>
                  </w:r>
                </w:p>
              </w:tc>
              <w:tc>
                <w:tcPr>
                  <w:tcW w:w="1260" w:type="pct"/>
                  <w:noWrap w:val="0"/>
                  <w:tcMar>
                    <w:top w:w="15" w:type="dxa"/>
                    <w:left w:w="15" w:type="dxa"/>
                    <w:right w:w="15" w:type="dxa"/>
                  </w:tcMar>
                  <w:vAlign w:val="center"/>
                </w:tcPr>
                <w:p w14:paraId="74F62306">
                  <w:pPr>
                    <w:pStyle w:val="5"/>
                    <w:bidi w:val="0"/>
                    <w:rPr>
                      <w:rFonts w:hint="eastAsia"/>
                      <w:color w:val="auto"/>
                    </w:rPr>
                  </w:pPr>
                  <w:r>
                    <w:rPr>
                      <w:rFonts w:hint="eastAsia"/>
                      <w:color w:val="auto"/>
                    </w:rPr>
                    <w:t>滚花机</w:t>
                  </w:r>
                </w:p>
              </w:tc>
              <w:tc>
                <w:tcPr>
                  <w:tcW w:w="1294" w:type="pct"/>
                  <w:noWrap w:val="0"/>
                  <w:tcMar>
                    <w:top w:w="15" w:type="dxa"/>
                    <w:left w:w="15" w:type="dxa"/>
                    <w:right w:w="15" w:type="dxa"/>
                  </w:tcMar>
                  <w:vAlign w:val="center"/>
                </w:tcPr>
                <w:p w14:paraId="067C65B2">
                  <w:pPr>
                    <w:pStyle w:val="5"/>
                    <w:bidi w:val="0"/>
                    <w:rPr>
                      <w:color w:val="auto"/>
                    </w:rPr>
                  </w:pPr>
                  <w:r>
                    <w:rPr>
                      <w:rFonts w:hint="eastAsia"/>
                      <w:color w:val="auto"/>
                    </w:rPr>
                    <w:t>QC12Y-170</w:t>
                  </w:r>
                </w:p>
              </w:tc>
              <w:tc>
                <w:tcPr>
                  <w:tcW w:w="1134" w:type="pct"/>
                  <w:noWrap w:val="0"/>
                  <w:tcMar>
                    <w:top w:w="15" w:type="dxa"/>
                    <w:left w:w="15" w:type="dxa"/>
                    <w:right w:w="15" w:type="dxa"/>
                  </w:tcMar>
                  <w:vAlign w:val="center"/>
                </w:tcPr>
                <w:p w14:paraId="70CB24A8">
                  <w:pPr>
                    <w:pStyle w:val="5"/>
                    <w:bidi w:val="0"/>
                    <w:rPr>
                      <w:color w:val="auto"/>
                    </w:rPr>
                  </w:pPr>
                  <w:r>
                    <w:rPr>
                      <w:rFonts w:hint="eastAsia"/>
                      <w:color w:val="auto"/>
                    </w:rPr>
                    <w:t>1</w:t>
                  </w:r>
                </w:p>
              </w:tc>
              <w:tc>
                <w:tcPr>
                  <w:tcW w:w="936" w:type="pct"/>
                  <w:noWrap w:val="0"/>
                  <w:tcMar>
                    <w:top w:w="15" w:type="dxa"/>
                    <w:left w:w="15" w:type="dxa"/>
                    <w:right w:w="15" w:type="dxa"/>
                  </w:tcMar>
                  <w:vAlign w:val="center"/>
                </w:tcPr>
                <w:p w14:paraId="19F07780">
                  <w:pPr>
                    <w:pStyle w:val="5"/>
                    <w:bidi w:val="0"/>
                    <w:rPr>
                      <w:rFonts w:hint="eastAsia" w:eastAsia="宋体"/>
                      <w:color w:val="auto"/>
                      <w:lang w:val="en-US" w:eastAsia="zh-CN"/>
                    </w:rPr>
                  </w:pPr>
                  <w:r>
                    <w:rPr>
                      <w:rFonts w:hint="eastAsia"/>
                      <w:color w:val="auto"/>
                      <w:lang w:val="en-US" w:eastAsia="zh-CN"/>
                    </w:rPr>
                    <w:t>1</w:t>
                  </w:r>
                </w:p>
              </w:tc>
            </w:tr>
            <w:tr w14:paraId="15384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7BD7B275">
                  <w:pPr>
                    <w:pStyle w:val="5"/>
                    <w:bidi w:val="0"/>
                    <w:rPr>
                      <w:color w:val="auto"/>
                    </w:rPr>
                  </w:pPr>
                  <w:r>
                    <w:rPr>
                      <w:color w:val="auto"/>
                    </w:rPr>
                    <w:t>7</w:t>
                  </w:r>
                </w:p>
              </w:tc>
              <w:tc>
                <w:tcPr>
                  <w:tcW w:w="1260" w:type="pct"/>
                  <w:noWrap w:val="0"/>
                  <w:tcMar>
                    <w:top w:w="15" w:type="dxa"/>
                    <w:left w:w="15" w:type="dxa"/>
                    <w:right w:w="15" w:type="dxa"/>
                  </w:tcMar>
                  <w:vAlign w:val="center"/>
                </w:tcPr>
                <w:p w14:paraId="358CD742">
                  <w:pPr>
                    <w:pStyle w:val="5"/>
                    <w:bidi w:val="0"/>
                    <w:rPr>
                      <w:color w:val="auto"/>
                    </w:rPr>
                  </w:pPr>
                  <w:r>
                    <w:rPr>
                      <w:rFonts w:hint="eastAsia"/>
                      <w:color w:val="auto"/>
                    </w:rPr>
                    <w:t>压花机</w:t>
                  </w:r>
                </w:p>
              </w:tc>
              <w:tc>
                <w:tcPr>
                  <w:tcW w:w="1294" w:type="pct"/>
                  <w:noWrap w:val="0"/>
                  <w:tcMar>
                    <w:top w:w="15" w:type="dxa"/>
                    <w:left w:w="15" w:type="dxa"/>
                    <w:right w:w="15" w:type="dxa"/>
                  </w:tcMar>
                  <w:vAlign w:val="center"/>
                </w:tcPr>
                <w:p w14:paraId="062D177C">
                  <w:pPr>
                    <w:pStyle w:val="5"/>
                    <w:bidi w:val="0"/>
                    <w:rPr>
                      <w:color w:val="auto"/>
                    </w:rPr>
                  </w:pPr>
                  <w:r>
                    <w:rPr>
                      <w:rFonts w:hint="eastAsia"/>
                      <w:color w:val="auto"/>
                    </w:rPr>
                    <w:t>LZYY-1600T</w:t>
                  </w:r>
                </w:p>
              </w:tc>
              <w:tc>
                <w:tcPr>
                  <w:tcW w:w="1134" w:type="pct"/>
                  <w:noWrap w:val="0"/>
                  <w:tcMar>
                    <w:top w:w="15" w:type="dxa"/>
                    <w:left w:w="15" w:type="dxa"/>
                    <w:right w:w="15" w:type="dxa"/>
                  </w:tcMar>
                  <w:vAlign w:val="center"/>
                </w:tcPr>
                <w:p w14:paraId="1F33B00A">
                  <w:pPr>
                    <w:pStyle w:val="5"/>
                    <w:bidi w:val="0"/>
                    <w:rPr>
                      <w:rFonts w:hint="eastAsia"/>
                      <w:color w:val="auto"/>
                    </w:rPr>
                  </w:pPr>
                  <w:r>
                    <w:rPr>
                      <w:rFonts w:hint="eastAsia"/>
                      <w:color w:val="auto"/>
                    </w:rPr>
                    <w:t>1</w:t>
                  </w:r>
                </w:p>
              </w:tc>
              <w:tc>
                <w:tcPr>
                  <w:tcW w:w="936" w:type="pct"/>
                  <w:noWrap w:val="0"/>
                  <w:tcMar>
                    <w:top w:w="15" w:type="dxa"/>
                    <w:left w:w="15" w:type="dxa"/>
                    <w:right w:w="15" w:type="dxa"/>
                  </w:tcMar>
                  <w:vAlign w:val="center"/>
                </w:tcPr>
                <w:p w14:paraId="50A1EF93">
                  <w:pPr>
                    <w:pStyle w:val="5"/>
                    <w:bidi w:val="0"/>
                    <w:rPr>
                      <w:rFonts w:hint="eastAsia" w:eastAsia="宋体"/>
                      <w:color w:val="auto"/>
                      <w:lang w:val="en-US" w:eastAsia="zh-CN"/>
                    </w:rPr>
                  </w:pPr>
                  <w:r>
                    <w:rPr>
                      <w:rFonts w:hint="eastAsia"/>
                      <w:color w:val="auto"/>
                      <w:lang w:val="en-US" w:eastAsia="zh-CN"/>
                    </w:rPr>
                    <w:t>1</w:t>
                  </w:r>
                </w:p>
              </w:tc>
            </w:tr>
            <w:tr w14:paraId="4F4CB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3B030F3E">
                  <w:pPr>
                    <w:pStyle w:val="5"/>
                    <w:bidi w:val="0"/>
                    <w:rPr>
                      <w:color w:val="auto"/>
                    </w:rPr>
                  </w:pPr>
                  <w:r>
                    <w:rPr>
                      <w:color w:val="auto"/>
                    </w:rPr>
                    <w:t>8</w:t>
                  </w:r>
                </w:p>
              </w:tc>
              <w:tc>
                <w:tcPr>
                  <w:tcW w:w="1260" w:type="pct"/>
                  <w:noWrap w:val="0"/>
                  <w:tcMar>
                    <w:top w:w="15" w:type="dxa"/>
                    <w:left w:w="15" w:type="dxa"/>
                    <w:right w:w="15" w:type="dxa"/>
                  </w:tcMar>
                  <w:vAlign w:val="center"/>
                </w:tcPr>
                <w:p w14:paraId="2A3A6043">
                  <w:pPr>
                    <w:pStyle w:val="5"/>
                    <w:bidi w:val="0"/>
                    <w:rPr>
                      <w:color w:val="auto"/>
                    </w:rPr>
                  </w:pPr>
                  <w:r>
                    <w:rPr>
                      <w:rFonts w:hint="eastAsia"/>
                      <w:color w:val="auto"/>
                    </w:rPr>
                    <w:t>二氧化碳气保焊</w:t>
                  </w:r>
                </w:p>
              </w:tc>
              <w:tc>
                <w:tcPr>
                  <w:tcW w:w="1294" w:type="pct"/>
                  <w:noWrap w:val="0"/>
                  <w:tcMar>
                    <w:top w:w="15" w:type="dxa"/>
                    <w:left w:w="15" w:type="dxa"/>
                    <w:right w:w="15" w:type="dxa"/>
                  </w:tcMar>
                  <w:vAlign w:val="center"/>
                </w:tcPr>
                <w:p w14:paraId="1A7B7DF4">
                  <w:pPr>
                    <w:pStyle w:val="5"/>
                    <w:bidi w:val="0"/>
                    <w:rPr>
                      <w:color w:val="auto"/>
                    </w:rPr>
                  </w:pPr>
                  <w:r>
                    <w:rPr>
                      <w:rFonts w:hint="eastAsia"/>
                      <w:color w:val="auto"/>
                    </w:rPr>
                    <w:t>NBC-270T</w:t>
                  </w:r>
                </w:p>
              </w:tc>
              <w:tc>
                <w:tcPr>
                  <w:tcW w:w="1134" w:type="pct"/>
                  <w:noWrap w:val="0"/>
                  <w:tcMar>
                    <w:top w:w="15" w:type="dxa"/>
                    <w:left w:w="15" w:type="dxa"/>
                    <w:right w:w="15" w:type="dxa"/>
                  </w:tcMar>
                  <w:vAlign w:val="center"/>
                </w:tcPr>
                <w:p w14:paraId="0D4FE4EC">
                  <w:pPr>
                    <w:pStyle w:val="5"/>
                    <w:bidi w:val="0"/>
                    <w:rPr>
                      <w:rFonts w:hint="eastAsia"/>
                      <w:color w:val="auto"/>
                    </w:rPr>
                  </w:pPr>
                  <w:r>
                    <w:rPr>
                      <w:rFonts w:hint="eastAsia"/>
                      <w:color w:val="auto"/>
                    </w:rPr>
                    <w:t>3</w:t>
                  </w:r>
                </w:p>
              </w:tc>
              <w:tc>
                <w:tcPr>
                  <w:tcW w:w="936" w:type="pct"/>
                  <w:noWrap w:val="0"/>
                  <w:tcMar>
                    <w:top w:w="15" w:type="dxa"/>
                    <w:left w:w="15" w:type="dxa"/>
                    <w:right w:w="15" w:type="dxa"/>
                  </w:tcMar>
                  <w:vAlign w:val="center"/>
                </w:tcPr>
                <w:p w14:paraId="406682CE">
                  <w:pPr>
                    <w:pStyle w:val="5"/>
                    <w:bidi w:val="0"/>
                    <w:rPr>
                      <w:rFonts w:hint="eastAsia" w:eastAsia="宋体"/>
                      <w:color w:val="auto"/>
                      <w:lang w:val="en-US" w:eastAsia="zh-CN"/>
                    </w:rPr>
                  </w:pPr>
                  <w:r>
                    <w:rPr>
                      <w:rFonts w:hint="eastAsia"/>
                      <w:color w:val="auto"/>
                      <w:lang w:val="en-US" w:eastAsia="zh-CN"/>
                    </w:rPr>
                    <w:t>3</w:t>
                  </w:r>
                </w:p>
              </w:tc>
            </w:tr>
            <w:tr w14:paraId="6BF5DB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5F959656">
                  <w:pPr>
                    <w:pStyle w:val="5"/>
                    <w:bidi w:val="0"/>
                    <w:rPr>
                      <w:color w:val="auto"/>
                    </w:rPr>
                  </w:pPr>
                  <w:r>
                    <w:rPr>
                      <w:color w:val="auto"/>
                    </w:rPr>
                    <w:t>9</w:t>
                  </w:r>
                </w:p>
              </w:tc>
              <w:tc>
                <w:tcPr>
                  <w:tcW w:w="1260" w:type="pct"/>
                  <w:noWrap w:val="0"/>
                  <w:tcMar>
                    <w:top w:w="15" w:type="dxa"/>
                    <w:left w:w="15" w:type="dxa"/>
                    <w:right w:w="15" w:type="dxa"/>
                  </w:tcMar>
                  <w:vAlign w:val="center"/>
                </w:tcPr>
                <w:p w14:paraId="394133B3">
                  <w:pPr>
                    <w:pStyle w:val="5"/>
                    <w:bidi w:val="0"/>
                    <w:rPr>
                      <w:color w:val="auto"/>
                    </w:rPr>
                  </w:pPr>
                  <w:r>
                    <w:rPr>
                      <w:color w:val="auto"/>
                    </w:rPr>
                    <w:t>胶合机</w:t>
                  </w:r>
                </w:p>
              </w:tc>
              <w:tc>
                <w:tcPr>
                  <w:tcW w:w="1294" w:type="pct"/>
                  <w:noWrap w:val="0"/>
                  <w:tcMar>
                    <w:top w:w="15" w:type="dxa"/>
                    <w:left w:w="15" w:type="dxa"/>
                    <w:right w:w="15" w:type="dxa"/>
                  </w:tcMar>
                  <w:vAlign w:val="center"/>
                </w:tcPr>
                <w:p w14:paraId="4D60CA1C">
                  <w:pPr>
                    <w:pStyle w:val="5"/>
                    <w:bidi w:val="0"/>
                    <w:rPr>
                      <w:rFonts w:hint="eastAsia"/>
                      <w:color w:val="auto"/>
                    </w:rPr>
                  </w:pPr>
                  <w:r>
                    <w:rPr>
                      <w:rFonts w:hint="eastAsia"/>
                      <w:color w:val="auto"/>
                    </w:rPr>
                    <w:t>/</w:t>
                  </w:r>
                </w:p>
              </w:tc>
              <w:tc>
                <w:tcPr>
                  <w:tcW w:w="1134" w:type="pct"/>
                  <w:noWrap w:val="0"/>
                  <w:tcMar>
                    <w:top w:w="15" w:type="dxa"/>
                    <w:left w:w="15" w:type="dxa"/>
                    <w:right w:w="15" w:type="dxa"/>
                  </w:tcMar>
                  <w:vAlign w:val="center"/>
                </w:tcPr>
                <w:p w14:paraId="25CF9C0A">
                  <w:pPr>
                    <w:pStyle w:val="5"/>
                    <w:bidi w:val="0"/>
                    <w:rPr>
                      <w:rFonts w:hint="eastAsia"/>
                      <w:color w:val="auto"/>
                    </w:rPr>
                  </w:pPr>
                  <w:r>
                    <w:rPr>
                      <w:rFonts w:hint="eastAsia"/>
                      <w:color w:val="auto"/>
                    </w:rPr>
                    <w:t>1</w:t>
                  </w:r>
                </w:p>
              </w:tc>
              <w:tc>
                <w:tcPr>
                  <w:tcW w:w="936" w:type="pct"/>
                  <w:noWrap w:val="0"/>
                  <w:tcMar>
                    <w:top w:w="15" w:type="dxa"/>
                    <w:left w:w="15" w:type="dxa"/>
                    <w:right w:w="15" w:type="dxa"/>
                  </w:tcMar>
                  <w:vAlign w:val="center"/>
                </w:tcPr>
                <w:p w14:paraId="2FFBF4DC">
                  <w:pPr>
                    <w:pStyle w:val="5"/>
                    <w:bidi w:val="0"/>
                    <w:rPr>
                      <w:rFonts w:hint="eastAsia" w:eastAsia="宋体"/>
                      <w:color w:val="auto"/>
                      <w:lang w:val="en-US" w:eastAsia="zh-CN"/>
                    </w:rPr>
                  </w:pPr>
                  <w:r>
                    <w:rPr>
                      <w:rFonts w:hint="eastAsia"/>
                      <w:color w:val="auto"/>
                      <w:lang w:val="en-US" w:eastAsia="zh-CN"/>
                    </w:rPr>
                    <w:t>1</w:t>
                  </w:r>
                </w:p>
              </w:tc>
            </w:tr>
            <w:tr w14:paraId="30BEF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5000" w:type="pct"/>
                  <w:gridSpan w:val="5"/>
                  <w:noWrap w:val="0"/>
                  <w:tcMar>
                    <w:top w:w="15" w:type="dxa"/>
                    <w:left w:w="15" w:type="dxa"/>
                    <w:right w:w="15" w:type="dxa"/>
                  </w:tcMar>
                  <w:vAlign w:val="center"/>
                </w:tcPr>
                <w:p w14:paraId="2AD76CF0">
                  <w:pPr>
                    <w:pStyle w:val="5"/>
                    <w:bidi w:val="0"/>
                    <w:rPr>
                      <w:rFonts w:hint="eastAsia"/>
                      <w:color w:val="auto"/>
                    </w:rPr>
                  </w:pPr>
                  <w:r>
                    <w:rPr>
                      <w:rFonts w:hint="eastAsia"/>
                      <w:color w:val="auto"/>
                    </w:rPr>
                    <w:t>表面处理区</w:t>
                  </w:r>
                </w:p>
              </w:tc>
            </w:tr>
            <w:tr w14:paraId="57B85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75374E7A">
                  <w:pPr>
                    <w:pStyle w:val="5"/>
                    <w:bidi w:val="0"/>
                    <w:rPr>
                      <w:color w:val="auto"/>
                    </w:rPr>
                  </w:pPr>
                  <w:r>
                    <w:rPr>
                      <w:color w:val="auto"/>
                    </w:rPr>
                    <w:t>10</w:t>
                  </w:r>
                </w:p>
              </w:tc>
              <w:tc>
                <w:tcPr>
                  <w:tcW w:w="1260" w:type="pct"/>
                  <w:noWrap w:val="0"/>
                  <w:tcMar>
                    <w:top w:w="15" w:type="dxa"/>
                    <w:left w:w="15" w:type="dxa"/>
                    <w:right w:w="15" w:type="dxa"/>
                  </w:tcMar>
                  <w:vAlign w:val="center"/>
                </w:tcPr>
                <w:p w14:paraId="14856AB5">
                  <w:pPr>
                    <w:pStyle w:val="5"/>
                    <w:bidi w:val="0"/>
                    <w:rPr>
                      <w:rFonts w:hint="eastAsia"/>
                      <w:color w:val="auto"/>
                    </w:rPr>
                  </w:pPr>
                  <w:r>
                    <w:rPr>
                      <w:color w:val="auto"/>
                    </w:rPr>
                    <w:t>脱脂</w:t>
                  </w:r>
                  <w:r>
                    <w:rPr>
                      <w:rFonts w:hint="eastAsia"/>
                      <w:color w:val="auto"/>
                    </w:rPr>
                    <w:t>池</w:t>
                  </w:r>
                </w:p>
              </w:tc>
              <w:tc>
                <w:tcPr>
                  <w:tcW w:w="1294" w:type="pct"/>
                  <w:noWrap w:val="0"/>
                  <w:tcMar>
                    <w:top w:w="15" w:type="dxa"/>
                    <w:left w:w="15" w:type="dxa"/>
                    <w:right w:w="15" w:type="dxa"/>
                  </w:tcMar>
                  <w:vAlign w:val="center"/>
                </w:tcPr>
                <w:p w14:paraId="34D6ECEA">
                  <w:pPr>
                    <w:pStyle w:val="5"/>
                    <w:bidi w:val="0"/>
                    <w:rPr>
                      <w:color w:val="auto"/>
                    </w:rPr>
                  </w:pPr>
                  <w:r>
                    <w:rPr>
                      <w:rFonts w:hint="eastAsia"/>
                      <w:color w:val="auto"/>
                    </w:rPr>
                    <w:t>3.8m×1.0m×1.2m</w:t>
                  </w:r>
                </w:p>
              </w:tc>
              <w:tc>
                <w:tcPr>
                  <w:tcW w:w="1134" w:type="pct"/>
                  <w:noWrap w:val="0"/>
                  <w:tcMar>
                    <w:top w:w="15" w:type="dxa"/>
                    <w:left w:w="15" w:type="dxa"/>
                    <w:right w:w="15" w:type="dxa"/>
                  </w:tcMar>
                  <w:vAlign w:val="center"/>
                </w:tcPr>
                <w:p w14:paraId="7C63ED60">
                  <w:pPr>
                    <w:pStyle w:val="5"/>
                    <w:bidi w:val="0"/>
                    <w:rPr>
                      <w:rFonts w:hint="eastAsia"/>
                      <w:color w:val="auto"/>
                    </w:rPr>
                  </w:pPr>
                  <w:r>
                    <w:rPr>
                      <w:rFonts w:hint="eastAsia"/>
                      <w:color w:val="auto"/>
                    </w:rPr>
                    <w:t>1个</w:t>
                  </w:r>
                </w:p>
              </w:tc>
              <w:tc>
                <w:tcPr>
                  <w:tcW w:w="936" w:type="pct"/>
                  <w:noWrap w:val="0"/>
                  <w:tcMar>
                    <w:top w:w="15" w:type="dxa"/>
                    <w:left w:w="15" w:type="dxa"/>
                    <w:right w:w="15" w:type="dxa"/>
                  </w:tcMar>
                  <w:vAlign w:val="center"/>
                </w:tcPr>
                <w:p w14:paraId="78DACF58">
                  <w:pPr>
                    <w:pStyle w:val="5"/>
                    <w:bidi w:val="0"/>
                    <w:rPr>
                      <w:rFonts w:hint="eastAsia" w:eastAsia="宋体"/>
                      <w:color w:val="auto"/>
                      <w:lang w:val="en-US" w:eastAsia="zh-CN"/>
                    </w:rPr>
                  </w:pPr>
                  <w:r>
                    <w:rPr>
                      <w:rFonts w:hint="eastAsia"/>
                      <w:color w:val="auto"/>
                      <w:lang w:val="en-US" w:eastAsia="zh-CN"/>
                    </w:rPr>
                    <w:t>1个</w:t>
                  </w:r>
                </w:p>
              </w:tc>
            </w:tr>
            <w:tr w14:paraId="6CBFCD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575BF9D9">
                  <w:pPr>
                    <w:pStyle w:val="5"/>
                    <w:bidi w:val="0"/>
                    <w:rPr>
                      <w:color w:val="auto"/>
                    </w:rPr>
                  </w:pPr>
                  <w:r>
                    <w:rPr>
                      <w:color w:val="auto"/>
                    </w:rPr>
                    <w:t>11</w:t>
                  </w:r>
                </w:p>
              </w:tc>
              <w:tc>
                <w:tcPr>
                  <w:tcW w:w="1260" w:type="pct"/>
                  <w:noWrap w:val="0"/>
                  <w:tcMar>
                    <w:top w:w="15" w:type="dxa"/>
                    <w:left w:w="15" w:type="dxa"/>
                    <w:right w:w="15" w:type="dxa"/>
                  </w:tcMar>
                  <w:vAlign w:val="center"/>
                </w:tcPr>
                <w:p w14:paraId="584557A4">
                  <w:pPr>
                    <w:pStyle w:val="5"/>
                    <w:bidi w:val="0"/>
                    <w:rPr>
                      <w:color w:val="auto"/>
                    </w:rPr>
                  </w:pPr>
                  <w:r>
                    <w:rPr>
                      <w:color w:val="auto"/>
                    </w:rPr>
                    <w:t>表调</w:t>
                  </w:r>
                  <w:r>
                    <w:rPr>
                      <w:rFonts w:hint="eastAsia"/>
                      <w:color w:val="auto"/>
                    </w:rPr>
                    <w:t>池</w:t>
                  </w:r>
                </w:p>
              </w:tc>
              <w:tc>
                <w:tcPr>
                  <w:tcW w:w="1294" w:type="pct"/>
                  <w:noWrap w:val="0"/>
                  <w:tcMar>
                    <w:top w:w="15" w:type="dxa"/>
                    <w:left w:w="15" w:type="dxa"/>
                    <w:right w:w="15" w:type="dxa"/>
                  </w:tcMar>
                  <w:vAlign w:val="center"/>
                </w:tcPr>
                <w:p w14:paraId="0ECC3118">
                  <w:pPr>
                    <w:pStyle w:val="5"/>
                    <w:bidi w:val="0"/>
                    <w:rPr>
                      <w:color w:val="auto"/>
                    </w:rPr>
                  </w:pPr>
                  <w:r>
                    <w:rPr>
                      <w:rFonts w:hint="eastAsia"/>
                      <w:color w:val="auto"/>
                    </w:rPr>
                    <w:t>3.8m×1.0m×1.2m</w:t>
                  </w:r>
                </w:p>
              </w:tc>
              <w:tc>
                <w:tcPr>
                  <w:tcW w:w="1134" w:type="pct"/>
                  <w:noWrap w:val="0"/>
                  <w:tcMar>
                    <w:top w:w="15" w:type="dxa"/>
                    <w:left w:w="15" w:type="dxa"/>
                    <w:right w:w="15" w:type="dxa"/>
                  </w:tcMar>
                  <w:vAlign w:val="center"/>
                </w:tcPr>
                <w:p w14:paraId="356E28EA">
                  <w:pPr>
                    <w:pStyle w:val="5"/>
                    <w:bidi w:val="0"/>
                    <w:rPr>
                      <w:rFonts w:hint="eastAsia"/>
                      <w:color w:val="auto"/>
                    </w:rPr>
                  </w:pPr>
                  <w:r>
                    <w:rPr>
                      <w:rFonts w:hint="eastAsia"/>
                      <w:color w:val="auto"/>
                    </w:rPr>
                    <w:t>1个</w:t>
                  </w:r>
                </w:p>
              </w:tc>
              <w:tc>
                <w:tcPr>
                  <w:tcW w:w="936" w:type="pct"/>
                  <w:noWrap w:val="0"/>
                  <w:tcMar>
                    <w:top w:w="15" w:type="dxa"/>
                    <w:left w:w="15" w:type="dxa"/>
                    <w:right w:w="15" w:type="dxa"/>
                  </w:tcMar>
                  <w:vAlign w:val="center"/>
                </w:tcPr>
                <w:p w14:paraId="6BFB94F9">
                  <w:pPr>
                    <w:pStyle w:val="5"/>
                    <w:bidi w:val="0"/>
                    <w:rPr>
                      <w:rFonts w:hint="eastAsia" w:eastAsia="宋体"/>
                      <w:color w:val="auto"/>
                      <w:lang w:val="en-US" w:eastAsia="zh-CN"/>
                    </w:rPr>
                  </w:pPr>
                  <w:r>
                    <w:rPr>
                      <w:rFonts w:hint="eastAsia"/>
                      <w:color w:val="auto"/>
                      <w:lang w:val="en-US" w:eastAsia="zh-CN"/>
                    </w:rPr>
                    <w:t>1个</w:t>
                  </w:r>
                </w:p>
              </w:tc>
            </w:tr>
            <w:tr w14:paraId="3C51B2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681BA852">
                  <w:pPr>
                    <w:pStyle w:val="5"/>
                    <w:bidi w:val="0"/>
                    <w:rPr>
                      <w:color w:val="auto"/>
                    </w:rPr>
                  </w:pPr>
                  <w:r>
                    <w:rPr>
                      <w:color w:val="auto"/>
                    </w:rPr>
                    <w:t>12</w:t>
                  </w:r>
                </w:p>
              </w:tc>
              <w:tc>
                <w:tcPr>
                  <w:tcW w:w="1260" w:type="pct"/>
                  <w:noWrap w:val="0"/>
                  <w:tcMar>
                    <w:top w:w="15" w:type="dxa"/>
                    <w:left w:w="15" w:type="dxa"/>
                    <w:right w:w="15" w:type="dxa"/>
                  </w:tcMar>
                  <w:vAlign w:val="center"/>
                </w:tcPr>
                <w:p w14:paraId="6B45886D">
                  <w:pPr>
                    <w:pStyle w:val="5"/>
                    <w:bidi w:val="0"/>
                    <w:rPr>
                      <w:color w:val="auto"/>
                    </w:rPr>
                  </w:pPr>
                  <w:r>
                    <w:rPr>
                      <w:color w:val="auto"/>
                    </w:rPr>
                    <w:t>磷化</w:t>
                  </w:r>
                  <w:r>
                    <w:rPr>
                      <w:rFonts w:hint="eastAsia"/>
                      <w:color w:val="auto"/>
                    </w:rPr>
                    <w:t>池</w:t>
                  </w:r>
                </w:p>
              </w:tc>
              <w:tc>
                <w:tcPr>
                  <w:tcW w:w="1294" w:type="pct"/>
                  <w:noWrap w:val="0"/>
                  <w:tcMar>
                    <w:top w:w="15" w:type="dxa"/>
                    <w:left w:w="15" w:type="dxa"/>
                    <w:right w:w="15" w:type="dxa"/>
                  </w:tcMar>
                  <w:vAlign w:val="center"/>
                </w:tcPr>
                <w:p w14:paraId="6D0A05DF">
                  <w:pPr>
                    <w:pStyle w:val="5"/>
                    <w:bidi w:val="0"/>
                    <w:rPr>
                      <w:color w:val="auto"/>
                    </w:rPr>
                  </w:pPr>
                  <w:r>
                    <w:rPr>
                      <w:rFonts w:hint="eastAsia"/>
                      <w:color w:val="auto"/>
                    </w:rPr>
                    <w:t>3.8m×1.0m×1.2m</w:t>
                  </w:r>
                </w:p>
              </w:tc>
              <w:tc>
                <w:tcPr>
                  <w:tcW w:w="1134" w:type="pct"/>
                  <w:noWrap w:val="0"/>
                  <w:tcMar>
                    <w:top w:w="15" w:type="dxa"/>
                    <w:left w:w="15" w:type="dxa"/>
                    <w:right w:w="15" w:type="dxa"/>
                  </w:tcMar>
                  <w:vAlign w:val="center"/>
                </w:tcPr>
                <w:p w14:paraId="714D2329">
                  <w:pPr>
                    <w:pStyle w:val="5"/>
                    <w:bidi w:val="0"/>
                    <w:rPr>
                      <w:rFonts w:hint="eastAsia"/>
                      <w:color w:val="auto"/>
                    </w:rPr>
                  </w:pPr>
                  <w:r>
                    <w:rPr>
                      <w:rFonts w:hint="eastAsia"/>
                      <w:color w:val="auto"/>
                    </w:rPr>
                    <w:t>1个</w:t>
                  </w:r>
                </w:p>
              </w:tc>
              <w:tc>
                <w:tcPr>
                  <w:tcW w:w="936" w:type="pct"/>
                  <w:noWrap w:val="0"/>
                  <w:tcMar>
                    <w:top w:w="15" w:type="dxa"/>
                    <w:left w:w="15" w:type="dxa"/>
                    <w:right w:w="15" w:type="dxa"/>
                  </w:tcMar>
                  <w:vAlign w:val="center"/>
                </w:tcPr>
                <w:p w14:paraId="30177662">
                  <w:pPr>
                    <w:pStyle w:val="5"/>
                    <w:bidi w:val="0"/>
                    <w:rPr>
                      <w:rFonts w:hint="eastAsia" w:eastAsia="宋体"/>
                      <w:color w:val="auto"/>
                      <w:lang w:val="en-US" w:eastAsia="zh-CN"/>
                    </w:rPr>
                  </w:pPr>
                  <w:r>
                    <w:rPr>
                      <w:rFonts w:hint="eastAsia"/>
                      <w:color w:val="auto"/>
                      <w:lang w:val="en-US" w:eastAsia="zh-CN"/>
                    </w:rPr>
                    <w:t>1个</w:t>
                  </w:r>
                </w:p>
              </w:tc>
            </w:tr>
            <w:tr w14:paraId="3DAA58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373" w:type="pct"/>
                  <w:noWrap w:val="0"/>
                  <w:tcMar>
                    <w:top w:w="15" w:type="dxa"/>
                    <w:left w:w="15" w:type="dxa"/>
                    <w:right w:w="15" w:type="dxa"/>
                  </w:tcMar>
                  <w:vAlign w:val="center"/>
                </w:tcPr>
                <w:p w14:paraId="3DFDAE70">
                  <w:pPr>
                    <w:pStyle w:val="5"/>
                    <w:bidi w:val="0"/>
                    <w:rPr>
                      <w:color w:val="auto"/>
                    </w:rPr>
                  </w:pPr>
                  <w:r>
                    <w:rPr>
                      <w:rFonts w:hint="eastAsia"/>
                      <w:color w:val="auto"/>
                    </w:rPr>
                    <w:t>13</w:t>
                  </w:r>
                </w:p>
              </w:tc>
              <w:tc>
                <w:tcPr>
                  <w:tcW w:w="1260" w:type="pct"/>
                  <w:noWrap w:val="0"/>
                  <w:tcMar>
                    <w:top w:w="15" w:type="dxa"/>
                    <w:left w:w="15" w:type="dxa"/>
                    <w:right w:w="15" w:type="dxa"/>
                  </w:tcMar>
                  <w:vAlign w:val="center"/>
                </w:tcPr>
                <w:p w14:paraId="5996B33E">
                  <w:pPr>
                    <w:pStyle w:val="5"/>
                    <w:bidi w:val="0"/>
                    <w:rPr>
                      <w:color w:val="auto"/>
                    </w:rPr>
                  </w:pPr>
                  <w:r>
                    <w:rPr>
                      <w:color w:val="auto"/>
                    </w:rPr>
                    <w:t>水洗</w:t>
                  </w:r>
                  <w:r>
                    <w:rPr>
                      <w:rFonts w:hint="eastAsia"/>
                      <w:color w:val="auto"/>
                    </w:rPr>
                    <w:t>池</w:t>
                  </w:r>
                </w:p>
              </w:tc>
              <w:tc>
                <w:tcPr>
                  <w:tcW w:w="1294" w:type="pct"/>
                  <w:noWrap w:val="0"/>
                  <w:tcMar>
                    <w:top w:w="15" w:type="dxa"/>
                    <w:left w:w="15" w:type="dxa"/>
                    <w:right w:w="15" w:type="dxa"/>
                  </w:tcMar>
                  <w:vAlign w:val="center"/>
                </w:tcPr>
                <w:p w14:paraId="50FBAC5C">
                  <w:pPr>
                    <w:pStyle w:val="5"/>
                    <w:bidi w:val="0"/>
                    <w:rPr>
                      <w:color w:val="auto"/>
                    </w:rPr>
                  </w:pPr>
                  <w:r>
                    <w:rPr>
                      <w:rFonts w:hint="eastAsia"/>
                      <w:color w:val="auto"/>
                    </w:rPr>
                    <w:t>3.8m×1.0m×1.2m</w:t>
                  </w:r>
                </w:p>
              </w:tc>
              <w:tc>
                <w:tcPr>
                  <w:tcW w:w="1134" w:type="pct"/>
                  <w:noWrap w:val="0"/>
                  <w:tcMar>
                    <w:top w:w="15" w:type="dxa"/>
                    <w:left w:w="15" w:type="dxa"/>
                    <w:right w:w="15" w:type="dxa"/>
                  </w:tcMar>
                  <w:vAlign w:val="center"/>
                </w:tcPr>
                <w:p w14:paraId="2BB35373">
                  <w:pPr>
                    <w:pStyle w:val="5"/>
                    <w:bidi w:val="0"/>
                    <w:rPr>
                      <w:rFonts w:hint="eastAsia"/>
                      <w:color w:val="auto"/>
                    </w:rPr>
                  </w:pPr>
                  <w:r>
                    <w:rPr>
                      <w:rFonts w:hint="eastAsia"/>
                      <w:color w:val="auto"/>
                    </w:rPr>
                    <w:t>2个</w:t>
                  </w:r>
                </w:p>
              </w:tc>
              <w:tc>
                <w:tcPr>
                  <w:tcW w:w="936" w:type="pct"/>
                  <w:noWrap w:val="0"/>
                  <w:tcMar>
                    <w:top w:w="15" w:type="dxa"/>
                    <w:left w:w="15" w:type="dxa"/>
                    <w:right w:w="15" w:type="dxa"/>
                  </w:tcMar>
                  <w:vAlign w:val="center"/>
                </w:tcPr>
                <w:p w14:paraId="50EA8848">
                  <w:pPr>
                    <w:pStyle w:val="5"/>
                    <w:bidi w:val="0"/>
                    <w:rPr>
                      <w:rFonts w:hint="eastAsia" w:eastAsia="宋体"/>
                      <w:color w:val="auto"/>
                      <w:lang w:val="en-US" w:eastAsia="zh-CN"/>
                    </w:rPr>
                  </w:pPr>
                  <w:r>
                    <w:rPr>
                      <w:rFonts w:hint="eastAsia"/>
                      <w:color w:val="auto"/>
                      <w:lang w:val="en-US" w:eastAsia="zh-CN"/>
                    </w:rPr>
                    <w:t>1个</w:t>
                  </w:r>
                </w:p>
              </w:tc>
            </w:tr>
            <w:tr w14:paraId="797AAC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5000" w:type="pct"/>
                  <w:gridSpan w:val="5"/>
                  <w:noWrap w:val="0"/>
                  <w:tcMar>
                    <w:top w:w="15" w:type="dxa"/>
                    <w:left w:w="15" w:type="dxa"/>
                    <w:right w:w="15" w:type="dxa"/>
                  </w:tcMar>
                  <w:vAlign w:val="center"/>
                </w:tcPr>
                <w:p w14:paraId="2D982872">
                  <w:pPr>
                    <w:pStyle w:val="5"/>
                    <w:bidi w:val="0"/>
                    <w:rPr>
                      <w:rFonts w:hint="eastAsia"/>
                      <w:color w:val="auto"/>
                    </w:rPr>
                  </w:pPr>
                  <w:r>
                    <w:rPr>
                      <w:rFonts w:hint="eastAsia"/>
                      <w:color w:val="auto"/>
                    </w:rPr>
                    <w:t>涂装加工区</w:t>
                  </w:r>
                </w:p>
              </w:tc>
            </w:tr>
            <w:tr w14:paraId="17B49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8" w:hRule="atLeast"/>
                <w:jc w:val="center"/>
              </w:trPr>
              <w:tc>
                <w:tcPr>
                  <w:tcW w:w="373" w:type="pct"/>
                  <w:noWrap w:val="0"/>
                  <w:tcMar>
                    <w:top w:w="15" w:type="dxa"/>
                    <w:left w:w="15" w:type="dxa"/>
                    <w:right w:w="15" w:type="dxa"/>
                  </w:tcMar>
                  <w:vAlign w:val="center"/>
                </w:tcPr>
                <w:p w14:paraId="4145832C">
                  <w:pPr>
                    <w:pStyle w:val="5"/>
                    <w:bidi w:val="0"/>
                    <w:rPr>
                      <w:color w:val="auto"/>
                    </w:rPr>
                  </w:pPr>
                  <w:r>
                    <w:rPr>
                      <w:rFonts w:hint="eastAsia"/>
                      <w:color w:val="auto"/>
                    </w:rPr>
                    <w:t>14</w:t>
                  </w:r>
                </w:p>
              </w:tc>
              <w:tc>
                <w:tcPr>
                  <w:tcW w:w="1260" w:type="pct"/>
                  <w:noWrap w:val="0"/>
                  <w:tcMar>
                    <w:top w:w="15" w:type="dxa"/>
                    <w:left w:w="15" w:type="dxa"/>
                    <w:right w:w="15" w:type="dxa"/>
                  </w:tcMar>
                  <w:vAlign w:val="center"/>
                </w:tcPr>
                <w:p w14:paraId="0934385C">
                  <w:pPr>
                    <w:pStyle w:val="5"/>
                    <w:bidi w:val="0"/>
                    <w:rPr>
                      <w:rFonts w:hint="eastAsia"/>
                      <w:color w:val="auto"/>
                    </w:rPr>
                  </w:pPr>
                  <w:r>
                    <w:rPr>
                      <w:rFonts w:hint="eastAsia"/>
                      <w:color w:val="auto"/>
                    </w:rPr>
                    <w:t>喷塑机</w:t>
                  </w:r>
                </w:p>
              </w:tc>
              <w:tc>
                <w:tcPr>
                  <w:tcW w:w="1294" w:type="pct"/>
                  <w:noWrap w:val="0"/>
                  <w:tcMar>
                    <w:top w:w="15" w:type="dxa"/>
                    <w:left w:w="15" w:type="dxa"/>
                    <w:right w:w="15" w:type="dxa"/>
                  </w:tcMar>
                  <w:vAlign w:val="center"/>
                </w:tcPr>
                <w:p w14:paraId="3243A39B">
                  <w:pPr>
                    <w:pStyle w:val="5"/>
                    <w:bidi w:val="0"/>
                    <w:rPr>
                      <w:color w:val="auto"/>
                    </w:rPr>
                  </w:pPr>
                  <w:r>
                    <w:rPr>
                      <w:rFonts w:hint="eastAsia"/>
                      <w:color w:val="auto"/>
                    </w:rPr>
                    <w:t>HXF-600</w:t>
                  </w:r>
                </w:p>
              </w:tc>
              <w:tc>
                <w:tcPr>
                  <w:tcW w:w="1134" w:type="pct"/>
                  <w:noWrap w:val="0"/>
                  <w:tcMar>
                    <w:top w:w="15" w:type="dxa"/>
                    <w:left w:w="15" w:type="dxa"/>
                    <w:right w:w="15" w:type="dxa"/>
                  </w:tcMar>
                  <w:vAlign w:val="center"/>
                </w:tcPr>
                <w:p w14:paraId="0EDFAE2F">
                  <w:pPr>
                    <w:pStyle w:val="5"/>
                    <w:bidi w:val="0"/>
                    <w:rPr>
                      <w:rFonts w:hint="eastAsia"/>
                      <w:color w:val="auto"/>
                    </w:rPr>
                  </w:pPr>
                  <w:r>
                    <w:rPr>
                      <w:rFonts w:hint="eastAsia"/>
                      <w:color w:val="auto"/>
                    </w:rPr>
                    <w:t>2</w:t>
                  </w:r>
                </w:p>
              </w:tc>
              <w:tc>
                <w:tcPr>
                  <w:tcW w:w="936" w:type="pct"/>
                  <w:noWrap w:val="0"/>
                  <w:tcMar>
                    <w:top w:w="15" w:type="dxa"/>
                    <w:left w:w="15" w:type="dxa"/>
                    <w:right w:w="15" w:type="dxa"/>
                  </w:tcMar>
                  <w:vAlign w:val="center"/>
                </w:tcPr>
                <w:p w14:paraId="76569D2E">
                  <w:pPr>
                    <w:pStyle w:val="5"/>
                    <w:bidi w:val="0"/>
                    <w:rPr>
                      <w:rFonts w:hint="eastAsia" w:eastAsia="宋体"/>
                      <w:color w:val="auto"/>
                      <w:lang w:val="en-US" w:eastAsia="zh-CN"/>
                    </w:rPr>
                  </w:pPr>
                  <w:r>
                    <w:rPr>
                      <w:rFonts w:hint="eastAsia"/>
                      <w:color w:val="auto"/>
                      <w:lang w:val="en-US" w:eastAsia="zh-CN"/>
                    </w:rPr>
                    <w:t>2</w:t>
                  </w:r>
                </w:p>
              </w:tc>
            </w:tr>
            <w:tr w14:paraId="6C67D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jc w:val="center"/>
              </w:trPr>
              <w:tc>
                <w:tcPr>
                  <w:tcW w:w="373" w:type="pct"/>
                  <w:noWrap w:val="0"/>
                  <w:tcMar>
                    <w:top w:w="15" w:type="dxa"/>
                    <w:left w:w="15" w:type="dxa"/>
                    <w:right w:w="15" w:type="dxa"/>
                  </w:tcMar>
                  <w:vAlign w:val="center"/>
                </w:tcPr>
                <w:p w14:paraId="3247A272">
                  <w:pPr>
                    <w:pStyle w:val="5"/>
                    <w:bidi w:val="0"/>
                    <w:rPr>
                      <w:color w:val="auto"/>
                    </w:rPr>
                  </w:pPr>
                  <w:r>
                    <w:rPr>
                      <w:rFonts w:hint="eastAsia"/>
                      <w:color w:val="auto"/>
                    </w:rPr>
                    <w:t>15</w:t>
                  </w:r>
                </w:p>
              </w:tc>
              <w:tc>
                <w:tcPr>
                  <w:tcW w:w="1260" w:type="pct"/>
                  <w:noWrap w:val="0"/>
                  <w:tcMar>
                    <w:top w:w="15" w:type="dxa"/>
                    <w:left w:w="15" w:type="dxa"/>
                    <w:right w:w="15" w:type="dxa"/>
                  </w:tcMar>
                  <w:vAlign w:val="center"/>
                </w:tcPr>
                <w:p w14:paraId="686AC5A5">
                  <w:pPr>
                    <w:pStyle w:val="5"/>
                    <w:bidi w:val="0"/>
                    <w:rPr>
                      <w:color w:val="auto"/>
                    </w:rPr>
                  </w:pPr>
                  <w:r>
                    <w:rPr>
                      <w:rFonts w:hint="eastAsia"/>
                      <w:color w:val="auto"/>
                    </w:rPr>
                    <w:t>喷枪</w:t>
                  </w:r>
                </w:p>
              </w:tc>
              <w:tc>
                <w:tcPr>
                  <w:tcW w:w="1294" w:type="pct"/>
                  <w:noWrap w:val="0"/>
                  <w:tcMar>
                    <w:top w:w="15" w:type="dxa"/>
                    <w:left w:w="15" w:type="dxa"/>
                    <w:right w:w="15" w:type="dxa"/>
                  </w:tcMar>
                  <w:vAlign w:val="center"/>
                </w:tcPr>
                <w:p w14:paraId="45104F9B">
                  <w:pPr>
                    <w:pStyle w:val="5"/>
                    <w:bidi w:val="0"/>
                    <w:rPr>
                      <w:rFonts w:hint="eastAsia"/>
                      <w:color w:val="auto"/>
                    </w:rPr>
                  </w:pPr>
                  <w:r>
                    <w:rPr>
                      <w:rFonts w:hint="eastAsia"/>
                      <w:color w:val="auto"/>
                    </w:rPr>
                    <w:t>/</w:t>
                  </w:r>
                </w:p>
              </w:tc>
              <w:tc>
                <w:tcPr>
                  <w:tcW w:w="1134" w:type="pct"/>
                  <w:noWrap w:val="0"/>
                  <w:tcMar>
                    <w:top w:w="15" w:type="dxa"/>
                    <w:left w:w="15" w:type="dxa"/>
                    <w:right w:w="15" w:type="dxa"/>
                  </w:tcMar>
                  <w:vAlign w:val="center"/>
                </w:tcPr>
                <w:p w14:paraId="7E67E9F4">
                  <w:pPr>
                    <w:pStyle w:val="5"/>
                    <w:bidi w:val="0"/>
                    <w:rPr>
                      <w:rFonts w:hint="eastAsia"/>
                      <w:color w:val="auto"/>
                    </w:rPr>
                  </w:pPr>
                  <w:r>
                    <w:rPr>
                      <w:rFonts w:hint="eastAsia"/>
                      <w:color w:val="auto"/>
                    </w:rPr>
                    <w:t>2套</w:t>
                  </w:r>
                </w:p>
              </w:tc>
              <w:tc>
                <w:tcPr>
                  <w:tcW w:w="936" w:type="pct"/>
                  <w:noWrap w:val="0"/>
                  <w:tcMar>
                    <w:top w:w="15" w:type="dxa"/>
                    <w:left w:w="15" w:type="dxa"/>
                    <w:right w:w="15" w:type="dxa"/>
                  </w:tcMar>
                  <w:vAlign w:val="center"/>
                </w:tcPr>
                <w:p w14:paraId="21664F81">
                  <w:pPr>
                    <w:pStyle w:val="5"/>
                    <w:bidi w:val="0"/>
                    <w:rPr>
                      <w:rFonts w:hint="eastAsia" w:eastAsia="宋体"/>
                      <w:color w:val="auto"/>
                      <w:lang w:val="en-US" w:eastAsia="zh-CN"/>
                    </w:rPr>
                  </w:pPr>
                  <w:r>
                    <w:rPr>
                      <w:rFonts w:hint="eastAsia"/>
                      <w:color w:val="auto"/>
                      <w:lang w:val="en-US" w:eastAsia="zh-CN"/>
                    </w:rPr>
                    <w:t>2</w:t>
                  </w:r>
                </w:p>
              </w:tc>
            </w:tr>
            <w:tr w14:paraId="23555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8" w:hRule="atLeast"/>
                <w:jc w:val="center"/>
              </w:trPr>
              <w:tc>
                <w:tcPr>
                  <w:tcW w:w="373" w:type="pct"/>
                  <w:noWrap w:val="0"/>
                  <w:tcMar>
                    <w:top w:w="15" w:type="dxa"/>
                    <w:left w:w="15" w:type="dxa"/>
                    <w:right w:w="15" w:type="dxa"/>
                  </w:tcMar>
                  <w:vAlign w:val="center"/>
                </w:tcPr>
                <w:p w14:paraId="7755C3F2">
                  <w:pPr>
                    <w:pStyle w:val="5"/>
                    <w:bidi w:val="0"/>
                    <w:rPr>
                      <w:rFonts w:hint="eastAsia"/>
                      <w:color w:val="auto"/>
                    </w:rPr>
                  </w:pPr>
                  <w:r>
                    <w:rPr>
                      <w:rFonts w:hint="eastAsia"/>
                      <w:color w:val="auto"/>
                    </w:rPr>
                    <w:t>16</w:t>
                  </w:r>
                </w:p>
              </w:tc>
              <w:tc>
                <w:tcPr>
                  <w:tcW w:w="1260" w:type="pct"/>
                  <w:noWrap w:val="0"/>
                  <w:tcMar>
                    <w:top w:w="15" w:type="dxa"/>
                    <w:left w:w="15" w:type="dxa"/>
                    <w:right w:w="15" w:type="dxa"/>
                  </w:tcMar>
                  <w:vAlign w:val="center"/>
                </w:tcPr>
                <w:p w14:paraId="0DB8ECF2">
                  <w:pPr>
                    <w:pStyle w:val="5"/>
                    <w:bidi w:val="0"/>
                    <w:rPr>
                      <w:rFonts w:hint="eastAsia"/>
                      <w:color w:val="auto"/>
                    </w:rPr>
                  </w:pPr>
                  <w:r>
                    <w:rPr>
                      <w:rFonts w:hint="eastAsia"/>
                      <w:color w:val="auto"/>
                    </w:rPr>
                    <w:t>烘干室</w:t>
                  </w:r>
                </w:p>
              </w:tc>
              <w:tc>
                <w:tcPr>
                  <w:tcW w:w="1294" w:type="pct"/>
                  <w:noWrap w:val="0"/>
                  <w:tcMar>
                    <w:top w:w="15" w:type="dxa"/>
                    <w:left w:w="15" w:type="dxa"/>
                    <w:right w:w="15" w:type="dxa"/>
                  </w:tcMar>
                  <w:vAlign w:val="center"/>
                </w:tcPr>
                <w:p w14:paraId="1C5B73A9">
                  <w:pPr>
                    <w:pStyle w:val="5"/>
                    <w:bidi w:val="0"/>
                    <w:rPr>
                      <w:color w:val="auto"/>
                    </w:rPr>
                  </w:pPr>
                  <w:r>
                    <w:rPr>
                      <w:rFonts w:hint="eastAsia"/>
                      <w:color w:val="auto"/>
                    </w:rPr>
                    <w:t>35m×1.9m×4.5m</w:t>
                  </w:r>
                </w:p>
              </w:tc>
              <w:tc>
                <w:tcPr>
                  <w:tcW w:w="1134" w:type="pct"/>
                  <w:noWrap w:val="0"/>
                  <w:tcMar>
                    <w:top w:w="15" w:type="dxa"/>
                    <w:left w:w="15" w:type="dxa"/>
                    <w:right w:w="15" w:type="dxa"/>
                  </w:tcMar>
                  <w:vAlign w:val="center"/>
                </w:tcPr>
                <w:p w14:paraId="2BAB832C">
                  <w:pPr>
                    <w:pStyle w:val="5"/>
                    <w:bidi w:val="0"/>
                    <w:rPr>
                      <w:color w:val="auto"/>
                    </w:rPr>
                  </w:pPr>
                  <w:r>
                    <w:rPr>
                      <w:rFonts w:hint="eastAsia"/>
                      <w:color w:val="auto"/>
                    </w:rPr>
                    <w:t>1</w:t>
                  </w:r>
                </w:p>
              </w:tc>
              <w:tc>
                <w:tcPr>
                  <w:tcW w:w="936" w:type="pct"/>
                  <w:noWrap w:val="0"/>
                  <w:tcMar>
                    <w:top w:w="15" w:type="dxa"/>
                    <w:left w:w="15" w:type="dxa"/>
                    <w:right w:w="15" w:type="dxa"/>
                  </w:tcMar>
                  <w:vAlign w:val="center"/>
                </w:tcPr>
                <w:p w14:paraId="67895924">
                  <w:pPr>
                    <w:pStyle w:val="5"/>
                    <w:bidi w:val="0"/>
                    <w:rPr>
                      <w:rFonts w:hint="eastAsia" w:eastAsia="宋体"/>
                      <w:color w:val="auto"/>
                      <w:lang w:val="en-US" w:eastAsia="zh-CN"/>
                    </w:rPr>
                  </w:pPr>
                  <w:r>
                    <w:rPr>
                      <w:rFonts w:hint="eastAsia"/>
                      <w:color w:val="auto"/>
                      <w:lang w:val="en-US" w:eastAsia="zh-CN"/>
                    </w:rPr>
                    <w:t>1</w:t>
                  </w:r>
                </w:p>
              </w:tc>
            </w:tr>
            <w:tr w14:paraId="13053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0" w:hRule="atLeast"/>
                <w:jc w:val="center"/>
              </w:trPr>
              <w:tc>
                <w:tcPr>
                  <w:tcW w:w="373" w:type="pct"/>
                  <w:noWrap w:val="0"/>
                  <w:tcMar>
                    <w:top w:w="15" w:type="dxa"/>
                    <w:left w:w="15" w:type="dxa"/>
                    <w:right w:w="15" w:type="dxa"/>
                  </w:tcMar>
                  <w:vAlign w:val="center"/>
                </w:tcPr>
                <w:p w14:paraId="0844533C">
                  <w:pPr>
                    <w:pStyle w:val="5"/>
                    <w:bidi w:val="0"/>
                    <w:rPr>
                      <w:color w:val="auto"/>
                    </w:rPr>
                  </w:pPr>
                  <w:r>
                    <w:rPr>
                      <w:rFonts w:hint="eastAsia"/>
                      <w:color w:val="auto"/>
                    </w:rPr>
                    <w:t>17</w:t>
                  </w:r>
                </w:p>
              </w:tc>
              <w:tc>
                <w:tcPr>
                  <w:tcW w:w="1260" w:type="pct"/>
                  <w:noWrap w:val="0"/>
                  <w:tcMar>
                    <w:top w:w="15" w:type="dxa"/>
                    <w:left w:w="15" w:type="dxa"/>
                    <w:right w:w="15" w:type="dxa"/>
                  </w:tcMar>
                  <w:vAlign w:val="center"/>
                </w:tcPr>
                <w:p w14:paraId="20C5F054">
                  <w:pPr>
                    <w:pStyle w:val="5"/>
                    <w:bidi w:val="0"/>
                    <w:rPr>
                      <w:color w:val="auto"/>
                    </w:rPr>
                  </w:pPr>
                  <w:r>
                    <w:rPr>
                      <w:rFonts w:hint="eastAsia"/>
                      <w:color w:val="auto"/>
                    </w:rPr>
                    <w:t>天然气</w:t>
                  </w:r>
                  <w:r>
                    <w:rPr>
                      <w:color w:val="auto"/>
                    </w:rPr>
                    <w:t>热风炉</w:t>
                  </w:r>
                </w:p>
              </w:tc>
              <w:tc>
                <w:tcPr>
                  <w:tcW w:w="1294" w:type="pct"/>
                  <w:noWrap w:val="0"/>
                  <w:tcMar>
                    <w:top w:w="15" w:type="dxa"/>
                    <w:left w:w="15" w:type="dxa"/>
                    <w:right w:w="15" w:type="dxa"/>
                  </w:tcMar>
                  <w:vAlign w:val="center"/>
                </w:tcPr>
                <w:p w14:paraId="561FBCF0">
                  <w:pPr>
                    <w:pStyle w:val="5"/>
                    <w:bidi w:val="0"/>
                    <w:rPr>
                      <w:rFonts w:hint="default"/>
                      <w:color w:val="auto"/>
                      <w:lang w:val="en-US" w:eastAsia="zh-CN"/>
                    </w:rPr>
                  </w:pPr>
                  <w:r>
                    <w:rPr>
                      <w:rFonts w:hint="eastAsia"/>
                      <w:color w:val="auto"/>
                      <w:lang w:val="en-US" w:eastAsia="zh-CN"/>
                    </w:rPr>
                    <w:t>2.5t/h</w:t>
                  </w:r>
                </w:p>
              </w:tc>
              <w:tc>
                <w:tcPr>
                  <w:tcW w:w="1134" w:type="pct"/>
                  <w:noWrap w:val="0"/>
                  <w:tcMar>
                    <w:top w:w="15" w:type="dxa"/>
                    <w:left w:w="15" w:type="dxa"/>
                    <w:right w:w="15" w:type="dxa"/>
                  </w:tcMar>
                  <w:vAlign w:val="center"/>
                </w:tcPr>
                <w:p w14:paraId="56D772EA">
                  <w:pPr>
                    <w:pStyle w:val="5"/>
                    <w:bidi w:val="0"/>
                    <w:rPr>
                      <w:rFonts w:hint="eastAsia"/>
                      <w:color w:val="auto"/>
                    </w:rPr>
                  </w:pPr>
                  <w:r>
                    <w:rPr>
                      <w:rFonts w:hint="eastAsia"/>
                      <w:color w:val="auto"/>
                    </w:rPr>
                    <w:t>1</w:t>
                  </w:r>
                </w:p>
              </w:tc>
              <w:tc>
                <w:tcPr>
                  <w:tcW w:w="936" w:type="pct"/>
                  <w:noWrap w:val="0"/>
                  <w:tcMar>
                    <w:top w:w="15" w:type="dxa"/>
                    <w:left w:w="15" w:type="dxa"/>
                    <w:right w:w="15" w:type="dxa"/>
                  </w:tcMar>
                  <w:vAlign w:val="center"/>
                </w:tcPr>
                <w:p w14:paraId="407D9C4C">
                  <w:pPr>
                    <w:pStyle w:val="5"/>
                    <w:bidi w:val="0"/>
                    <w:rPr>
                      <w:rFonts w:hint="eastAsia" w:eastAsia="宋体"/>
                      <w:color w:val="auto"/>
                      <w:lang w:val="en-US" w:eastAsia="zh-CN"/>
                    </w:rPr>
                  </w:pPr>
                  <w:r>
                    <w:rPr>
                      <w:rFonts w:hint="eastAsia"/>
                      <w:color w:val="auto"/>
                      <w:lang w:val="en-US" w:eastAsia="zh-CN"/>
                    </w:rPr>
                    <w:t>1</w:t>
                  </w:r>
                </w:p>
              </w:tc>
            </w:tr>
          </w:tbl>
          <w:p w14:paraId="703DD6CF">
            <w:pPr>
              <w:numPr>
                <w:ilvl w:val="0"/>
                <w:numId w:val="0"/>
              </w:numPr>
              <w:bidi w:val="0"/>
              <w:rPr>
                <w:rFonts w:hint="eastAsia"/>
                <w:b/>
                <w:bCs/>
                <w:color w:val="auto"/>
                <w:lang w:val="en-US" w:eastAsia="zh-CN"/>
              </w:rPr>
            </w:pPr>
            <w:r>
              <w:rPr>
                <w:rFonts w:hint="eastAsia"/>
                <w:b/>
                <w:bCs/>
                <w:color w:val="auto"/>
                <w:lang w:val="en-US" w:eastAsia="zh-CN"/>
              </w:rPr>
              <w:t>7、原辅料消耗情况</w:t>
            </w:r>
          </w:p>
          <w:p w14:paraId="34171E89">
            <w:pPr>
              <w:adjustRightInd w:val="0"/>
              <w:snapToGrid w:val="0"/>
              <w:spacing w:line="240" w:lineRule="auto"/>
              <w:jc w:val="center"/>
              <w:rPr>
                <w:b/>
                <w:bCs/>
                <w:color w:val="auto"/>
                <w:sz w:val="24"/>
              </w:rPr>
            </w:pPr>
            <w:r>
              <w:rPr>
                <w:rFonts w:hint="eastAsia"/>
                <w:b/>
                <w:bCs/>
                <w:color w:val="auto"/>
                <w:lang w:val="en-US" w:eastAsia="zh-CN"/>
              </w:rPr>
              <w:t xml:space="preserve">表2-6  </w:t>
            </w:r>
            <w:r>
              <w:rPr>
                <w:b/>
                <w:bCs/>
                <w:color w:val="auto"/>
                <w:sz w:val="24"/>
              </w:rPr>
              <w:t>原辅料一览表</w:t>
            </w:r>
          </w:p>
          <w:tbl>
            <w:tblPr>
              <w:tblStyle w:val="19"/>
              <w:tblW w:w="4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09"/>
              <w:gridCol w:w="977"/>
              <w:gridCol w:w="637"/>
              <w:gridCol w:w="724"/>
              <w:gridCol w:w="1033"/>
              <w:gridCol w:w="1304"/>
              <w:gridCol w:w="2187"/>
              <w:gridCol w:w="1225"/>
            </w:tblGrid>
            <w:tr w14:paraId="43291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jc w:val="center"/>
              </w:trPr>
              <w:tc>
                <w:tcPr>
                  <w:tcW w:w="350" w:type="pct"/>
                  <w:noWrap w:val="0"/>
                  <w:vAlign w:val="center"/>
                </w:tcPr>
                <w:p w14:paraId="6B6C9A8D">
                  <w:pPr>
                    <w:pStyle w:val="5"/>
                    <w:bidi w:val="0"/>
                    <w:rPr>
                      <w:b/>
                      <w:bCs/>
                      <w:color w:val="auto"/>
                    </w:rPr>
                  </w:pPr>
                  <w:r>
                    <w:rPr>
                      <w:b/>
                      <w:bCs/>
                      <w:color w:val="auto"/>
                    </w:rPr>
                    <w:t>序号</w:t>
                  </w:r>
                </w:p>
              </w:tc>
              <w:tc>
                <w:tcPr>
                  <w:tcW w:w="928" w:type="pct"/>
                  <w:gridSpan w:val="2"/>
                  <w:noWrap w:val="0"/>
                  <w:vAlign w:val="center"/>
                </w:tcPr>
                <w:p w14:paraId="4BFB6688">
                  <w:pPr>
                    <w:pStyle w:val="5"/>
                    <w:bidi w:val="0"/>
                    <w:rPr>
                      <w:b/>
                      <w:bCs/>
                      <w:color w:val="auto"/>
                    </w:rPr>
                  </w:pPr>
                  <w:r>
                    <w:rPr>
                      <w:b/>
                      <w:bCs/>
                      <w:color w:val="auto"/>
                    </w:rPr>
                    <w:t>名称</w:t>
                  </w:r>
                </w:p>
              </w:tc>
              <w:tc>
                <w:tcPr>
                  <w:tcW w:w="416" w:type="pct"/>
                  <w:noWrap w:val="0"/>
                  <w:vAlign w:val="center"/>
                </w:tcPr>
                <w:p w14:paraId="459D4808">
                  <w:pPr>
                    <w:pStyle w:val="5"/>
                    <w:bidi w:val="0"/>
                    <w:rPr>
                      <w:b/>
                      <w:bCs/>
                      <w:color w:val="auto"/>
                    </w:rPr>
                  </w:pPr>
                  <w:r>
                    <w:rPr>
                      <w:b/>
                      <w:bCs/>
                      <w:color w:val="auto"/>
                    </w:rPr>
                    <w:t>单位</w:t>
                  </w:r>
                </w:p>
              </w:tc>
              <w:tc>
                <w:tcPr>
                  <w:tcW w:w="593" w:type="pct"/>
                  <w:noWrap w:val="0"/>
                  <w:vAlign w:val="center"/>
                </w:tcPr>
                <w:p w14:paraId="12247D6C">
                  <w:pPr>
                    <w:pStyle w:val="5"/>
                    <w:bidi w:val="0"/>
                    <w:rPr>
                      <w:rFonts w:hint="eastAsia" w:eastAsia="宋体"/>
                      <w:b/>
                      <w:bCs/>
                      <w:color w:val="auto"/>
                      <w:lang w:eastAsia="zh-CN"/>
                    </w:rPr>
                  </w:pPr>
                  <w:r>
                    <w:rPr>
                      <w:rFonts w:hint="eastAsia"/>
                      <w:b/>
                      <w:bCs/>
                      <w:color w:val="auto"/>
                      <w:lang w:eastAsia="zh-CN"/>
                    </w:rPr>
                    <w:t>环评申报</w:t>
                  </w:r>
                </w:p>
              </w:tc>
              <w:tc>
                <w:tcPr>
                  <w:tcW w:w="749" w:type="pct"/>
                  <w:noWrap w:val="0"/>
                  <w:vAlign w:val="center"/>
                </w:tcPr>
                <w:p w14:paraId="6D630A7E">
                  <w:pPr>
                    <w:pStyle w:val="5"/>
                    <w:bidi w:val="0"/>
                    <w:rPr>
                      <w:b/>
                      <w:bCs/>
                      <w:color w:val="auto"/>
                    </w:rPr>
                  </w:pPr>
                  <w:r>
                    <w:rPr>
                      <w:rFonts w:hint="eastAsia"/>
                      <w:b/>
                      <w:bCs/>
                      <w:color w:val="auto"/>
                      <w:lang w:eastAsia="zh-CN"/>
                    </w:rPr>
                    <w:t>实际</w:t>
                  </w:r>
                  <w:r>
                    <w:rPr>
                      <w:b/>
                      <w:bCs/>
                      <w:color w:val="auto"/>
                    </w:rPr>
                    <w:t>年耗量</w:t>
                  </w:r>
                </w:p>
              </w:tc>
              <w:tc>
                <w:tcPr>
                  <w:tcW w:w="1257" w:type="pct"/>
                  <w:noWrap w:val="0"/>
                  <w:vAlign w:val="center"/>
                </w:tcPr>
                <w:p w14:paraId="6101709D">
                  <w:pPr>
                    <w:pStyle w:val="5"/>
                    <w:bidi w:val="0"/>
                    <w:rPr>
                      <w:b/>
                      <w:bCs/>
                      <w:color w:val="auto"/>
                    </w:rPr>
                  </w:pPr>
                  <w:r>
                    <w:rPr>
                      <w:rFonts w:hint="eastAsia"/>
                      <w:b/>
                      <w:bCs/>
                      <w:color w:val="auto"/>
                    </w:rPr>
                    <w:t>规格或成分</w:t>
                  </w:r>
                </w:p>
              </w:tc>
              <w:tc>
                <w:tcPr>
                  <w:tcW w:w="704" w:type="pct"/>
                  <w:noWrap w:val="0"/>
                  <w:vAlign w:val="center"/>
                </w:tcPr>
                <w:p w14:paraId="4E034942">
                  <w:pPr>
                    <w:pStyle w:val="5"/>
                    <w:bidi w:val="0"/>
                    <w:rPr>
                      <w:rFonts w:hint="eastAsia"/>
                      <w:b/>
                      <w:bCs/>
                      <w:color w:val="auto"/>
                    </w:rPr>
                  </w:pPr>
                  <w:r>
                    <w:rPr>
                      <w:rFonts w:hint="eastAsia"/>
                      <w:b/>
                      <w:bCs/>
                      <w:color w:val="auto"/>
                    </w:rPr>
                    <w:t>储存位置</w:t>
                  </w:r>
                </w:p>
              </w:tc>
            </w:tr>
            <w:tr w14:paraId="50B54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 w:hRule="atLeast"/>
                <w:jc w:val="center"/>
              </w:trPr>
              <w:tc>
                <w:tcPr>
                  <w:tcW w:w="350" w:type="pct"/>
                  <w:noWrap w:val="0"/>
                  <w:vAlign w:val="center"/>
                </w:tcPr>
                <w:p w14:paraId="50D54EF9">
                  <w:pPr>
                    <w:pStyle w:val="5"/>
                    <w:bidi w:val="0"/>
                    <w:rPr>
                      <w:color w:val="auto"/>
                    </w:rPr>
                  </w:pPr>
                  <w:r>
                    <w:rPr>
                      <w:color w:val="auto"/>
                    </w:rPr>
                    <w:t>1</w:t>
                  </w:r>
                </w:p>
              </w:tc>
              <w:tc>
                <w:tcPr>
                  <w:tcW w:w="561" w:type="pct"/>
                  <w:vMerge w:val="restart"/>
                  <w:noWrap w:val="0"/>
                  <w:vAlign w:val="center"/>
                </w:tcPr>
                <w:p w14:paraId="04B0E34F">
                  <w:pPr>
                    <w:pStyle w:val="5"/>
                    <w:bidi w:val="0"/>
                    <w:rPr>
                      <w:rFonts w:hint="eastAsia"/>
                      <w:color w:val="auto"/>
                    </w:rPr>
                  </w:pPr>
                  <w:r>
                    <w:rPr>
                      <w:color w:val="auto"/>
                    </w:rPr>
                    <w:t>钢</w:t>
                  </w:r>
                  <w:r>
                    <w:rPr>
                      <w:rFonts w:hint="eastAsia"/>
                      <w:color w:val="auto"/>
                    </w:rPr>
                    <w:t>带</w:t>
                  </w:r>
                </w:p>
              </w:tc>
              <w:tc>
                <w:tcPr>
                  <w:tcW w:w="366" w:type="pct"/>
                  <w:noWrap w:val="0"/>
                  <w:vAlign w:val="center"/>
                </w:tcPr>
                <w:p w14:paraId="30E41CC4">
                  <w:pPr>
                    <w:pStyle w:val="5"/>
                    <w:bidi w:val="0"/>
                    <w:rPr>
                      <w:rFonts w:hint="eastAsia"/>
                      <w:color w:val="auto"/>
                    </w:rPr>
                  </w:pPr>
                  <w:r>
                    <w:rPr>
                      <w:rFonts w:hint="eastAsia"/>
                      <w:color w:val="auto"/>
                    </w:rPr>
                    <w:t>门框</w:t>
                  </w:r>
                </w:p>
              </w:tc>
              <w:tc>
                <w:tcPr>
                  <w:tcW w:w="416" w:type="pct"/>
                  <w:noWrap w:val="0"/>
                  <w:vAlign w:val="center"/>
                </w:tcPr>
                <w:p w14:paraId="5B7E467E">
                  <w:pPr>
                    <w:pStyle w:val="5"/>
                    <w:bidi w:val="0"/>
                    <w:rPr>
                      <w:rFonts w:hint="eastAsia"/>
                      <w:color w:val="auto"/>
                    </w:rPr>
                  </w:pPr>
                  <w:r>
                    <w:rPr>
                      <w:rFonts w:hint="eastAsia"/>
                      <w:color w:val="auto"/>
                    </w:rPr>
                    <w:t>吨</w:t>
                  </w:r>
                </w:p>
              </w:tc>
              <w:tc>
                <w:tcPr>
                  <w:tcW w:w="593" w:type="pct"/>
                  <w:noWrap w:val="0"/>
                  <w:vAlign w:val="center"/>
                </w:tcPr>
                <w:p w14:paraId="55065BC4">
                  <w:pPr>
                    <w:pStyle w:val="5"/>
                    <w:bidi w:val="0"/>
                    <w:rPr>
                      <w:rFonts w:hint="default" w:eastAsia="宋体"/>
                      <w:color w:val="auto"/>
                      <w:lang w:val="en-US" w:eastAsia="zh-CN"/>
                    </w:rPr>
                  </w:pPr>
                  <w:r>
                    <w:rPr>
                      <w:rFonts w:hint="eastAsia"/>
                      <w:color w:val="auto"/>
                      <w:lang w:val="en-US" w:eastAsia="zh-CN"/>
                    </w:rPr>
                    <w:t>660</w:t>
                  </w:r>
                </w:p>
              </w:tc>
              <w:tc>
                <w:tcPr>
                  <w:tcW w:w="749" w:type="pct"/>
                  <w:noWrap w:val="0"/>
                  <w:vAlign w:val="center"/>
                </w:tcPr>
                <w:p w14:paraId="2B95AA36">
                  <w:pPr>
                    <w:pStyle w:val="5"/>
                    <w:bidi w:val="0"/>
                    <w:rPr>
                      <w:color w:val="auto"/>
                    </w:rPr>
                  </w:pPr>
                  <w:r>
                    <w:rPr>
                      <w:rFonts w:hint="eastAsia"/>
                      <w:color w:val="auto"/>
                    </w:rPr>
                    <w:t>660</w:t>
                  </w:r>
                </w:p>
              </w:tc>
              <w:tc>
                <w:tcPr>
                  <w:tcW w:w="1257" w:type="pct"/>
                  <w:vMerge w:val="restart"/>
                  <w:noWrap w:val="0"/>
                  <w:vAlign w:val="center"/>
                </w:tcPr>
                <w:p w14:paraId="58077A15">
                  <w:pPr>
                    <w:pStyle w:val="5"/>
                    <w:bidi w:val="0"/>
                    <w:rPr>
                      <w:color w:val="auto"/>
                    </w:rPr>
                  </w:pPr>
                  <w:r>
                    <w:rPr>
                      <w:rFonts w:hint="eastAsia"/>
                      <w:color w:val="auto"/>
                    </w:rPr>
                    <w:t>163kg/樘金属门</w:t>
                  </w:r>
                </w:p>
              </w:tc>
              <w:tc>
                <w:tcPr>
                  <w:tcW w:w="704" w:type="pct"/>
                  <w:vMerge w:val="restart"/>
                  <w:noWrap w:val="0"/>
                  <w:vAlign w:val="center"/>
                </w:tcPr>
                <w:p w14:paraId="3B7087D7">
                  <w:pPr>
                    <w:pStyle w:val="5"/>
                    <w:bidi w:val="0"/>
                    <w:rPr>
                      <w:rFonts w:hint="eastAsia"/>
                      <w:color w:val="auto"/>
                    </w:rPr>
                  </w:pPr>
                  <w:r>
                    <w:rPr>
                      <w:rFonts w:hint="eastAsia"/>
                      <w:color w:val="auto"/>
                    </w:rPr>
                    <w:t>原料库</w:t>
                  </w:r>
                </w:p>
              </w:tc>
            </w:tr>
            <w:tr w14:paraId="7FB9F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 w:hRule="atLeast"/>
                <w:jc w:val="center"/>
              </w:trPr>
              <w:tc>
                <w:tcPr>
                  <w:tcW w:w="350" w:type="pct"/>
                  <w:noWrap w:val="0"/>
                  <w:vAlign w:val="center"/>
                </w:tcPr>
                <w:p w14:paraId="51C9C0B7">
                  <w:pPr>
                    <w:pStyle w:val="5"/>
                    <w:bidi w:val="0"/>
                    <w:rPr>
                      <w:color w:val="auto"/>
                    </w:rPr>
                  </w:pPr>
                  <w:r>
                    <w:rPr>
                      <w:color w:val="auto"/>
                    </w:rPr>
                    <w:t>2</w:t>
                  </w:r>
                </w:p>
              </w:tc>
              <w:tc>
                <w:tcPr>
                  <w:tcW w:w="561" w:type="pct"/>
                  <w:vMerge w:val="continue"/>
                  <w:noWrap w:val="0"/>
                  <w:vAlign w:val="center"/>
                </w:tcPr>
                <w:p w14:paraId="6A392DC2">
                  <w:pPr>
                    <w:pStyle w:val="5"/>
                    <w:bidi w:val="0"/>
                    <w:rPr>
                      <w:color w:val="auto"/>
                    </w:rPr>
                  </w:pPr>
                </w:p>
              </w:tc>
              <w:tc>
                <w:tcPr>
                  <w:tcW w:w="366" w:type="pct"/>
                  <w:noWrap w:val="0"/>
                  <w:vAlign w:val="center"/>
                </w:tcPr>
                <w:p w14:paraId="71D92664">
                  <w:pPr>
                    <w:pStyle w:val="5"/>
                    <w:bidi w:val="0"/>
                    <w:rPr>
                      <w:rFonts w:hint="eastAsia"/>
                      <w:color w:val="auto"/>
                    </w:rPr>
                  </w:pPr>
                  <w:r>
                    <w:rPr>
                      <w:rFonts w:hint="eastAsia"/>
                      <w:color w:val="auto"/>
                    </w:rPr>
                    <w:t>门板</w:t>
                  </w:r>
                </w:p>
              </w:tc>
              <w:tc>
                <w:tcPr>
                  <w:tcW w:w="416" w:type="pct"/>
                  <w:noWrap w:val="0"/>
                  <w:vAlign w:val="center"/>
                </w:tcPr>
                <w:p w14:paraId="15D24C8A">
                  <w:pPr>
                    <w:pStyle w:val="5"/>
                    <w:bidi w:val="0"/>
                    <w:rPr>
                      <w:rFonts w:hint="eastAsia"/>
                      <w:color w:val="auto"/>
                    </w:rPr>
                  </w:pPr>
                  <w:r>
                    <w:rPr>
                      <w:rFonts w:hint="eastAsia"/>
                      <w:color w:val="auto"/>
                    </w:rPr>
                    <w:t>吨</w:t>
                  </w:r>
                </w:p>
              </w:tc>
              <w:tc>
                <w:tcPr>
                  <w:tcW w:w="593" w:type="pct"/>
                  <w:noWrap w:val="0"/>
                  <w:vAlign w:val="center"/>
                </w:tcPr>
                <w:p w14:paraId="284279EB">
                  <w:pPr>
                    <w:pStyle w:val="5"/>
                    <w:bidi w:val="0"/>
                    <w:rPr>
                      <w:rFonts w:hint="default" w:eastAsia="宋体"/>
                      <w:color w:val="auto"/>
                      <w:lang w:val="en-US" w:eastAsia="zh-CN"/>
                    </w:rPr>
                  </w:pPr>
                  <w:r>
                    <w:rPr>
                      <w:rFonts w:hint="eastAsia"/>
                      <w:color w:val="auto"/>
                      <w:lang w:val="en-US" w:eastAsia="zh-CN"/>
                    </w:rPr>
                    <w:t>970</w:t>
                  </w:r>
                </w:p>
              </w:tc>
              <w:tc>
                <w:tcPr>
                  <w:tcW w:w="749" w:type="pct"/>
                  <w:noWrap w:val="0"/>
                  <w:vAlign w:val="center"/>
                </w:tcPr>
                <w:p w14:paraId="23CB0F32">
                  <w:pPr>
                    <w:pStyle w:val="5"/>
                    <w:bidi w:val="0"/>
                    <w:rPr>
                      <w:color w:val="auto"/>
                    </w:rPr>
                  </w:pPr>
                  <w:r>
                    <w:rPr>
                      <w:rFonts w:hint="eastAsia"/>
                      <w:color w:val="auto"/>
                    </w:rPr>
                    <w:t>970</w:t>
                  </w:r>
                </w:p>
              </w:tc>
              <w:tc>
                <w:tcPr>
                  <w:tcW w:w="1257" w:type="pct"/>
                  <w:vMerge w:val="continue"/>
                  <w:noWrap w:val="0"/>
                  <w:vAlign w:val="center"/>
                </w:tcPr>
                <w:p w14:paraId="69412D93">
                  <w:pPr>
                    <w:pStyle w:val="5"/>
                    <w:bidi w:val="0"/>
                    <w:rPr>
                      <w:rFonts w:hint="eastAsia"/>
                      <w:color w:val="auto"/>
                    </w:rPr>
                  </w:pPr>
                </w:p>
              </w:tc>
              <w:tc>
                <w:tcPr>
                  <w:tcW w:w="704" w:type="pct"/>
                  <w:vMerge w:val="continue"/>
                  <w:noWrap w:val="0"/>
                  <w:vAlign w:val="center"/>
                </w:tcPr>
                <w:p w14:paraId="6295A5E9">
                  <w:pPr>
                    <w:pStyle w:val="5"/>
                    <w:bidi w:val="0"/>
                    <w:rPr>
                      <w:rFonts w:hint="eastAsia"/>
                      <w:color w:val="auto"/>
                    </w:rPr>
                  </w:pPr>
                </w:p>
              </w:tc>
            </w:tr>
            <w:tr w14:paraId="1D322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 w:hRule="atLeast"/>
                <w:jc w:val="center"/>
              </w:trPr>
              <w:tc>
                <w:tcPr>
                  <w:tcW w:w="350" w:type="pct"/>
                  <w:noWrap w:val="0"/>
                  <w:vAlign w:val="center"/>
                </w:tcPr>
                <w:p w14:paraId="1448D686">
                  <w:pPr>
                    <w:pStyle w:val="5"/>
                    <w:bidi w:val="0"/>
                    <w:rPr>
                      <w:color w:val="auto"/>
                    </w:rPr>
                  </w:pPr>
                  <w:r>
                    <w:rPr>
                      <w:color w:val="auto"/>
                    </w:rPr>
                    <w:t>3</w:t>
                  </w:r>
                </w:p>
              </w:tc>
              <w:tc>
                <w:tcPr>
                  <w:tcW w:w="928" w:type="pct"/>
                  <w:gridSpan w:val="2"/>
                  <w:noWrap w:val="0"/>
                  <w:vAlign w:val="center"/>
                </w:tcPr>
                <w:p w14:paraId="07FE3B1D">
                  <w:pPr>
                    <w:pStyle w:val="5"/>
                    <w:bidi w:val="0"/>
                    <w:rPr>
                      <w:rFonts w:hint="eastAsia"/>
                      <w:color w:val="auto"/>
                    </w:rPr>
                  </w:pPr>
                  <w:r>
                    <w:rPr>
                      <w:rFonts w:hint="eastAsia"/>
                      <w:color w:val="auto"/>
                    </w:rPr>
                    <w:t>锁具</w:t>
                  </w:r>
                </w:p>
              </w:tc>
              <w:tc>
                <w:tcPr>
                  <w:tcW w:w="416" w:type="pct"/>
                  <w:noWrap w:val="0"/>
                  <w:vAlign w:val="center"/>
                </w:tcPr>
                <w:p w14:paraId="6B616E8A">
                  <w:pPr>
                    <w:pStyle w:val="5"/>
                    <w:bidi w:val="0"/>
                    <w:rPr>
                      <w:rFonts w:hint="eastAsia"/>
                      <w:color w:val="auto"/>
                    </w:rPr>
                  </w:pPr>
                  <w:r>
                    <w:rPr>
                      <w:rFonts w:hint="eastAsia"/>
                      <w:color w:val="auto"/>
                    </w:rPr>
                    <w:t>套</w:t>
                  </w:r>
                </w:p>
              </w:tc>
              <w:tc>
                <w:tcPr>
                  <w:tcW w:w="593" w:type="pct"/>
                  <w:noWrap w:val="0"/>
                  <w:vAlign w:val="center"/>
                </w:tcPr>
                <w:p w14:paraId="6B709018">
                  <w:pPr>
                    <w:pStyle w:val="5"/>
                    <w:bidi w:val="0"/>
                    <w:rPr>
                      <w:rFonts w:hint="default" w:eastAsia="宋体"/>
                      <w:color w:val="auto"/>
                      <w:lang w:val="en-US" w:eastAsia="zh-CN"/>
                    </w:rPr>
                  </w:pPr>
                  <w:r>
                    <w:rPr>
                      <w:rFonts w:hint="eastAsia"/>
                      <w:color w:val="auto"/>
                      <w:lang w:val="en-US" w:eastAsia="zh-CN"/>
                    </w:rPr>
                    <w:t>10000</w:t>
                  </w:r>
                </w:p>
              </w:tc>
              <w:tc>
                <w:tcPr>
                  <w:tcW w:w="749" w:type="pct"/>
                  <w:noWrap w:val="0"/>
                  <w:vAlign w:val="center"/>
                </w:tcPr>
                <w:p w14:paraId="6E9F4510">
                  <w:pPr>
                    <w:pStyle w:val="5"/>
                    <w:bidi w:val="0"/>
                    <w:rPr>
                      <w:color w:val="auto"/>
                    </w:rPr>
                  </w:pPr>
                  <w:r>
                    <w:rPr>
                      <w:rFonts w:hint="eastAsia"/>
                      <w:color w:val="auto"/>
                    </w:rPr>
                    <w:t>10000</w:t>
                  </w:r>
                </w:p>
              </w:tc>
              <w:tc>
                <w:tcPr>
                  <w:tcW w:w="1257" w:type="pct"/>
                  <w:noWrap w:val="0"/>
                  <w:vAlign w:val="center"/>
                </w:tcPr>
                <w:p w14:paraId="09CA689C">
                  <w:pPr>
                    <w:pStyle w:val="5"/>
                    <w:bidi w:val="0"/>
                    <w:rPr>
                      <w:color w:val="auto"/>
                    </w:rPr>
                  </w:pPr>
                  <w:r>
                    <w:rPr>
                      <w:rFonts w:hint="eastAsia"/>
                      <w:color w:val="auto"/>
                    </w:rPr>
                    <w:t>锁体/锁芯</w:t>
                  </w:r>
                </w:p>
              </w:tc>
              <w:tc>
                <w:tcPr>
                  <w:tcW w:w="704" w:type="pct"/>
                  <w:vMerge w:val="continue"/>
                  <w:noWrap w:val="0"/>
                  <w:vAlign w:val="center"/>
                </w:tcPr>
                <w:p w14:paraId="6836092D">
                  <w:pPr>
                    <w:pStyle w:val="5"/>
                    <w:bidi w:val="0"/>
                    <w:rPr>
                      <w:color w:val="auto"/>
                    </w:rPr>
                  </w:pPr>
                </w:p>
              </w:tc>
            </w:tr>
            <w:tr w14:paraId="507BD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 w:hRule="atLeast"/>
                <w:jc w:val="center"/>
              </w:trPr>
              <w:tc>
                <w:tcPr>
                  <w:tcW w:w="350" w:type="pct"/>
                  <w:noWrap w:val="0"/>
                  <w:vAlign w:val="center"/>
                </w:tcPr>
                <w:p w14:paraId="1FFED9EA">
                  <w:pPr>
                    <w:pStyle w:val="5"/>
                    <w:bidi w:val="0"/>
                    <w:rPr>
                      <w:color w:val="auto"/>
                    </w:rPr>
                  </w:pPr>
                  <w:r>
                    <w:rPr>
                      <w:color w:val="auto"/>
                    </w:rPr>
                    <w:t>4</w:t>
                  </w:r>
                </w:p>
              </w:tc>
              <w:tc>
                <w:tcPr>
                  <w:tcW w:w="928" w:type="pct"/>
                  <w:gridSpan w:val="2"/>
                  <w:noWrap w:val="0"/>
                  <w:vAlign w:val="center"/>
                </w:tcPr>
                <w:p w14:paraId="2FDDBC84">
                  <w:pPr>
                    <w:pStyle w:val="5"/>
                    <w:bidi w:val="0"/>
                    <w:rPr>
                      <w:rFonts w:hint="eastAsia"/>
                      <w:color w:val="auto"/>
                    </w:rPr>
                  </w:pPr>
                  <w:r>
                    <w:rPr>
                      <w:rFonts w:hint="eastAsia"/>
                      <w:color w:val="auto"/>
                    </w:rPr>
                    <w:t>把手</w:t>
                  </w:r>
                </w:p>
              </w:tc>
              <w:tc>
                <w:tcPr>
                  <w:tcW w:w="416" w:type="pct"/>
                  <w:noWrap w:val="0"/>
                  <w:vAlign w:val="center"/>
                </w:tcPr>
                <w:p w14:paraId="0B186242">
                  <w:pPr>
                    <w:pStyle w:val="5"/>
                    <w:bidi w:val="0"/>
                    <w:rPr>
                      <w:rFonts w:hint="eastAsia"/>
                      <w:color w:val="auto"/>
                    </w:rPr>
                  </w:pPr>
                  <w:r>
                    <w:rPr>
                      <w:rFonts w:hint="eastAsia"/>
                      <w:color w:val="auto"/>
                    </w:rPr>
                    <w:t>套</w:t>
                  </w:r>
                </w:p>
              </w:tc>
              <w:tc>
                <w:tcPr>
                  <w:tcW w:w="593" w:type="pct"/>
                  <w:noWrap w:val="0"/>
                  <w:vAlign w:val="center"/>
                </w:tcPr>
                <w:p w14:paraId="08131CED">
                  <w:pPr>
                    <w:pStyle w:val="5"/>
                    <w:bidi w:val="0"/>
                    <w:rPr>
                      <w:rFonts w:hint="default" w:eastAsia="宋体"/>
                      <w:color w:val="auto"/>
                      <w:lang w:val="en-US" w:eastAsia="zh-CN"/>
                    </w:rPr>
                  </w:pPr>
                  <w:r>
                    <w:rPr>
                      <w:rFonts w:hint="eastAsia"/>
                      <w:color w:val="auto"/>
                      <w:lang w:val="en-US" w:eastAsia="zh-CN"/>
                    </w:rPr>
                    <w:t>20000</w:t>
                  </w:r>
                </w:p>
              </w:tc>
              <w:tc>
                <w:tcPr>
                  <w:tcW w:w="749" w:type="pct"/>
                  <w:noWrap w:val="0"/>
                  <w:vAlign w:val="center"/>
                </w:tcPr>
                <w:p w14:paraId="20248812">
                  <w:pPr>
                    <w:pStyle w:val="5"/>
                    <w:bidi w:val="0"/>
                    <w:rPr>
                      <w:color w:val="auto"/>
                    </w:rPr>
                  </w:pPr>
                  <w:r>
                    <w:rPr>
                      <w:rFonts w:hint="eastAsia"/>
                      <w:color w:val="auto"/>
                    </w:rPr>
                    <w:t>20000</w:t>
                  </w:r>
                </w:p>
              </w:tc>
              <w:tc>
                <w:tcPr>
                  <w:tcW w:w="1257" w:type="pct"/>
                  <w:noWrap w:val="0"/>
                  <w:vAlign w:val="center"/>
                </w:tcPr>
                <w:p w14:paraId="1601348C">
                  <w:pPr>
                    <w:pStyle w:val="5"/>
                    <w:bidi w:val="0"/>
                    <w:rPr>
                      <w:rFonts w:hint="eastAsia"/>
                      <w:color w:val="auto"/>
                    </w:rPr>
                  </w:pPr>
                  <w:r>
                    <w:rPr>
                      <w:rFonts w:hint="eastAsia"/>
                      <w:color w:val="auto"/>
                    </w:rPr>
                    <w:t>把手</w:t>
                  </w:r>
                </w:p>
              </w:tc>
              <w:tc>
                <w:tcPr>
                  <w:tcW w:w="704" w:type="pct"/>
                  <w:vMerge w:val="continue"/>
                  <w:noWrap w:val="0"/>
                  <w:vAlign w:val="center"/>
                </w:tcPr>
                <w:p w14:paraId="7C92C93F">
                  <w:pPr>
                    <w:pStyle w:val="5"/>
                    <w:bidi w:val="0"/>
                    <w:rPr>
                      <w:rFonts w:hint="eastAsia"/>
                      <w:color w:val="auto"/>
                    </w:rPr>
                  </w:pPr>
                </w:p>
              </w:tc>
            </w:tr>
            <w:tr w14:paraId="015EE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 w:hRule="atLeast"/>
                <w:jc w:val="center"/>
              </w:trPr>
              <w:tc>
                <w:tcPr>
                  <w:tcW w:w="350" w:type="pct"/>
                  <w:noWrap w:val="0"/>
                  <w:vAlign w:val="center"/>
                </w:tcPr>
                <w:p w14:paraId="6148E170">
                  <w:pPr>
                    <w:pStyle w:val="5"/>
                    <w:bidi w:val="0"/>
                    <w:rPr>
                      <w:color w:val="auto"/>
                    </w:rPr>
                  </w:pPr>
                  <w:r>
                    <w:rPr>
                      <w:color w:val="auto"/>
                    </w:rPr>
                    <w:t>5</w:t>
                  </w:r>
                </w:p>
              </w:tc>
              <w:tc>
                <w:tcPr>
                  <w:tcW w:w="928" w:type="pct"/>
                  <w:gridSpan w:val="2"/>
                  <w:noWrap w:val="0"/>
                  <w:vAlign w:val="center"/>
                </w:tcPr>
                <w:p w14:paraId="49778264">
                  <w:pPr>
                    <w:pStyle w:val="5"/>
                    <w:bidi w:val="0"/>
                    <w:rPr>
                      <w:rFonts w:hint="eastAsia"/>
                      <w:color w:val="auto"/>
                    </w:rPr>
                  </w:pPr>
                  <w:r>
                    <w:rPr>
                      <w:rFonts w:hint="eastAsia"/>
                      <w:color w:val="auto"/>
                    </w:rPr>
                    <w:t>蜂窝纸</w:t>
                  </w:r>
                </w:p>
              </w:tc>
              <w:tc>
                <w:tcPr>
                  <w:tcW w:w="416" w:type="pct"/>
                  <w:noWrap w:val="0"/>
                  <w:vAlign w:val="center"/>
                </w:tcPr>
                <w:p w14:paraId="4D985624">
                  <w:pPr>
                    <w:pStyle w:val="5"/>
                    <w:bidi w:val="0"/>
                    <w:rPr>
                      <w:rFonts w:hint="eastAsia"/>
                      <w:color w:val="auto"/>
                    </w:rPr>
                  </w:pPr>
                  <w:r>
                    <w:rPr>
                      <w:rFonts w:hint="eastAsia"/>
                      <w:color w:val="auto"/>
                    </w:rPr>
                    <w:t>条</w:t>
                  </w:r>
                </w:p>
              </w:tc>
              <w:tc>
                <w:tcPr>
                  <w:tcW w:w="593" w:type="pct"/>
                  <w:noWrap w:val="0"/>
                  <w:vAlign w:val="center"/>
                </w:tcPr>
                <w:p w14:paraId="491AAC23">
                  <w:pPr>
                    <w:pStyle w:val="5"/>
                    <w:bidi w:val="0"/>
                    <w:rPr>
                      <w:rFonts w:hint="default" w:eastAsia="宋体"/>
                      <w:color w:val="auto"/>
                      <w:lang w:val="en-US" w:eastAsia="zh-CN"/>
                    </w:rPr>
                  </w:pPr>
                  <w:r>
                    <w:rPr>
                      <w:rFonts w:hint="eastAsia"/>
                      <w:color w:val="auto"/>
                      <w:lang w:val="en-US" w:eastAsia="zh-CN"/>
                    </w:rPr>
                    <w:t>23000</w:t>
                  </w:r>
                </w:p>
              </w:tc>
              <w:tc>
                <w:tcPr>
                  <w:tcW w:w="749" w:type="pct"/>
                  <w:noWrap w:val="0"/>
                  <w:vAlign w:val="center"/>
                </w:tcPr>
                <w:p w14:paraId="3004E683">
                  <w:pPr>
                    <w:pStyle w:val="5"/>
                    <w:bidi w:val="0"/>
                    <w:rPr>
                      <w:color w:val="auto"/>
                    </w:rPr>
                  </w:pPr>
                  <w:r>
                    <w:rPr>
                      <w:rFonts w:hint="eastAsia"/>
                      <w:color w:val="auto"/>
                    </w:rPr>
                    <w:t>23000</w:t>
                  </w:r>
                </w:p>
              </w:tc>
              <w:tc>
                <w:tcPr>
                  <w:tcW w:w="1257" w:type="pct"/>
                  <w:noWrap w:val="0"/>
                  <w:vAlign w:val="center"/>
                </w:tcPr>
                <w:p w14:paraId="23278C8D">
                  <w:pPr>
                    <w:pStyle w:val="5"/>
                    <w:bidi w:val="0"/>
                    <w:rPr>
                      <w:rFonts w:hint="eastAsia"/>
                      <w:color w:val="auto"/>
                    </w:rPr>
                  </w:pPr>
                  <w:r>
                    <w:rPr>
                      <w:rFonts w:hint="eastAsia"/>
                      <w:color w:val="auto"/>
                    </w:rPr>
                    <w:t>纸</w:t>
                  </w:r>
                </w:p>
              </w:tc>
              <w:tc>
                <w:tcPr>
                  <w:tcW w:w="704" w:type="pct"/>
                  <w:vMerge w:val="continue"/>
                  <w:noWrap w:val="0"/>
                  <w:vAlign w:val="center"/>
                </w:tcPr>
                <w:p w14:paraId="07A619FB">
                  <w:pPr>
                    <w:pStyle w:val="5"/>
                    <w:bidi w:val="0"/>
                    <w:rPr>
                      <w:color w:val="auto"/>
                    </w:rPr>
                  </w:pPr>
                </w:p>
              </w:tc>
            </w:tr>
            <w:tr w14:paraId="4AECF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8" w:hRule="atLeast"/>
                <w:jc w:val="center"/>
              </w:trPr>
              <w:tc>
                <w:tcPr>
                  <w:tcW w:w="350" w:type="pct"/>
                  <w:noWrap w:val="0"/>
                  <w:vAlign w:val="center"/>
                </w:tcPr>
                <w:p w14:paraId="35E1B9E3">
                  <w:pPr>
                    <w:pStyle w:val="5"/>
                    <w:bidi w:val="0"/>
                    <w:rPr>
                      <w:color w:val="auto"/>
                    </w:rPr>
                  </w:pPr>
                  <w:r>
                    <w:rPr>
                      <w:color w:val="auto"/>
                    </w:rPr>
                    <w:t>6</w:t>
                  </w:r>
                </w:p>
              </w:tc>
              <w:tc>
                <w:tcPr>
                  <w:tcW w:w="928" w:type="pct"/>
                  <w:gridSpan w:val="2"/>
                  <w:noWrap w:val="0"/>
                  <w:vAlign w:val="center"/>
                </w:tcPr>
                <w:p w14:paraId="5904A7EA">
                  <w:pPr>
                    <w:pStyle w:val="5"/>
                    <w:bidi w:val="0"/>
                    <w:rPr>
                      <w:rFonts w:hint="eastAsia"/>
                      <w:color w:val="auto"/>
                    </w:rPr>
                  </w:pPr>
                  <w:r>
                    <w:rPr>
                      <w:rFonts w:hint="eastAsia"/>
                      <w:color w:val="auto"/>
                    </w:rPr>
                    <w:t>焊丝</w:t>
                  </w:r>
                </w:p>
              </w:tc>
              <w:tc>
                <w:tcPr>
                  <w:tcW w:w="416" w:type="pct"/>
                  <w:noWrap w:val="0"/>
                  <w:vAlign w:val="center"/>
                </w:tcPr>
                <w:p w14:paraId="22922A53">
                  <w:pPr>
                    <w:pStyle w:val="5"/>
                    <w:bidi w:val="0"/>
                    <w:rPr>
                      <w:rFonts w:hint="eastAsia"/>
                      <w:color w:val="auto"/>
                    </w:rPr>
                  </w:pPr>
                  <w:r>
                    <w:rPr>
                      <w:rFonts w:hint="eastAsia"/>
                      <w:color w:val="auto"/>
                    </w:rPr>
                    <w:t>吨</w:t>
                  </w:r>
                </w:p>
              </w:tc>
              <w:tc>
                <w:tcPr>
                  <w:tcW w:w="593" w:type="pct"/>
                  <w:noWrap w:val="0"/>
                  <w:vAlign w:val="center"/>
                </w:tcPr>
                <w:p w14:paraId="12DADC60">
                  <w:pPr>
                    <w:pStyle w:val="5"/>
                    <w:bidi w:val="0"/>
                    <w:rPr>
                      <w:rFonts w:hint="eastAsia" w:eastAsia="宋体"/>
                      <w:color w:val="auto"/>
                      <w:lang w:val="en-US" w:eastAsia="zh-CN"/>
                    </w:rPr>
                  </w:pPr>
                  <w:r>
                    <w:rPr>
                      <w:rFonts w:hint="eastAsia"/>
                      <w:color w:val="auto"/>
                      <w:lang w:val="en-US" w:eastAsia="zh-CN"/>
                    </w:rPr>
                    <w:t>2</w:t>
                  </w:r>
                </w:p>
              </w:tc>
              <w:tc>
                <w:tcPr>
                  <w:tcW w:w="749" w:type="pct"/>
                  <w:noWrap w:val="0"/>
                  <w:vAlign w:val="center"/>
                </w:tcPr>
                <w:p w14:paraId="4769D89A">
                  <w:pPr>
                    <w:pStyle w:val="5"/>
                    <w:bidi w:val="0"/>
                    <w:rPr>
                      <w:color w:val="auto"/>
                    </w:rPr>
                  </w:pPr>
                  <w:r>
                    <w:rPr>
                      <w:color w:val="auto"/>
                    </w:rPr>
                    <w:t>2</w:t>
                  </w:r>
                </w:p>
              </w:tc>
              <w:tc>
                <w:tcPr>
                  <w:tcW w:w="1257" w:type="pct"/>
                  <w:noWrap w:val="0"/>
                  <w:vAlign w:val="center"/>
                </w:tcPr>
                <w:p w14:paraId="1BD81902">
                  <w:pPr>
                    <w:pStyle w:val="5"/>
                    <w:bidi w:val="0"/>
                    <w:rPr>
                      <w:color w:val="auto"/>
                    </w:rPr>
                  </w:pPr>
                  <w:r>
                    <w:rPr>
                      <w:rFonts w:hint="eastAsia"/>
                      <w:color w:val="auto"/>
                    </w:rPr>
                    <w:t>0.8/20kg</w:t>
                  </w:r>
                </w:p>
              </w:tc>
              <w:tc>
                <w:tcPr>
                  <w:tcW w:w="704" w:type="pct"/>
                  <w:vMerge w:val="restart"/>
                  <w:noWrap w:val="0"/>
                  <w:vAlign w:val="center"/>
                </w:tcPr>
                <w:p w14:paraId="7F899C9E">
                  <w:pPr>
                    <w:pStyle w:val="5"/>
                    <w:bidi w:val="0"/>
                    <w:rPr>
                      <w:color w:val="auto"/>
                    </w:rPr>
                  </w:pPr>
                  <w:r>
                    <w:rPr>
                      <w:rFonts w:hint="eastAsia"/>
                      <w:color w:val="auto"/>
                    </w:rPr>
                    <w:t>化学品暂存库存</w:t>
                  </w:r>
                </w:p>
              </w:tc>
            </w:tr>
            <w:tr w14:paraId="5722D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2" w:hRule="atLeast"/>
                <w:jc w:val="center"/>
              </w:trPr>
              <w:tc>
                <w:tcPr>
                  <w:tcW w:w="350" w:type="pct"/>
                  <w:noWrap w:val="0"/>
                  <w:vAlign w:val="center"/>
                </w:tcPr>
                <w:p w14:paraId="52866177">
                  <w:pPr>
                    <w:pStyle w:val="5"/>
                    <w:bidi w:val="0"/>
                    <w:rPr>
                      <w:color w:val="auto"/>
                    </w:rPr>
                  </w:pPr>
                  <w:r>
                    <w:rPr>
                      <w:color w:val="auto"/>
                    </w:rPr>
                    <w:t>7</w:t>
                  </w:r>
                </w:p>
              </w:tc>
              <w:tc>
                <w:tcPr>
                  <w:tcW w:w="928" w:type="pct"/>
                  <w:gridSpan w:val="2"/>
                  <w:noWrap w:val="0"/>
                  <w:vAlign w:val="center"/>
                </w:tcPr>
                <w:p w14:paraId="51687A2F">
                  <w:pPr>
                    <w:pStyle w:val="5"/>
                    <w:bidi w:val="0"/>
                    <w:rPr>
                      <w:rFonts w:hint="eastAsia"/>
                      <w:color w:val="auto"/>
                    </w:rPr>
                  </w:pPr>
                  <w:r>
                    <w:rPr>
                      <w:rFonts w:hint="eastAsia"/>
                      <w:color w:val="auto"/>
                    </w:rPr>
                    <w:t>脱脂剂</w:t>
                  </w:r>
                </w:p>
              </w:tc>
              <w:tc>
                <w:tcPr>
                  <w:tcW w:w="416" w:type="pct"/>
                  <w:noWrap w:val="0"/>
                  <w:vAlign w:val="center"/>
                </w:tcPr>
                <w:p w14:paraId="51C1C941">
                  <w:pPr>
                    <w:pStyle w:val="5"/>
                    <w:bidi w:val="0"/>
                    <w:rPr>
                      <w:rFonts w:hint="eastAsia"/>
                      <w:color w:val="auto"/>
                    </w:rPr>
                  </w:pPr>
                  <w:r>
                    <w:rPr>
                      <w:rFonts w:hint="eastAsia"/>
                      <w:color w:val="auto"/>
                    </w:rPr>
                    <w:t>吨</w:t>
                  </w:r>
                </w:p>
              </w:tc>
              <w:tc>
                <w:tcPr>
                  <w:tcW w:w="593" w:type="pct"/>
                  <w:noWrap w:val="0"/>
                  <w:vAlign w:val="center"/>
                </w:tcPr>
                <w:p w14:paraId="5DFC5B29">
                  <w:pPr>
                    <w:pStyle w:val="5"/>
                    <w:bidi w:val="0"/>
                    <w:rPr>
                      <w:rFonts w:hint="default"/>
                      <w:color w:val="auto"/>
                      <w:lang w:val="en-US" w:eastAsia="zh-CN"/>
                    </w:rPr>
                  </w:pPr>
                  <w:r>
                    <w:rPr>
                      <w:rFonts w:hint="eastAsia"/>
                      <w:color w:val="auto"/>
                      <w:lang w:val="en-US" w:eastAsia="zh-CN"/>
                    </w:rPr>
                    <w:t>9.6</w:t>
                  </w:r>
                </w:p>
              </w:tc>
              <w:tc>
                <w:tcPr>
                  <w:tcW w:w="749" w:type="pct"/>
                  <w:noWrap w:val="0"/>
                  <w:vAlign w:val="center"/>
                </w:tcPr>
                <w:p w14:paraId="084E2A6C">
                  <w:pPr>
                    <w:pStyle w:val="5"/>
                    <w:bidi w:val="0"/>
                    <w:rPr>
                      <w:rFonts w:hint="default"/>
                      <w:color w:val="auto"/>
                      <w:lang w:val="en-US" w:eastAsia="zh-CN"/>
                    </w:rPr>
                  </w:pPr>
                  <w:r>
                    <w:rPr>
                      <w:rFonts w:hint="eastAsia"/>
                      <w:color w:val="auto"/>
                      <w:lang w:val="en-US" w:eastAsia="zh-CN"/>
                    </w:rPr>
                    <w:t>9.6</w:t>
                  </w:r>
                </w:p>
              </w:tc>
              <w:tc>
                <w:tcPr>
                  <w:tcW w:w="1257" w:type="pct"/>
                  <w:noWrap w:val="0"/>
                  <w:vAlign w:val="center"/>
                </w:tcPr>
                <w:p w14:paraId="1EF91308">
                  <w:pPr>
                    <w:pStyle w:val="5"/>
                    <w:bidi w:val="0"/>
                    <w:rPr>
                      <w:color w:val="auto"/>
                    </w:rPr>
                  </w:pPr>
                  <w:r>
                    <w:rPr>
                      <w:rFonts w:hint="eastAsia"/>
                      <w:color w:val="auto"/>
                    </w:rPr>
                    <w:t>30kg/桶</w:t>
                  </w:r>
                </w:p>
              </w:tc>
              <w:tc>
                <w:tcPr>
                  <w:tcW w:w="704" w:type="pct"/>
                  <w:vMerge w:val="continue"/>
                  <w:noWrap w:val="0"/>
                  <w:vAlign w:val="center"/>
                </w:tcPr>
                <w:p w14:paraId="107EB28E">
                  <w:pPr>
                    <w:pStyle w:val="5"/>
                    <w:bidi w:val="0"/>
                    <w:rPr>
                      <w:color w:val="auto"/>
                    </w:rPr>
                  </w:pPr>
                </w:p>
              </w:tc>
            </w:tr>
            <w:tr w14:paraId="00C89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2" w:hRule="atLeast"/>
                <w:jc w:val="center"/>
              </w:trPr>
              <w:tc>
                <w:tcPr>
                  <w:tcW w:w="350" w:type="pct"/>
                  <w:noWrap w:val="0"/>
                  <w:vAlign w:val="center"/>
                </w:tcPr>
                <w:p w14:paraId="58D90EB2">
                  <w:pPr>
                    <w:pStyle w:val="5"/>
                    <w:bidi w:val="0"/>
                    <w:rPr>
                      <w:color w:val="auto"/>
                    </w:rPr>
                  </w:pPr>
                  <w:r>
                    <w:rPr>
                      <w:color w:val="auto"/>
                    </w:rPr>
                    <w:t>8</w:t>
                  </w:r>
                </w:p>
              </w:tc>
              <w:tc>
                <w:tcPr>
                  <w:tcW w:w="928" w:type="pct"/>
                  <w:gridSpan w:val="2"/>
                  <w:noWrap w:val="0"/>
                  <w:vAlign w:val="center"/>
                </w:tcPr>
                <w:p w14:paraId="629BDE0E">
                  <w:pPr>
                    <w:pStyle w:val="5"/>
                    <w:bidi w:val="0"/>
                    <w:rPr>
                      <w:rFonts w:hint="eastAsia"/>
                      <w:color w:val="auto"/>
                    </w:rPr>
                  </w:pPr>
                  <w:r>
                    <w:rPr>
                      <w:rFonts w:hint="eastAsia"/>
                      <w:color w:val="auto"/>
                    </w:rPr>
                    <w:t>表调剂</w:t>
                  </w:r>
                </w:p>
              </w:tc>
              <w:tc>
                <w:tcPr>
                  <w:tcW w:w="416" w:type="pct"/>
                  <w:noWrap w:val="0"/>
                  <w:vAlign w:val="center"/>
                </w:tcPr>
                <w:p w14:paraId="6A2A8A3A">
                  <w:pPr>
                    <w:pStyle w:val="5"/>
                    <w:bidi w:val="0"/>
                    <w:rPr>
                      <w:rFonts w:hint="eastAsia"/>
                      <w:color w:val="auto"/>
                    </w:rPr>
                  </w:pPr>
                  <w:r>
                    <w:rPr>
                      <w:rFonts w:hint="eastAsia"/>
                      <w:color w:val="auto"/>
                    </w:rPr>
                    <w:t>吨</w:t>
                  </w:r>
                </w:p>
              </w:tc>
              <w:tc>
                <w:tcPr>
                  <w:tcW w:w="593" w:type="pct"/>
                  <w:noWrap w:val="0"/>
                  <w:vAlign w:val="center"/>
                </w:tcPr>
                <w:p w14:paraId="693D2F8B">
                  <w:pPr>
                    <w:pStyle w:val="5"/>
                    <w:bidi w:val="0"/>
                    <w:rPr>
                      <w:rFonts w:hint="default"/>
                      <w:color w:val="auto"/>
                      <w:lang w:val="en-US" w:eastAsia="zh-CN"/>
                    </w:rPr>
                  </w:pPr>
                  <w:r>
                    <w:rPr>
                      <w:rFonts w:hint="eastAsia"/>
                      <w:color w:val="auto"/>
                      <w:lang w:val="en-US" w:eastAsia="zh-CN"/>
                    </w:rPr>
                    <w:t>1.7</w:t>
                  </w:r>
                </w:p>
              </w:tc>
              <w:tc>
                <w:tcPr>
                  <w:tcW w:w="749" w:type="pct"/>
                  <w:noWrap w:val="0"/>
                  <w:vAlign w:val="center"/>
                </w:tcPr>
                <w:p w14:paraId="66703B93">
                  <w:pPr>
                    <w:pStyle w:val="5"/>
                    <w:bidi w:val="0"/>
                    <w:rPr>
                      <w:rFonts w:hint="default"/>
                      <w:color w:val="auto"/>
                      <w:lang w:val="en-US" w:eastAsia="zh-CN"/>
                    </w:rPr>
                  </w:pPr>
                  <w:r>
                    <w:rPr>
                      <w:rFonts w:hint="eastAsia"/>
                      <w:color w:val="auto"/>
                      <w:lang w:val="en-US" w:eastAsia="zh-CN"/>
                    </w:rPr>
                    <w:t>1.7</w:t>
                  </w:r>
                </w:p>
              </w:tc>
              <w:tc>
                <w:tcPr>
                  <w:tcW w:w="1257" w:type="pct"/>
                  <w:noWrap w:val="0"/>
                  <w:vAlign w:val="center"/>
                </w:tcPr>
                <w:p w14:paraId="759DC1D4">
                  <w:pPr>
                    <w:pStyle w:val="5"/>
                    <w:bidi w:val="0"/>
                    <w:rPr>
                      <w:color w:val="auto"/>
                    </w:rPr>
                  </w:pPr>
                  <w:r>
                    <w:rPr>
                      <w:rFonts w:hint="eastAsia"/>
                      <w:color w:val="auto"/>
                    </w:rPr>
                    <w:t>10kg/桶，碱性胶体磷酸钛钠碱</w:t>
                  </w:r>
                </w:p>
              </w:tc>
              <w:tc>
                <w:tcPr>
                  <w:tcW w:w="704" w:type="pct"/>
                  <w:vMerge w:val="continue"/>
                  <w:noWrap w:val="0"/>
                  <w:vAlign w:val="center"/>
                </w:tcPr>
                <w:p w14:paraId="2A905229">
                  <w:pPr>
                    <w:pStyle w:val="5"/>
                    <w:bidi w:val="0"/>
                    <w:rPr>
                      <w:color w:val="auto"/>
                    </w:rPr>
                  </w:pPr>
                </w:p>
              </w:tc>
            </w:tr>
            <w:tr w14:paraId="2C1EF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 w:hRule="atLeast"/>
                <w:jc w:val="center"/>
              </w:trPr>
              <w:tc>
                <w:tcPr>
                  <w:tcW w:w="350" w:type="pct"/>
                  <w:noWrap w:val="0"/>
                  <w:vAlign w:val="center"/>
                </w:tcPr>
                <w:p w14:paraId="0147AF14">
                  <w:pPr>
                    <w:pStyle w:val="5"/>
                    <w:bidi w:val="0"/>
                    <w:rPr>
                      <w:color w:val="auto"/>
                    </w:rPr>
                  </w:pPr>
                  <w:r>
                    <w:rPr>
                      <w:color w:val="auto"/>
                    </w:rPr>
                    <w:t>9</w:t>
                  </w:r>
                </w:p>
              </w:tc>
              <w:tc>
                <w:tcPr>
                  <w:tcW w:w="928" w:type="pct"/>
                  <w:gridSpan w:val="2"/>
                  <w:noWrap w:val="0"/>
                  <w:vAlign w:val="center"/>
                </w:tcPr>
                <w:p w14:paraId="1C03EE71">
                  <w:pPr>
                    <w:pStyle w:val="5"/>
                    <w:bidi w:val="0"/>
                    <w:rPr>
                      <w:rFonts w:hint="eastAsia"/>
                      <w:color w:val="auto"/>
                    </w:rPr>
                  </w:pPr>
                  <w:r>
                    <w:rPr>
                      <w:rFonts w:hint="eastAsia"/>
                      <w:color w:val="auto"/>
                    </w:rPr>
                    <w:t>磷化剂</w:t>
                  </w:r>
                </w:p>
              </w:tc>
              <w:tc>
                <w:tcPr>
                  <w:tcW w:w="416" w:type="pct"/>
                  <w:noWrap w:val="0"/>
                  <w:vAlign w:val="center"/>
                </w:tcPr>
                <w:p w14:paraId="09F43B9D">
                  <w:pPr>
                    <w:pStyle w:val="5"/>
                    <w:bidi w:val="0"/>
                    <w:rPr>
                      <w:rFonts w:hint="eastAsia"/>
                      <w:color w:val="auto"/>
                    </w:rPr>
                  </w:pPr>
                  <w:r>
                    <w:rPr>
                      <w:rFonts w:hint="eastAsia"/>
                      <w:color w:val="auto"/>
                    </w:rPr>
                    <w:t>吨</w:t>
                  </w:r>
                </w:p>
              </w:tc>
              <w:tc>
                <w:tcPr>
                  <w:tcW w:w="593" w:type="pct"/>
                  <w:noWrap w:val="0"/>
                  <w:vAlign w:val="center"/>
                </w:tcPr>
                <w:p w14:paraId="1BF34039">
                  <w:pPr>
                    <w:pStyle w:val="5"/>
                    <w:bidi w:val="0"/>
                    <w:rPr>
                      <w:rFonts w:hint="default"/>
                      <w:color w:val="auto"/>
                      <w:lang w:val="en-US" w:eastAsia="zh-CN"/>
                    </w:rPr>
                  </w:pPr>
                  <w:r>
                    <w:rPr>
                      <w:rFonts w:hint="eastAsia"/>
                      <w:color w:val="auto"/>
                      <w:lang w:val="en-US" w:eastAsia="zh-CN"/>
                    </w:rPr>
                    <w:t>9.6</w:t>
                  </w:r>
                </w:p>
              </w:tc>
              <w:tc>
                <w:tcPr>
                  <w:tcW w:w="749" w:type="pct"/>
                  <w:noWrap w:val="0"/>
                  <w:vAlign w:val="center"/>
                </w:tcPr>
                <w:p w14:paraId="677C2200">
                  <w:pPr>
                    <w:pStyle w:val="5"/>
                    <w:bidi w:val="0"/>
                    <w:rPr>
                      <w:rFonts w:hint="eastAsia"/>
                      <w:color w:val="auto"/>
                    </w:rPr>
                  </w:pPr>
                  <w:r>
                    <w:rPr>
                      <w:rFonts w:hint="eastAsia"/>
                      <w:color w:val="auto"/>
                      <w:lang w:val="en-US" w:eastAsia="zh-CN"/>
                    </w:rPr>
                    <w:t>9.6</w:t>
                  </w:r>
                </w:p>
              </w:tc>
              <w:tc>
                <w:tcPr>
                  <w:tcW w:w="1257" w:type="pct"/>
                  <w:noWrap w:val="0"/>
                  <w:vAlign w:val="center"/>
                </w:tcPr>
                <w:p w14:paraId="011E429A">
                  <w:pPr>
                    <w:pStyle w:val="5"/>
                    <w:bidi w:val="0"/>
                    <w:rPr>
                      <w:color w:val="auto"/>
                    </w:rPr>
                  </w:pPr>
                  <w:r>
                    <w:rPr>
                      <w:rFonts w:hint="eastAsia"/>
                      <w:color w:val="auto"/>
                    </w:rPr>
                    <w:t>30kg/桶</w:t>
                  </w:r>
                </w:p>
              </w:tc>
              <w:tc>
                <w:tcPr>
                  <w:tcW w:w="704" w:type="pct"/>
                  <w:vMerge w:val="continue"/>
                  <w:noWrap w:val="0"/>
                  <w:vAlign w:val="center"/>
                </w:tcPr>
                <w:p w14:paraId="12410F59">
                  <w:pPr>
                    <w:pStyle w:val="5"/>
                    <w:bidi w:val="0"/>
                    <w:rPr>
                      <w:color w:val="auto"/>
                    </w:rPr>
                  </w:pPr>
                </w:p>
              </w:tc>
            </w:tr>
            <w:tr w14:paraId="549D6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350" w:type="pct"/>
                  <w:noWrap w:val="0"/>
                  <w:vAlign w:val="center"/>
                </w:tcPr>
                <w:p w14:paraId="06E7BDCF">
                  <w:pPr>
                    <w:pStyle w:val="5"/>
                    <w:bidi w:val="0"/>
                    <w:rPr>
                      <w:color w:val="auto"/>
                    </w:rPr>
                  </w:pPr>
                  <w:r>
                    <w:rPr>
                      <w:color w:val="auto"/>
                    </w:rPr>
                    <w:t>10</w:t>
                  </w:r>
                </w:p>
              </w:tc>
              <w:tc>
                <w:tcPr>
                  <w:tcW w:w="928" w:type="pct"/>
                  <w:gridSpan w:val="2"/>
                  <w:noWrap w:val="0"/>
                  <w:vAlign w:val="center"/>
                </w:tcPr>
                <w:p w14:paraId="603E5075">
                  <w:pPr>
                    <w:pStyle w:val="5"/>
                    <w:bidi w:val="0"/>
                    <w:rPr>
                      <w:rFonts w:hint="eastAsia"/>
                      <w:color w:val="auto"/>
                    </w:rPr>
                  </w:pPr>
                  <w:r>
                    <w:rPr>
                      <w:rFonts w:hint="eastAsia"/>
                      <w:color w:val="auto"/>
                    </w:rPr>
                    <w:t>发泡胶（胶合剂）</w:t>
                  </w:r>
                </w:p>
              </w:tc>
              <w:tc>
                <w:tcPr>
                  <w:tcW w:w="416" w:type="pct"/>
                  <w:noWrap w:val="0"/>
                  <w:vAlign w:val="center"/>
                </w:tcPr>
                <w:p w14:paraId="19763629">
                  <w:pPr>
                    <w:pStyle w:val="5"/>
                    <w:bidi w:val="0"/>
                    <w:rPr>
                      <w:rFonts w:hint="eastAsia"/>
                      <w:color w:val="auto"/>
                    </w:rPr>
                  </w:pPr>
                  <w:r>
                    <w:rPr>
                      <w:rFonts w:hint="eastAsia"/>
                      <w:color w:val="auto"/>
                    </w:rPr>
                    <w:t>吨</w:t>
                  </w:r>
                </w:p>
              </w:tc>
              <w:tc>
                <w:tcPr>
                  <w:tcW w:w="593" w:type="pct"/>
                  <w:noWrap w:val="0"/>
                  <w:vAlign w:val="center"/>
                </w:tcPr>
                <w:p w14:paraId="1F2418A4">
                  <w:pPr>
                    <w:pStyle w:val="5"/>
                    <w:bidi w:val="0"/>
                    <w:rPr>
                      <w:rFonts w:hint="default" w:eastAsia="宋体"/>
                      <w:color w:val="auto"/>
                      <w:lang w:val="en-US" w:eastAsia="zh-CN"/>
                    </w:rPr>
                  </w:pPr>
                  <w:r>
                    <w:rPr>
                      <w:rFonts w:hint="eastAsia"/>
                      <w:color w:val="auto"/>
                      <w:lang w:val="en-US" w:eastAsia="zh-CN"/>
                    </w:rPr>
                    <w:t>21</w:t>
                  </w:r>
                </w:p>
              </w:tc>
              <w:tc>
                <w:tcPr>
                  <w:tcW w:w="749" w:type="pct"/>
                  <w:noWrap w:val="0"/>
                  <w:vAlign w:val="center"/>
                </w:tcPr>
                <w:p w14:paraId="7B130BA7">
                  <w:pPr>
                    <w:pStyle w:val="5"/>
                    <w:bidi w:val="0"/>
                    <w:rPr>
                      <w:color w:val="auto"/>
                    </w:rPr>
                  </w:pPr>
                  <w:r>
                    <w:rPr>
                      <w:rFonts w:hint="eastAsia"/>
                      <w:color w:val="auto"/>
                    </w:rPr>
                    <w:t>21</w:t>
                  </w:r>
                </w:p>
              </w:tc>
              <w:tc>
                <w:tcPr>
                  <w:tcW w:w="1257" w:type="pct"/>
                  <w:noWrap w:val="0"/>
                  <w:vAlign w:val="center"/>
                </w:tcPr>
                <w:p w14:paraId="77E483F2">
                  <w:pPr>
                    <w:pStyle w:val="5"/>
                    <w:bidi w:val="0"/>
                    <w:rPr>
                      <w:color w:val="auto"/>
                    </w:rPr>
                  </w:pPr>
                  <w:r>
                    <w:rPr>
                      <w:rFonts w:hint="eastAsia"/>
                      <w:color w:val="auto"/>
                    </w:rPr>
                    <w:t>30kg/桶</w:t>
                  </w:r>
                </w:p>
              </w:tc>
              <w:tc>
                <w:tcPr>
                  <w:tcW w:w="704" w:type="pct"/>
                  <w:vMerge w:val="continue"/>
                  <w:noWrap w:val="0"/>
                  <w:vAlign w:val="center"/>
                </w:tcPr>
                <w:p w14:paraId="2627E8C8">
                  <w:pPr>
                    <w:pStyle w:val="5"/>
                    <w:bidi w:val="0"/>
                    <w:rPr>
                      <w:color w:val="auto"/>
                    </w:rPr>
                  </w:pPr>
                </w:p>
              </w:tc>
            </w:tr>
            <w:tr w14:paraId="0146D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 w:hRule="atLeast"/>
                <w:jc w:val="center"/>
              </w:trPr>
              <w:tc>
                <w:tcPr>
                  <w:tcW w:w="350" w:type="pct"/>
                  <w:noWrap w:val="0"/>
                  <w:vAlign w:val="center"/>
                </w:tcPr>
                <w:p w14:paraId="152F27D7">
                  <w:pPr>
                    <w:pStyle w:val="5"/>
                    <w:bidi w:val="0"/>
                    <w:rPr>
                      <w:color w:val="auto"/>
                    </w:rPr>
                  </w:pPr>
                  <w:r>
                    <w:rPr>
                      <w:color w:val="auto"/>
                    </w:rPr>
                    <w:t>11</w:t>
                  </w:r>
                </w:p>
              </w:tc>
              <w:tc>
                <w:tcPr>
                  <w:tcW w:w="928" w:type="pct"/>
                  <w:gridSpan w:val="2"/>
                  <w:noWrap w:val="0"/>
                  <w:vAlign w:val="center"/>
                </w:tcPr>
                <w:p w14:paraId="6B2140FD">
                  <w:pPr>
                    <w:pStyle w:val="5"/>
                    <w:bidi w:val="0"/>
                    <w:rPr>
                      <w:rFonts w:hint="eastAsia"/>
                      <w:color w:val="auto"/>
                    </w:rPr>
                  </w:pPr>
                  <w:r>
                    <w:rPr>
                      <w:rFonts w:hint="eastAsia"/>
                      <w:color w:val="auto"/>
                    </w:rPr>
                    <w:t>塑粉</w:t>
                  </w:r>
                </w:p>
              </w:tc>
              <w:tc>
                <w:tcPr>
                  <w:tcW w:w="416" w:type="pct"/>
                  <w:noWrap w:val="0"/>
                  <w:vAlign w:val="center"/>
                </w:tcPr>
                <w:p w14:paraId="706DBF0E">
                  <w:pPr>
                    <w:pStyle w:val="5"/>
                    <w:bidi w:val="0"/>
                    <w:rPr>
                      <w:rFonts w:hint="eastAsia"/>
                      <w:color w:val="auto"/>
                    </w:rPr>
                  </w:pPr>
                  <w:r>
                    <w:rPr>
                      <w:rFonts w:hint="eastAsia"/>
                      <w:color w:val="auto"/>
                    </w:rPr>
                    <w:t>吨</w:t>
                  </w:r>
                </w:p>
              </w:tc>
              <w:tc>
                <w:tcPr>
                  <w:tcW w:w="593" w:type="pct"/>
                  <w:noWrap w:val="0"/>
                  <w:vAlign w:val="center"/>
                </w:tcPr>
                <w:p w14:paraId="4C59A967">
                  <w:pPr>
                    <w:pStyle w:val="5"/>
                    <w:bidi w:val="0"/>
                    <w:rPr>
                      <w:rFonts w:hint="default" w:eastAsia="宋体"/>
                      <w:color w:val="auto"/>
                      <w:lang w:val="en-US" w:eastAsia="zh-CN"/>
                    </w:rPr>
                  </w:pPr>
                  <w:r>
                    <w:rPr>
                      <w:rFonts w:hint="eastAsia"/>
                      <w:color w:val="auto"/>
                      <w:lang w:val="en-US" w:eastAsia="zh-CN"/>
                    </w:rPr>
                    <w:t>18</w:t>
                  </w:r>
                </w:p>
              </w:tc>
              <w:tc>
                <w:tcPr>
                  <w:tcW w:w="749" w:type="pct"/>
                  <w:noWrap w:val="0"/>
                  <w:vAlign w:val="center"/>
                </w:tcPr>
                <w:p w14:paraId="38CCE44E">
                  <w:pPr>
                    <w:pStyle w:val="5"/>
                    <w:bidi w:val="0"/>
                    <w:rPr>
                      <w:color w:val="auto"/>
                    </w:rPr>
                  </w:pPr>
                  <w:r>
                    <w:rPr>
                      <w:rFonts w:hint="eastAsia"/>
                      <w:color w:val="auto"/>
                    </w:rPr>
                    <w:t>18</w:t>
                  </w:r>
                </w:p>
              </w:tc>
              <w:tc>
                <w:tcPr>
                  <w:tcW w:w="1257" w:type="pct"/>
                  <w:noWrap w:val="0"/>
                  <w:vAlign w:val="center"/>
                </w:tcPr>
                <w:p w14:paraId="1A5779BC">
                  <w:pPr>
                    <w:pStyle w:val="5"/>
                    <w:bidi w:val="0"/>
                    <w:rPr>
                      <w:color w:val="auto"/>
                    </w:rPr>
                  </w:pPr>
                  <w:r>
                    <w:rPr>
                      <w:rFonts w:hint="eastAsia"/>
                      <w:color w:val="auto"/>
                    </w:rPr>
                    <w:t>25kg/袋</w:t>
                  </w:r>
                </w:p>
              </w:tc>
              <w:tc>
                <w:tcPr>
                  <w:tcW w:w="704" w:type="pct"/>
                  <w:vMerge w:val="continue"/>
                  <w:noWrap w:val="0"/>
                  <w:vAlign w:val="center"/>
                </w:tcPr>
                <w:p w14:paraId="1120C08C">
                  <w:pPr>
                    <w:pStyle w:val="5"/>
                    <w:bidi w:val="0"/>
                    <w:rPr>
                      <w:color w:val="auto"/>
                    </w:rPr>
                  </w:pPr>
                </w:p>
              </w:tc>
            </w:tr>
            <w:tr w14:paraId="6A42F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2" w:hRule="atLeast"/>
                <w:jc w:val="center"/>
              </w:trPr>
              <w:tc>
                <w:tcPr>
                  <w:tcW w:w="350" w:type="pct"/>
                  <w:noWrap w:val="0"/>
                  <w:vAlign w:val="center"/>
                </w:tcPr>
                <w:p w14:paraId="047C081D">
                  <w:pPr>
                    <w:pStyle w:val="5"/>
                    <w:bidi w:val="0"/>
                    <w:rPr>
                      <w:color w:val="auto"/>
                    </w:rPr>
                  </w:pPr>
                  <w:r>
                    <w:rPr>
                      <w:color w:val="auto"/>
                    </w:rPr>
                    <w:t>12</w:t>
                  </w:r>
                </w:p>
              </w:tc>
              <w:tc>
                <w:tcPr>
                  <w:tcW w:w="928" w:type="pct"/>
                  <w:gridSpan w:val="2"/>
                  <w:noWrap w:val="0"/>
                  <w:vAlign w:val="center"/>
                </w:tcPr>
                <w:p w14:paraId="25CFEF33">
                  <w:pPr>
                    <w:pStyle w:val="5"/>
                    <w:bidi w:val="0"/>
                    <w:rPr>
                      <w:rFonts w:hint="eastAsia"/>
                      <w:color w:val="auto"/>
                    </w:rPr>
                  </w:pPr>
                  <w:r>
                    <w:rPr>
                      <w:rFonts w:hint="eastAsia"/>
                      <w:color w:val="auto"/>
                    </w:rPr>
                    <w:t>水性漆（面漆）</w:t>
                  </w:r>
                </w:p>
              </w:tc>
              <w:tc>
                <w:tcPr>
                  <w:tcW w:w="416" w:type="pct"/>
                  <w:noWrap w:val="0"/>
                  <w:vAlign w:val="center"/>
                </w:tcPr>
                <w:p w14:paraId="35ACABC7">
                  <w:pPr>
                    <w:pStyle w:val="5"/>
                    <w:bidi w:val="0"/>
                    <w:rPr>
                      <w:rFonts w:hint="eastAsia"/>
                      <w:color w:val="auto"/>
                    </w:rPr>
                  </w:pPr>
                  <w:r>
                    <w:rPr>
                      <w:rFonts w:hint="eastAsia"/>
                      <w:color w:val="auto"/>
                    </w:rPr>
                    <w:t>吨</w:t>
                  </w:r>
                </w:p>
              </w:tc>
              <w:tc>
                <w:tcPr>
                  <w:tcW w:w="593" w:type="pct"/>
                  <w:noWrap w:val="0"/>
                  <w:vAlign w:val="center"/>
                </w:tcPr>
                <w:p w14:paraId="5CA4112F">
                  <w:pPr>
                    <w:pStyle w:val="5"/>
                    <w:bidi w:val="0"/>
                    <w:rPr>
                      <w:rFonts w:hint="default"/>
                      <w:color w:val="auto"/>
                      <w:lang w:val="en-US" w:eastAsia="zh-CN"/>
                    </w:rPr>
                  </w:pPr>
                  <w:r>
                    <w:rPr>
                      <w:rFonts w:hint="eastAsia"/>
                      <w:color w:val="auto"/>
                      <w:lang w:val="en-US" w:eastAsia="zh-CN"/>
                    </w:rPr>
                    <w:t>11</w:t>
                  </w:r>
                </w:p>
              </w:tc>
              <w:tc>
                <w:tcPr>
                  <w:tcW w:w="749" w:type="pct"/>
                  <w:noWrap w:val="0"/>
                  <w:vAlign w:val="center"/>
                </w:tcPr>
                <w:p w14:paraId="5BF38F62">
                  <w:pPr>
                    <w:pStyle w:val="5"/>
                    <w:bidi w:val="0"/>
                    <w:rPr>
                      <w:rFonts w:hint="default"/>
                      <w:color w:val="auto"/>
                      <w:lang w:val="en-US" w:eastAsia="zh-CN"/>
                    </w:rPr>
                  </w:pPr>
                  <w:r>
                    <w:rPr>
                      <w:rFonts w:hint="eastAsia"/>
                      <w:color w:val="auto"/>
                      <w:lang w:val="en-US" w:eastAsia="zh-CN"/>
                    </w:rPr>
                    <w:t>11</w:t>
                  </w:r>
                </w:p>
              </w:tc>
              <w:tc>
                <w:tcPr>
                  <w:tcW w:w="1257" w:type="pct"/>
                  <w:noWrap w:val="0"/>
                  <w:vAlign w:val="center"/>
                </w:tcPr>
                <w:p w14:paraId="05B55C8D">
                  <w:pPr>
                    <w:pStyle w:val="5"/>
                    <w:bidi w:val="0"/>
                    <w:rPr>
                      <w:color w:val="auto"/>
                    </w:rPr>
                  </w:pPr>
                  <w:r>
                    <w:rPr>
                      <w:rFonts w:hint="eastAsia"/>
                      <w:color w:val="auto"/>
                    </w:rPr>
                    <w:t>20kg/桶</w:t>
                  </w:r>
                </w:p>
              </w:tc>
              <w:tc>
                <w:tcPr>
                  <w:tcW w:w="704" w:type="pct"/>
                  <w:vMerge w:val="continue"/>
                  <w:noWrap w:val="0"/>
                  <w:vAlign w:val="center"/>
                </w:tcPr>
                <w:p w14:paraId="7A889128">
                  <w:pPr>
                    <w:pStyle w:val="5"/>
                    <w:bidi w:val="0"/>
                    <w:rPr>
                      <w:color w:val="auto"/>
                    </w:rPr>
                  </w:pPr>
                </w:p>
              </w:tc>
            </w:tr>
            <w:tr w14:paraId="5ED95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4" w:hRule="atLeast"/>
                <w:jc w:val="center"/>
              </w:trPr>
              <w:tc>
                <w:tcPr>
                  <w:tcW w:w="350" w:type="pct"/>
                  <w:noWrap w:val="0"/>
                  <w:vAlign w:val="center"/>
                </w:tcPr>
                <w:p w14:paraId="7E2CA2B2">
                  <w:pPr>
                    <w:pStyle w:val="5"/>
                    <w:bidi w:val="0"/>
                    <w:rPr>
                      <w:color w:val="auto"/>
                    </w:rPr>
                  </w:pPr>
                  <w:r>
                    <w:rPr>
                      <w:color w:val="auto"/>
                    </w:rPr>
                    <w:t>13</w:t>
                  </w:r>
                </w:p>
              </w:tc>
              <w:tc>
                <w:tcPr>
                  <w:tcW w:w="928" w:type="pct"/>
                  <w:gridSpan w:val="2"/>
                  <w:noWrap w:val="0"/>
                  <w:vAlign w:val="center"/>
                </w:tcPr>
                <w:p w14:paraId="6F8EE9B7">
                  <w:pPr>
                    <w:pStyle w:val="5"/>
                    <w:bidi w:val="0"/>
                    <w:rPr>
                      <w:rFonts w:hint="eastAsia"/>
                      <w:color w:val="auto"/>
                    </w:rPr>
                  </w:pPr>
                  <w:r>
                    <w:rPr>
                      <w:rFonts w:hint="eastAsia"/>
                      <w:color w:val="auto"/>
                    </w:rPr>
                    <w:t>絮凝剂</w:t>
                  </w:r>
                </w:p>
              </w:tc>
              <w:tc>
                <w:tcPr>
                  <w:tcW w:w="416" w:type="pct"/>
                  <w:noWrap w:val="0"/>
                  <w:vAlign w:val="center"/>
                </w:tcPr>
                <w:p w14:paraId="52CAB214">
                  <w:pPr>
                    <w:pStyle w:val="5"/>
                    <w:bidi w:val="0"/>
                    <w:rPr>
                      <w:rFonts w:hint="eastAsia"/>
                      <w:color w:val="auto"/>
                    </w:rPr>
                  </w:pPr>
                  <w:r>
                    <w:rPr>
                      <w:rFonts w:hint="eastAsia"/>
                      <w:color w:val="auto"/>
                    </w:rPr>
                    <w:t>吨</w:t>
                  </w:r>
                </w:p>
              </w:tc>
              <w:tc>
                <w:tcPr>
                  <w:tcW w:w="593" w:type="pct"/>
                  <w:noWrap w:val="0"/>
                  <w:vAlign w:val="center"/>
                </w:tcPr>
                <w:p w14:paraId="52F59D81">
                  <w:pPr>
                    <w:pStyle w:val="5"/>
                    <w:bidi w:val="0"/>
                    <w:rPr>
                      <w:rFonts w:hint="eastAsia" w:eastAsia="宋体"/>
                      <w:color w:val="auto"/>
                      <w:lang w:val="en-US" w:eastAsia="zh-CN"/>
                    </w:rPr>
                  </w:pPr>
                  <w:r>
                    <w:rPr>
                      <w:rFonts w:hint="eastAsia"/>
                      <w:color w:val="auto"/>
                      <w:lang w:val="en-US" w:eastAsia="zh-CN"/>
                    </w:rPr>
                    <w:t>1</w:t>
                  </w:r>
                </w:p>
              </w:tc>
              <w:tc>
                <w:tcPr>
                  <w:tcW w:w="749" w:type="pct"/>
                  <w:noWrap w:val="0"/>
                  <w:vAlign w:val="center"/>
                </w:tcPr>
                <w:p w14:paraId="50CC35C7">
                  <w:pPr>
                    <w:pStyle w:val="5"/>
                    <w:bidi w:val="0"/>
                    <w:rPr>
                      <w:rFonts w:hint="eastAsia"/>
                      <w:color w:val="auto"/>
                    </w:rPr>
                  </w:pPr>
                  <w:r>
                    <w:rPr>
                      <w:rFonts w:hint="eastAsia"/>
                      <w:color w:val="auto"/>
                    </w:rPr>
                    <w:t>1</w:t>
                  </w:r>
                </w:p>
              </w:tc>
              <w:tc>
                <w:tcPr>
                  <w:tcW w:w="1257" w:type="pct"/>
                  <w:noWrap w:val="0"/>
                  <w:vAlign w:val="center"/>
                </w:tcPr>
                <w:p w14:paraId="04DCFB13">
                  <w:pPr>
                    <w:pStyle w:val="5"/>
                    <w:bidi w:val="0"/>
                    <w:rPr>
                      <w:color w:val="auto"/>
                    </w:rPr>
                  </w:pPr>
                  <w:r>
                    <w:rPr>
                      <w:rFonts w:hint="eastAsia"/>
                      <w:color w:val="auto"/>
                    </w:rPr>
                    <w:t>聚丙烯酰胺，25kg/袋</w:t>
                  </w:r>
                </w:p>
              </w:tc>
              <w:tc>
                <w:tcPr>
                  <w:tcW w:w="704" w:type="pct"/>
                  <w:vMerge w:val="restart"/>
                  <w:noWrap w:val="0"/>
                  <w:vAlign w:val="center"/>
                </w:tcPr>
                <w:p w14:paraId="16690E73">
                  <w:pPr>
                    <w:pStyle w:val="5"/>
                    <w:bidi w:val="0"/>
                    <w:rPr>
                      <w:rFonts w:hint="eastAsia"/>
                      <w:color w:val="auto"/>
                    </w:rPr>
                  </w:pPr>
                  <w:r>
                    <w:rPr>
                      <w:rFonts w:hint="eastAsia"/>
                      <w:color w:val="auto"/>
                    </w:rPr>
                    <w:t>污水处理站</w:t>
                  </w:r>
                </w:p>
              </w:tc>
            </w:tr>
            <w:tr w14:paraId="74735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2" w:hRule="atLeast"/>
                <w:jc w:val="center"/>
              </w:trPr>
              <w:tc>
                <w:tcPr>
                  <w:tcW w:w="350" w:type="pct"/>
                  <w:noWrap w:val="0"/>
                  <w:vAlign w:val="center"/>
                </w:tcPr>
                <w:p w14:paraId="61BF867C">
                  <w:pPr>
                    <w:pStyle w:val="5"/>
                    <w:bidi w:val="0"/>
                    <w:rPr>
                      <w:rFonts w:hint="eastAsia"/>
                      <w:color w:val="auto"/>
                    </w:rPr>
                  </w:pPr>
                  <w:r>
                    <w:rPr>
                      <w:rFonts w:hint="eastAsia"/>
                      <w:color w:val="auto"/>
                    </w:rPr>
                    <w:t>14</w:t>
                  </w:r>
                </w:p>
              </w:tc>
              <w:tc>
                <w:tcPr>
                  <w:tcW w:w="928" w:type="pct"/>
                  <w:gridSpan w:val="2"/>
                  <w:noWrap w:val="0"/>
                  <w:vAlign w:val="center"/>
                </w:tcPr>
                <w:p w14:paraId="5A84D386">
                  <w:pPr>
                    <w:pStyle w:val="5"/>
                    <w:bidi w:val="0"/>
                    <w:rPr>
                      <w:rFonts w:hint="eastAsia"/>
                      <w:color w:val="auto"/>
                    </w:rPr>
                  </w:pPr>
                  <w:r>
                    <w:rPr>
                      <w:rFonts w:hint="eastAsia"/>
                      <w:color w:val="auto"/>
                      <w:lang w:val="en-US" w:eastAsia="zh-CN"/>
                    </w:rPr>
                    <w:t>中和剂</w:t>
                  </w:r>
                </w:p>
              </w:tc>
              <w:tc>
                <w:tcPr>
                  <w:tcW w:w="416" w:type="pct"/>
                  <w:noWrap w:val="0"/>
                  <w:vAlign w:val="center"/>
                </w:tcPr>
                <w:p w14:paraId="562F2C19">
                  <w:pPr>
                    <w:pStyle w:val="5"/>
                    <w:bidi w:val="0"/>
                    <w:rPr>
                      <w:rFonts w:hint="eastAsia"/>
                      <w:color w:val="auto"/>
                    </w:rPr>
                  </w:pPr>
                  <w:r>
                    <w:rPr>
                      <w:rFonts w:hint="eastAsia"/>
                      <w:color w:val="auto"/>
                    </w:rPr>
                    <w:t>吨</w:t>
                  </w:r>
                </w:p>
              </w:tc>
              <w:tc>
                <w:tcPr>
                  <w:tcW w:w="593" w:type="pct"/>
                  <w:noWrap w:val="0"/>
                  <w:vAlign w:val="center"/>
                </w:tcPr>
                <w:p w14:paraId="3B8D5416">
                  <w:pPr>
                    <w:pStyle w:val="5"/>
                    <w:bidi w:val="0"/>
                    <w:rPr>
                      <w:rFonts w:hint="default"/>
                      <w:color w:val="auto"/>
                      <w:lang w:val="en-US" w:eastAsia="zh-CN"/>
                    </w:rPr>
                  </w:pPr>
                  <w:r>
                    <w:rPr>
                      <w:rFonts w:hint="eastAsia"/>
                      <w:color w:val="auto"/>
                      <w:lang w:val="en-US" w:eastAsia="zh-CN"/>
                    </w:rPr>
                    <w:t>1</w:t>
                  </w:r>
                </w:p>
              </w:tc>
              <w:tc>
                <w:tcPr>
                  <w:tcW w:w="749" w:type="pct"/>
                  <w:noWrap w:val="0"/>
                  <w:vAlign w:val="center"/>
                </w:tcPr>
                <w:p w14:paraId="178E6730">
                  <w:pPr>
                    <w:pStyle w:val="5"/>
                    <w:bidi w:val="0"/>
                    <w:rPr>
                      <w:rFonts w:hint="eastAsia"/>
                      <w:color w:val="auto"/>
                      <w:lang w:val="en-US" w:eastAsia="zh-CN"/>
                    </w:rPr>
                  </w:pPr>
                  <w:r>
                    <w:rPr>
                      <w:rFonts w:hint="eastAsia"/>
                      <w:color w:val="auto"/>
                      <w:lang w:val="en-US" w:eastAsia="zh-CN"/>
                    </w:rPr>
                    <w:t>1</w:t>
                  </w:r>
                </w:p>
              </w:tc>
              <w:tc>
                <w:tcPr>
                  <w:tcW w:w="1257" w:type="pct"/>
                  <w:noWrap w:val="0"/>
                  <w:vAlign w:val="center"/>
                </w:tcPr>
                <w:p w14:paraId="370B3371">
                  <w:pPr>
                    <w:pStyle w:val="5"/>
                    <w:bidi w:val="0"/>
                    <w:rPr>
                      <w:rFonts w:hint="eastAsia"/>
                      <w:color w:val="auto"/>
                    </w:rPr>
                  </w:pPr>
                  <w:r>
                    <w:rPr>
                      <w:rFonts w:hint="eastAsia"/>
                      <w:color w:val="auto"/>
                      <w:lang w:val="en-US" w:eastAsia="zh-CN"/>
                    </w:rPr>
                    <w:t>袋装，50kg</w:t>
                  </w:r>
                </w:p>
              </w:tc>
              <w:tc>
                <w:tcPr>
                  <w:tcW w:w="704" w:type="pct"/>
                  <w:vMerge w:val="continue"/>
                  <w:noWrap w:val="0"/>
                  <w:vAlign w:val="center"/>
                </w:tcPr>
                <w:p w14:paraId="38683CD4">
                  <w:pPr>
                    <w:pStyle w:val="5"/>
                    <w:bidi w:val="0"/>
                    <w:rPr>
                      <w:color w:val="auto"/>
                    </w:rPr>
                  </w:pPr>
                </w:p>
              </w:tc>
            </w:tr>
            <w:tr w14:paraId="1674B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6" w:hRule="atLeast"/>
                <w:jc w:val="center"/>
              </w:trPr>
              <w:tc>
                <w:tcPr>
                  <w:tcW w:w="350" w:type="pct"/>
                  <w:noWrap w:val="0"/>
                  <w:vAlign w:val="center"/>
                </w:tcPr>
                <w:p w14:paraId="032D0E06">
                  <w:pPr>
                    <w:pStyle w:val="5"/>
                    <w:bidi w:val="0"/>
                    <w:rPr>
                      <w:rFonts w:hint="default"/>
                      <w:color w:val="auto"/>
                      <w:lang w:val="en-US" w:eastAsia="zh-CN"/>
                    </w:rPr>
                  </w:pPr>
                  <w:r>
                    <w:rPr>
                      <w:rFonts w:hint="eastAsia"/>
                      <w:color w:val="auto"/>
                      <w:lang w:val="en-US" w:eastAsia="zh-CN"/>
                    </w:rPr>
                    <w:t>15</w:t>
                  </w:r>
                </w:p>
              </w:tc>
              <w:tc>
                <w:tcPr>
                  <w:tcW w:w="928" w:type="pct"/>
                  <w:gridSpan w:val="2"/>
                  <w:noWrap w:val="0"/>
                  <w:vAlign w:val="center"/>
                </w:tcPr>
                <w:p w14:paraId="69F73A56">
                  <w:pPr>
                    <w:pStyle w:val="5"/>
                    <w:bidi w:val="0"/>
                    <w:rPr>
                      <w:rFonts w:hint="eastAsia"/>
                      <w:color w:val="auto"/>
                    </w:rPr>
                  </w:pPr>
                  <w:r>
                    <w:rPr>
                      <w:rFonts w:hint="eastAsia"/>
                      <w:color w:val="auto"/>
                    </w:rPr>
                    <w:t>润滑油</w:t>
                  </w:r>
                </w:p>
              </w:tc>
              <w:tc>
                <w:tcPr>
                  <w:tcW w:w="416" w:type="pct"/>
                  <w:noWrap w:val="0"/>
                  <w:vAlign w:val="center"/>
                </w:tcPr>
                <w:p w14:paraId="457345EF">
                  <w:pPr>
                    <w:pStyle w:val="5"/>
                    <w:bidi w:val="0"/>
                    <w:rPr>
                      <w:color w:val="auto"/>
                    </w:rPr>
                  </w:pPr>
                  <w:r>
                    <w:rPr>
                      <w:rFonts w:hint="eastAsia"/>
                      <w:color w:val="auto"/>
                    </w:rPr>
                    <w:t>吨</w:t>
                  </w:r>
                </w:p>
              </w:tc>
              <w:tc>
                <w:tcPr>
                  <w:tcW w:w="593" w:type="pct"/>
                  <w:noWrap w:val="0"/>
                  <w:vAlign w:val="center"/>
                </w:tcPr>
                <w:p w14:paraId="76D40E6A">
                  <w:pPr>
                    <w:pStyle w:val="5"/>
                    <w:bidi w:val="0"/>
                    <w:rPr>
                      <w:rFonts w:hint="default" w:eastAsia="宋体"/>
                      <w:color w:val="auto"/>
                      <w:lang w:val="en-US" w:eastAsia="zh-CN"/>
                    </w:rPr>
                  </w:pPr>
                  <w:r>
                    <w:rPr>
                      <w:rFonts w:hint="eastAsia"/>
                      <w:color w:val="auto"/>
                      <w:lang w:val="en-US" w:eastAsia="zh-CN"/>
                    </w:rPr>
                    <w:t>0.3</w:t>
                  </w:r>
                </w:p>
              </w:tc>
              <w:tc>
                <w:tcPr>
                  <w:tcW w:w="749" w:type="pct"/>
                  <w:noWrap w:val="0"/>
                  <w:vAlign w:val="center"/>
                </w:tcPr>
                <w:p w14:paraId="7A6FF516">
                  <w:pPr>
                    <w:pStyle w:val="5"/>
                    <w:bidi w:val="0"/>
                    <w:rPr>
                      <w:color w:val="auto"/>
                    </w:rPr>
                  </w:pPr>
                  <w:r>
                    <w:rPr>
                      <w:rFonts w:hint="eastAsia"/>
                      <w:color w:val="auto"/>
                    </w:rPr>
                    <w:t>0.1</w:t>
                  </w:r>
                </w:p>
              </w:tc>
              <w:tc>
                <w:tcPr>
                  <w:tcW w:w="1257" w:type="pct"/>
                  <w:noWrap w:val="0"/>
                  <w:vAlign w:val="center"/>
                </w:tcPr>
                <w:p w14:paraId="295DC7A5">
                  <w:pPr>
                    <w:pStyle w:val="5"/>
                    <w:bidi w:val="0"/>
                    <w:rPr>
                      <w:color w:val="auto"/>
                    </w:rPr>
                  </w:pPr>
                  <w:r>
                    <w:rPr>
                      <w:rFonts w:hint="eastAsia"/>
                      <w:color w:val="auto"/>
                    </w:rPr>
                    <w:t>25kg/桶</w:t>
                  </w:r>
                </w:p>
              </w:tc>
              <w:tc>
                <w:tcPr>
                  <w:tcW w:w="704" w:type="pct"/>
                  <w:noWrap w:val="0"/>
                  <w:vAlign w:val="center"/>
                </w:tcPr>
                <w:p w14:paraId="61A9B54A">
                  <w:pPr>
                    <w:pStyle w:val="5"/>
                    <w:bidi w:val="0"/>
                    <w:rPr>
                      <w:rFonts w:hint="eastAsia"/>
                      <w:color w:val="auto"/>
                    </w:rPr>
                  </w:pPr>
                  <w:r>
                    <w:rPr>
                      <w:rFonts w:hint="eastAsia"/>
                      <w:color w:val="auto"/>
                    </w:rPr>
                    <w:t>化学品库</w:t>
                  </w:r>
                </w:p>
              </w:tc>
            </w:tr>
            <w:tr w14:paraId="32286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2" w:hRule="atLeast"/>
                <w:jc w:val="center"/>
              </w:trPr>
              <w:tc>
                <w:tcPr>
                  <w:tcW w:w="350" w:type="pct"/>
                  <w:noWrap w:val="0"/>
                  <w:vAlign w:val="center"/>
                </w:tcPr>
                <w:p w14:paraId="4D2DEFAE">
                  <w:pPr>
                    <w:pStyle w:val="5"/>
                    <w:bidi w:val="0"/>
                    <w:rPr>
                      <w:rFonts w:hint="default"/>
                      <w:color w:val="auto"/>
                      <w:lang w:val="en-US" w:eastAsia="zh-CN"/>
                    </w:rPr>
                  </w:pPr>
                  <w:r>
                    <w:rPr>
                      <w:rFonts w:hint="eastAsia"/>
                      <w:color w:val="auto"/>
                      <w:lang w:val="en-US" w:eastAsia="zh-CN"/>
                    </w:rPr>
                    <w:t>16</w:t>
                  </w:r>
                </w:p>
              </w:tc>
              <w:tc>
                <w:tcPr>
                  <w:tcW w:w="928" w:type="pct"/>
                  <w:gridSpan w:val="2"/>
                  <w:noWrap w:val="0"/>
                  <w:vAlign w:val="center"/>
                </w:tcPr>
                <w:p w14:paraId="477E48E0">
                  <w:pPr>
                    <w:pStyle w:val="5"/>
                    <w:bidi w:val="0"/>
                    <w:rPr>
                      <w:rFonts w:hint="eastAsia"/>
                      <w:color w:val="auto"/>
                    </w:rPr>
                  </w:pPr>
                  <w:r>
                    <w:rPr>
                      <w:rFonts w:hint="eastAsia"/>
                      <w:color w:val="auto"/>
                    </w:rPr>
                    <w:t>水</w:t>
                  </w:r>
                </w:p>
              </w:tc>
              <w:tc>
                <w:tcPr>
                  <w:tcW w:w="416" w:type="pct"/>
                  <w:noWrap w:val="0"/>
                  <w:vAlign w:val="center"/>
                </w:tcPr>
                <w:p w14:paraId="28CDEE0D">
                  <w:pPr>
                    <w:pStyle w:val="5"/>
                    <w:bidi w:val="0"/>
                    <w:rPr>
                      <w:color w:val="auto"/>
                    </w:rPr>
                  </w:pPr>
                  <w:r>
                    <w:rPr>
                      <w:rFonts w:hint="eastAsia"/>
                      <w:color w:val="auto"/>
                    </w:rPr>
                    <w:t>t/a</w:t>
                  </w:r>
                </w:p>
              </w:tc>
              <w:tc>
                <w:tcPr>
                  <w:tcW w:w="593" w:type="pct"/>
                  <w:noWrap w:val="0"/>
                  <w:vAlign w:val="center"/>
                </w:tcPr>
                <w:p w14:paraId="579690B6">
                  <w:pPr>
                    <w:pStyle w:val="5"/>
                    <w:bidi w:val="0"/>
                    <w:rPr>
                      <w:rFonts w:hint="default" w:eastAsia="宋体"/>
                      <w:color w:val="auto"/>
                      <w:lang w:val="en-US" w:eastAsia="zh-CN"/>
                    </w:rPr>
                  </w:pPr>
                  <w:r>
                    <w:rPr>
                      <w:rFonts w:hint="eastAsia"/>
                      <w:color w:val="auto"/>
                      <w:lang w:val="en-US" w:eastAsia="zh-CN"/>
                    </w:rPr>
                    <w:t>2454</w:t>
                  </w:r>
                </w:p>
              </w:tc>
              <w:tc>
                <w:tcPr>
                  <w:tcW w:w="749" w:type="pct"/>
                  <w:noWrap w:val="0"/>
                  <w:vAlign w:val="center"/>
                </w:tcPr>
                <w:p w14:paraId="19F7D536">
                  <w:pPr>
                    <w:pStyle w:val="5"/>
                    <w:bidi w:val="0"/>
                    <w:rPr>
                      <w:color w:val="auto"/>
                    </w:rPr>
                  </w:pPr>
                  <w:r>
                    <w:rPr>
                      <w:rFonts w:hint="eastAsia"/>
                      <w:color w:val="auto"/>
                    </w:rPr>
                    <w:t>2454</w:t>
                  </w:r>
                </w:p>
              </w:tc>
              <w:tc>
                <w:tcPr>
                  <w:tcW w:w="1257" w:type="pct"/>
                  <w:vMerge w:val="restart"/>
                  <w:noWrap w:val="0"/>
                  <w:vAlign w:val="center"/>
                </w:tcPr>
                <w:p w14:paraId="4E707666">
                  <w:pPr>
                    <w:pStyle w:val="5"/>
                    <w:bidi w:val="0"/>
                    <w:rPr>
                      <w:color w:val="auto"/>
                    </w:rPr>
                  </w:pPr>
                  <w:r>
                    <w:rPr>
                      <w:rFonts w:hint="eastAsia"/>
                      <w:color w:val="auto"/>
                    </w:rPr>
                    <w:t>/</w:t>
                  </w:r>
                </w:p>
              </w:tc>
              <w:tc>
                <w:tcPr>
                  <w:tcW w:w="704" w:type="pct"/>
                  <w:vMerge w:val="restart"/>
                  <w:noWrap w:val="0"/>
                  <w:vAlign w:val="center"/>
                </w:tcPr>
                <w:p w14:paraId="1362832E">
                  <w:pPr>
                    <w:pStyle w:val="5"/>
                    <w:bidi w:val="0"/>
                    <w:rPr>
                      <w:color w:val="auto"/>
                    </w:rPr>
                  </w:pPr>
                  <w:r>
                    <w:rPr>
                      <w:rFonts w:hint="eastAsia"/>
                      <w:color w:val="auto"/>
                    </w:rPr>
                    <w:t>/</w:t>
                  </w:r>
                </w:p>
              </w:tc>
            </w:tr>
            <w:tr w14:paraId="3654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50" w:type="pct"/>
                  <w:noWrap w:val="0"/>
                  <w:vAlign w:val="center"/>
                </w:tcPr>
                <w:p w14:paraId="2FEFA636">
                  <w:pPr>
                    <w:pStyle w:val="5"/>
                    <w:bidi w:val="0"/>
                    <w:rPr>
                      <w:rFonts w:hint="default"/>
                      <w:color w:val="auto"/>
                      <w:lang w:val="en-US" w:eastAsia="zh-CN"/>
                    </w:rPr>
                  </w:pPr>
                  <w:r>
                    <w:rPr>
                      <w:rFonts w:hint="eastAsia"/>
                      <w:color w:val="auto"/>
                      <w:lang w:val="en-US" w:eastAsia="zh-CN"/>
                    </w:rPr>
                    <w:t>17</w:t>
                  </w:r>
                </w:p>
              </w:tc>
              <w:tc>
                <w:tcPr>
                  <w:tcW w:w="928" w:type="pct"/>
                  <w:gridSpan w:val="2"/>
                  <w:noWrap w:val="0"/>
                  <w:vAlign w:val="center"/>
                </w:tcPr>
                <w:p w14:paraId="45A26D61">
                  <w:pPr>
                    <w:pStyle w:val="5"/>
                    <w:bidi w:val="0"/>
                    <w:rPr>
                      <w:rFonts w:hint="eastAsia"/>
                      <w:color w:val="auto"/>
                    </w:rPr>
                  </w:pPr>
                  <w:r>
                    <w:rPr>
                      <w:rFonts w:hint="eastAsia"/>
                      <w:color w:val="auto"/>
                    </w:rPr>
                    <w:t>电</w:t>
                  </w:r>
                </w:p>
              </w:tc>
              <w:tc>
                <w:tcPr>
                  <w:tcW w:w="416" w:type="pct"/>
                  <w:noWrap w:val="0"/>
                  <w:vAlign w:val="center"/>
                </w:tcPr>
                <w:p w14:paraId="105BF13C">
                  <w:pPr>
                    <w:pStyle w:val="5"/>
                    <w:bidi w:val="0"/>
                    <w:rPr>
                      <w:color w:val="auto"/>
                    </w:rPr>
                  </w:pPr>
                  <w:r>
                    <w:rPr>
                      <w:rFonts w:hint="eastAsia"/>
                      <w:color w:val="auto"/>
                    </w:rPr>
                    <w:t>Kw</w:t>
                  </w:r>
                  <w:r>
                    <w:rPr>
                      <w:rFonts w:hint="default" w:ascii="Times New Roman" w:hAnsi="Times New Roman" w:cs="Times New Roman"/>
                      <w:color w:val="auto"/>
                      <w:lang w:val="en-US" w:eastAsia="zh-CN"/>
                    </w:rPr>
                    <w:t>·</w:t>
                  </w:r>
                  <w:r>
                    <w:rPr>
                      <w:rFonts w:hint="eastAsia"/>
                      <w:color w:val="auto"/>
                    </w:rPr>
                    <w:t>h</w:t>
                  </w:r>
                </w:p>
              </w:tc>
              <w:tc>
                <w:tcPr>
                  <w:tcW w:w="593" w:type="pct"/>
                  <w:noWrap w:val="0"/>
                  <w:vAlign w:val="center"/>
                </w:tcPr>
                <w:p w14:paraId="05E6EA59">
                  <w:pPr>
                    <w:pStyle w:val="5"/>
                    <w:bidi w:val="0"/>
                    <w:rPr>
                      <w:rFonts w:hint="default" w:eastAsia="宋体"/>
                      <w:color w:val="auto"/>
                      <w:lang w:val="en-US" w:eastAsia="zh-CN"/>
                    </w:rPr>
                  </w:pPr>
                  <w:r>
                    <w:rPr>
                      <w:rFonts w:hint="eastAsia"/>
                      <w:color w:val="auto"/>
                      <w:lang w:val="en-US" w:eastAsia="zh-CN"/>
                    </w:rPr>
                    <w:t>100000</w:t>
                  </w:r>
                </w:p>
              </w:tc>
              <w:tc>
                <w:tcPr>
                  <w:tcW w:w="749" w:type="pct"/>
                  <w:noWrap w:val="0"/>
                  <w:vAlign w:val="center"/>
                </w:tcPr>
                <w:p w14:paraId="472C0393">
                  <w:pPr>
                    <w:pStyle w:val="5"/>
                    <w:bidi w:val="0"/>
                    <w:rPr>
                      <w:color w:val="auto"/>
                    </w:rPr>
                  </w:pPr>
                  <w:r>
                    <w:rPr>
                      <w:rFonts w:hint="eastAsia"/>
                      <w:color w:val="auto"/>
                    </w:rPr>
                    <w:t>100000</w:t>
                  </w:r>
                </w:p>
              </w:tc>
              <w:tc>
                <w:tcPr>
                  <w:tcW w:w="1257" w:type="pct"/>
                  <w:vMerge w:val="continue"/>
                  <w:noWrap w:val="0"/>
                  <w:vAlign w:val="center"/>
                </w:tcPr>
                <w:p w14:paraId="24F2DD7D">
                  <w:pPr>
                    <w:pStyle w:val="5"/>
                    <w:bidi w:val="0"/>
                    <w:rPr>
                      <w:rFonts w:hint="eastAsia"/>
                      <w:color w:val="auto"/>
                    </w:rPr>
                  </w:pPr>
                </w:p>
              </w:tc>
              <w:tc>
                <w:tcPr>
                  <w:tcW w:w="704" w:type="pct"/>
                  <w:vMerge w:val="continue"/>
                  <w:noWrap w:val="0"/>
                  <w:vAlign w:val="center"/>
                </w:tcPr>
                <w:p w14:paraId="437CC97A">
                  <w:pPr>
                    <w:pStyle w:val="5"/>
                    <w:bidi w:val="0"/>
                    <w:rPr>
                      <w:rFonts w:hint="eastAsia"/>
                      <w:color w:val="auto"/>
                    </w:rPr>
                  </w:pPr>
                </w:p>
              </w:tc>
            </w:tr>
            <w:tr w14:paraId="7536B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 w:hRule="atLeast"/>
                <w:jc w:val="center"/>
              </w:trPr>
              <w:tc>
                <w:tcPr>
                  <w:tcW w:w="350" w:type="pct"/>
                  <w:noWrap w:val="0"/>
                  <w:vAlign w:val="center"/>
                </w:tcPr>
                <w:p w14:paraId="28D2A219">
                  <w:pPr>
                    <w:pStyle w:val="5"/>
                    <w:bidi w:val="0"/>
                    <w:rPr>
                      <w:rFonts w:hint="default"/>
                      <w:color w:val="auto"/>
                      <w:lang w:val="en-US" w:eastAsia="zh-CN"/>
                    </w:rPr>
                  </w:pPr>
                  <w:r>
                    <w:rPr>
                      <w:rFonts w:hint="eastAsia"/>
                      <w:color w:val="auto"/>
                      <w:lang w:val="en-US" w:eastAsia="zh-CN"/>
                    </w:rPr>
                    <w:t>18</w:t>
                  </w:r>
                </w:p>
              </w:tc>
              <w:tc>
                <w:tcPr>
                  <w:tcW w:w="928" w:type="pct"/>
                  <w:gridSpan w:val="2"/>
                  <w:noWrap w:val="0"/>
                  <w:vAlign w:val="center"/>
                </w:tcPr>
                <w:p w14:paraId="75AE633F">
                  <w:pPr>
                    <w:pStyle w:val="5"/>
                    <w:bidi w:val="0"/>
                    <w:rPr>
                      <w:rFonts w:hint="eastAsia"/>
                      <w:color w:val="auto"/>
                    </w:rPr>
                  </w:pPr>
                  <w:r>
                    <w:rPr>
                      <w:rFonts w:hint="eastAsia"/>
                      <w:color w:val="auto"/>
                    </w:rPr>
                    <w:t>天然气</w:t>
                  </w:r>
                </w:p>
              </w:tc>
              <w:tc>
                <w:tcPr>
                  <w:tcW w:w="416" w:type="pct"/>
                  <w:noWrap w:val="0"/>
                  <w:vAlign w:val="center"/>
                </w:tcPr>
                <w:p w14:paraId="3DBB8321">
                  <w:pPr>
                    <w:pStyle w:val="5"/>
                    <w:bidi w:val="0"/>
                    <w:rPr>
                      <w:color w:val="auto"/>
                    </w:rPr>
                  </w:pPr>
                  <w:r>
                    <w:rPr>
                      <w:rFonts w:hint="eastAsia"/>
                      <w:color w:val="auto"/>
                    </w:rPr>
                    <w:t>Nm</w:t>
                  </w:r>
                  <w:r>
                    <w:rPr>
                      <w:rFonts w:hint="eastAsia"/>
                      <w:color w:val="auto"/>
                      <w:vertAlign w:val="superscript"/>
                    </w:rPr>
                    <w:t>3</w:t>
                  </w:r>
                  <w:r>
                    <w:rPr>
                      <w:rFonts w:hint="eastAsia"/>
                      <w:color w:val="auto"/>
                    </w:rPr>
                    <w:t>/a</w:t>
                  </w:r>
                </w:p>
              </w:tc>
              <w:tc>
                <w:tcPr>
                  <w:tcW w:w="593" w:type="pct"/>
                  <w:noWrap w:val="0"/>
                  <w:vAlign w:val="center"/>
                </w:tcPr>
                <w:p w14:paraId="6BBC5595">
                  <w:pPr>
                    <w:pStyle w:val="5"/>
                    <w:bidi w:val="0"/>
                    <w:rPr>
                      <w:rFonts w:hint="default" w:eastAsia="宋体"/>
                      <w:color w:val="auto"/>
                      <w:lang w:val="en-US" w:eastAsia="zh-CN"/>
                    </w:rPr>
                  </w:pPr>
                  <w:r>
                    <w:rPr>
                      <w:rFonts w:hint="eastAsia"/>
                      <w:color w:val="auto"/>
                      <w:lang w:val="en-US" w:eastAsia="zh-CN"/>
                    </w:rPr>
                    <w:t>57880</w:t>
                  </w:r>
                </w:p>
              </w:tc>
              <w:tc>
                <w:tcPr>
                  <w:tcW w:w="749" w:type="pct"/>
                  <w:noWrap w:val="0"/>
                  <w:vAlign w:val="center"/>
                </w:tcPr>
                <w:p w14:paraId="4AD08450">
                  <w:pPr>
                    <w:pStyle w:val="5"/>
                    <w:bidi w:val="0"/>
                    <w:rPr>
                      <w:color w:val="auto"/>
                    </w:rPr>
                  </w:pPr>
                  <w:r>
                    <w:rPr>
                      <w:rFonts w:hint="eastAsia"/>
                      <w:color w:val="auto"/>
                    </w:rPr>
                    <w:t>57880</w:t>
                  </w:r>
                </w:p>
              </w:tc>
              <w:tc>
                <w:tcPr>
                  <w:tcW w:w="1257" w:type="pct"/>
                  <w:vMerge w:val="continue"/>
                  <w:noWrap w:val="0"/>
                  <w:vAlign w:val="center"/>
                </w:tcPr>
                <w:p w14:paraId="72CDB570">
                  <w:pPr>
                    <w:pStyle w:val="5"/>
                    <w:bidi w:val="0"/>
                    <w:rPr>
                      <w:rFonts w:hint="eastAsia"/>
                      <w:color w:val="auto"/>
                    </w:rPr>
                  </w:pPr>
                </w:p>
              </w:tc>
              <w:tc>
                <w:tcPr>
                  <w:tcW w:w="704" w:type="pct"/>
                  <w:vMerge w:val="continue"/>
                  <w:noWrap w:val="0"/>
                  <w:vAlign w:val="center"/>
                </w:tcPr>
                <w:p w14:paraId="0140C038">
                  <w:pPr>
                    <w:pStyle w:val="5"/>
                    <w:bidi w:val="0"/>
                    <w:rPr>
                      <w:rFonts w:hint="eastAsia"/>
                      <w:color w:val="auto"/>
                    </w:rPr>
                  </w:pPr>
                </w:p>
              </w:tc>
            </w:tr>
          </w:tbl>
          <w:p w14:paraId="270095AC">
            <w:pPr>
              <w:keepNext w:val="0"/>
              <w:keepLines w:val="0"/>
              <w:pageBreakBefore w:val="0"/>
              <w:widowControl/>
              <w:kinsoku/>
              <w:wordWrap/>
              <w:overflowPunct/>
              <w:topLinePunct w:val="0"/>
              <w:autoSpaceDE/>
              <w:autoSpaceDN/>
              <w:bidi w:val="0"/>
              <w:adjustRightInd w:val="0"/>
              <w:snapToGrid w:val="0"/>
              <w:spacing w:before="181" w:beforeLines="50"/>
              <w:textAlignment w:val="auto"/>
              <w:rPr>
                <w:rFonts w:hint="default"/>
                <w:b/>
                <w:bCs/>
                <w:color w:val="auto"/>
                <w:lang w:val="en-US" w:eastAsia="zh-CN"/>
              </w:rPr>
            </w:pPr>
            <w:r>
              <w:rPr>
                <w:rFonts w:hint="eastAsia"/>
                <w:b/>
                <w:bCs/>
                <w:color w:val="auto"/>
                <w:lang w:val="en-US" w:eastAsia="zh-CN"/>
              </w:rPr>
              <w:t>8、水平衡</w:t>
            </w:r>
          </w:p>
          <w:p w14:paraId="05398813">
            <w:pPr>
              <w:spacing w:line="360" w:lineRule="auto"/>
              <w:ind w:firstLine="482" w:firstLineChars="200"/>
              <w:rPr>
                <w:rFonts w:hint="eastAsia"/>
                <w:b/>
                <w:bCs/>
                <w:color w:val="auto"/>
                <w:sz w:val="24"/>
                <w:highlight w:val="none"/>
              </w:rPr>
            </w:pPr>
            <w:r>
              <w:rPr>
                <w:rFonts w:hint="eastAsia"/>
                <w:b/>
                <w:bCs/>
                <w:color w:val="auto"/>
                <w:sz w:val="24"/>
                <w:highlight w:val="none"/>
              </w:rPr>
              <w:t>用水分析</w:t>
            </w:r>
          </w:p>
          <w:p w14:paraId="446EE3C5">
            <w:pPr>
              <w:keepNext w:val="0"/>
              <w:keepLines w:val="0"/>
              <w:pageBreakBefore w:val="0"/>
              <w:widowControl w:val="0"/>
              <w:kinsoku/>
              <w:wordWrap/>
              <w:overflowPunct/>
              <w:topLinePunct w:val="0"/>
              <w:bidi w:val="0"/>
              <w:snapToGrid w:val="0"/>
              <w:spacing w:line="360" w:lineRule="auto"/>
              <w:ind w:firstLine="480" w:firstLineChars="200"/>
              <w:textAlignment w:val="auto"/>
              <w:rPr>
                <w:color w:val="auto"/>
                <w:sz w:val="24"/>
                <w:highlight w:val="none"/>
              </w:rPr>
            </w:pPr>
            <w:r>
              <w:rPr>
                <w:color w:val="auto"/>
                <w:sz w:val="24"/>
                <w:highlight w:val="none"/>
              </w:rPr>
              <w:t>使用成品水性漆，不需调配，因此</w:t>
            </w:r>
            <w:r>
              <w:rPr>
                <w:rFonts w:hint="eastAsia"/>
                <w:color w:val="auto"/>
                <w:sz w:val="24"/>
                <w:highlight w:val="none"/>
                <w:lang w:eastAsia="zh-CN"/>
              </w:rPr>
              <w:t>本项目</w:t>
            </w:r>
            <w:r>
              <w:rPr>
                <w:color w:val="auto"/>
                <w:sz w:val="24"/>
                <w:highlight w:val="none"/>
              </w:rPr>
              <w:t>用水主要为脱脂表调磷化用水、水帘用水以及职工生活用水。用水及排水情况分析如下：</w:t>
            </w:r>
          </w:p>
          <w:p w14:paraId="15A768D1">
            <w:pPr>
              <w:keepNext w:val="0"/>
              <w:keepLines w:val="0"/>
              <w:pageBreakBefore w:val="0"/>
              <w:widowControl w:val="0"/>
              <w:kinsoku/>
              <w:wordWrap/>
              <w:overflowPunct/>
              <w:topLinePunct w:val="0"/>
              <w:bidi w:val="0"/>
              <w:snapToGrid w:val="0"/>
              <w:spacing w:line="360" w:lineRule="auto"/>
              <w:ind w:firstLine="480" w:firstLineChars="200"/>
              <w:jc w:val="left"/>
              <w:textAlignment w:val="auto"/>
              <w:rPr>
                <w:color w:val="auto"/>
                <w:sz w:val="24"/>
                <w:highlight w:val="none"/>
              </w:rPr>
            </w:pPr>
            <w:r>
              <w:rPr>
                <w:color w:val="auto"/>
                <w:sz w:val="24"/>
                <w:highlight w:val="none"/>
              </w:rPr>
              <w:t>①职工生活用水</w:t>
            </w:r>
          </w:p>
          <w:p w14:paraId="7611B375">
            <w:pPr>
              <w:keepNext w:val="0"/>
              <w:keepLines w:val="0"/>
              <w:pageBreakBefore w:val="0"/>
              <w:widowControl w:val="0"/>
              <w:kinsoku/>
              <w:wordWrap/>
              <w:overflowPunct/>
              <w:topLinePunct w:val="0"/>
              <w:bidi w:val="0"/>
              <w:snapToGrid w:val="0"/>
              <w:spacing w:line="360" w:lineRule="auto"/>
              <w:ind w:firstLine="480" w:firstLineChars="200"/>
              <w:jc w:val="left"/>
              <w:textAlignment w:val="auto"/>
              <w:rPr>
                <w:color w:val="auto"/>
                <w:sz w:val="24"/>
                <w:highlight w:val="none"/>
              </w:rPr>
            </w:pPr>
            <w:r>
              <w:rPr>
                <w:rFonts w:hint="eastAsia"/>
                <w:color w:val="auto"/>
                <w:sz w:val="24"/>
                <w:highlight w:val="none"/>
                <w:lang w:eastAsia="zh-CN"/>
              </w:rPr>
              <w:t>本项目</w:t>
            </w:r>
            <w:r>
              <w:rPr>
                <w:color w:val="auto"/>
                <w:sz w:val="24"/>
                <w:highlight w:val="none"/>
              </w:rPr>
              <w:t>员工16人，厂区设置食堂，不设置住宿，员工均为本地人，回家住宿。职工用水量为1.6t/d，480t/a，则生活废水产生量为1.28t/d，384t/a。</w:t>
            </w:r>
          </w:p>
          <w:p w14:paraId="38C3D0D8">
            <w:pPr>
              <w:keepNext w:val="0"/>
              <w:keepLines w:val="0"/>
              <w:pageBreakBefore w:val="0"/>
              <w:widowControl w:val="0"/>
              <w:kinsoku/>
              <w:wordWrap/>
              <w:overflowPunct/>
              <w:topLinePunct w:val="0"/>
              <w:bidi w:val="0"/>
              <w:snapToGrid w:val="0"/>
              <w:spacing w:line="360" w:lineRule="auto"/>
              <w:ind w:firstLine="480" w:firstLineChars="200"/>
              <w:jc w:val="left"/>
              <w:textAlignment w:val="auto"/>
              <w:rPr>
                <w:rFonts w:hint="eastAsia"/>
                <w:color w:val="auto"/>
                <w:sz w:val="24"/>
                <w:highlight w:val="none"/>
                <w:lang w:eastAsia="zh-CN"/>
              </w:rPr>
            </w:pPr>
            <w:r>
              <w:rPr>
                <w:color w:val="auto"/>
                <w:sz w:val="24"/>
                <w:highlight w:val="none"/>
              </w:rPr>
              <w:t>②脱脂</w:t>
            </w:r>
            <w:r>
              <w:rPr>
                <w:rFonts w:hint="eastAsia"/>
                <w:color w:val="auto"/>
                <w:sz w:val="24"/>
                <w:highlight w:val="none"/>
                <w:lang w:eastAsia="zh-CN"/>
              </w:rPr>
              <w:t>调配用水</w:t>
            </w:r>
          </w:p>
          <w:p w14:paraId="59E4EEF6">
            <w:pPr>
              <w:keepNext w:val="0"/>
              <w:keepLines w:val="0"/>
              <w:pageBreakBefore w:val="0"/>
              <w:widowControl w:val="0"/>
              <w:kinsoku/>
              <w:wordWrap/>
              <w:overflowPunct/>
              <w:topLinePunct w:val="0"/>
              <w:bidi w:val="0"/>
              <w:snapToGrid w:val="0"/>
              <w:spacing w:line="360" w:lineRule="auto"/>
              <w:ind w:firstLine="480" w:firstLineChars="200"/>
              <w:jc w:val="left"/>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脱脂调配用水为3.0m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vertAlign w:val="baseline"/>
                <w:lang w:val="en-US" w:eastAsia="zh-CN"/>
              </w:rPr>
              <w:t>/次（6.0m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vertAlign w:val="baseline"/>
                <w:lang w:val="en-US" w:eastAsia="zh-CN"/>
              </w:rPr>
              <w:t>/a），脱脂剂用量为0.3</w:t>
            </w:r>
            <w:r>
              <w:rPr>
                <w:rFonts w:hint="eastAsia" w:ascii="Times New Roman" w:hAnsi="Times New Roman" w:eastAsia="宋体" w:cs="Times New Roman"/>
                <w:color w:val="auto"/>
                <w:sz w:val="24"/>
                <w:szCs w:val="24"/>
                <w:highlight w:val="none"/>
                <w:lang w:val="en-US" w:eastAsia="zh-CN"/>
              </w:rPr>
              <w:t>t</w:t>
            </w:r>
            <w:r>
              <w:rPr>
                <w:rFonts w:hint="eastAsia" w:ascii="Times New Roman" w:hAnsi="Times New Roman" w:eastAsia="宋体" w:cs="Times New Roman"/>
                <w:color w:val="auto"/>
                <w:sz w:val="24"/>
                <w:szCs w:val="24"/>
                <w:highlight w:val="none"/>
                <w:vertAlign w:val="baseline"/>
                <w:lang w:val="en-US" w:eastAsia="zh-CN"/>
              </w:rPr>
              <w:t>/次（0.6t/a）。</w:t>
            </w:r>
            <w:r>
              <w:rPr>
                <w:rFonts w:hint="eastAsia" w:ascii="Times New Roman" w:hAnsi="Times New Roman" w:eastAsia="宋体" w:cs="Times New Roman"/>
                <w:b w:val="0"/>
                <w:bCs w:val="0"/>
                <w:color w:val="auto"/>
                <w:sz w:val="24"/>
                <w:szCs w:val="24"/>
                <w:highlight w:val="none"/>
              </w:rPr>
              <w:t>处理过程中每日损耗率约10%，因损耗补充</w:t>
            </w:r>
            <w:r>
              <w:rPr>
                <w:rFonts w:hint="eastAsia" w:cs="Times New Roman"/>
                <w:b w:val="0"/>
                <w:bCs w:val="0"/>
                <w:color w:val="auto"/>
                <w:sz w:val="24"/>
                <w:szCs w:val="24"/>
                <w:highlight w:val="none"/>
                <w:lang w:eastAsia="zh-CN"/>
              </w:rPr>
              <w:t>槽液量为</w:t>
            </w:r>
            <w:r>
              <w:rPr>
                <w:rFonts w:hint="eastAsia" w:cs="Times New Roman"/>
                <w:b w:val="0"/>
                <w:bCs w:val="0"/>
                <w:color w:val="auto"/>
                <w:sz w:val="24"/>
                <w:szCs w:val="24"/>
                <w:highlight w:val="none"/>
                <w:lang w:val="en-US" w:eastAsia="zh-CN"/>
              </w:rPr>
              <w:t>0.3</w:t>
            </w:r>
            <w:r>
              <w:rPr>
                <w:rFonts w:hint="default" w:ascii="Times New Roman" w:hAnsi="Times New Roman" w:cs="Times New Roman"/>
                <w:b w:val="0"/>
                <w:bCs w:val="0"/>
                <w:color w:val="auto"/>
                <w:sz w:val="24"/>
                <w:szCs w:val="24"/>
                <w:highlight w:val="none"/>
                <w:lang w:val="en-US" w:eastAsia="zh-CN"/>
              </w:rPr>
              <w:t>m</w:t>
            </w:r>
            <w:r>
              <w:rPr>
                <w:rFonts w:hint="default" w:ascii="Times New Roman" w:hAnsi="Times New Roman" w:cs="Times New Roman"/>
                <w:b w:val="0"/>
                <w:bCs w:val="0"/>
                <w:color w:val="auto"/>
                <w:sz w:val="24"/>
                <w:szCs w:val="24"/>
                <w:highlight w:val="none"/>
                <w:vertAlign w:val="superscript"/>
                <w:lang w:val="en-US" w:eastAsia="zh-CN"/>
              </w:rPr>
              <w:t>3</w:t>
            </w:r>
            <w:r>
              <w:rPr>
                <w:rFonts w:hint="eastAsia" w:cs="Times New Roman"/>
                <w:b w:val="0"/>
                <w:bCs w:val="0"/>
                <w:color w:val="auto"/>
                <w:sz w:val="24"/>
                <w:szCs w:val="24"/>
                <w:highlight w:val="none"/>
                <w:vertAlign w:val="baseline"/>
                <w:lang w:val="en-US" w:eastAsia="zh-CN"/>
              </w:rPr>
              <w:t>/d，其中</w:t>
            </w:r>
            <w:r>
              <w:rPr>
                <w:rFonts w:hint="eastAsia" w:ascii="Times New Roman" w:hAnsi="Times New Roman" w:eastAsia="宋体" w:cs="Times New Roman"/>
                <w:b w:val="0"/>
                <w:bCs w:val="0"/>
                <w:color w:val="auto"/>
                <w:sz w:val="24"/>
                <w:szCs w:val="24"/>
                <w:highlight w:val="none"/>
              </w:rPr>
              <w:t>新鲜水量约</w:t>
            </w:r>
            <w:r>
              <w:rPr>
                <w:rFonts w:hint="eastAsia" w:cs="Times New Roman"/>
                <w:b w:val="0"/>
                <w:bCs w:val="0"/>
                <w:color w:val="auto"/>
                <w:sz w:val="24"/>
                <w:szCs w:val="24"/>
                <w:highlight w:val="none"/>
                <w:lang w:val="en-US" w:eastAsia="zh-CN"/>
              </w:rPr>
              <w:t>0.3</w:t>
            </w:r>
            <w:r>
              <w:rPr>
                <w:rFonts w:hint="default"/>
                <w:b w:val="0"/>
                <w:bCs w:val="0"/>
                <w:color w:val="auto"/>
                <w:sz w:val="24"/>
                <w:szCs w:val="24"/>
                <w:highlight w:val="none"/>
                <w:lang w:val="en-US" w:eastAsia="zh-CN"/>
              </w:rPr>
              <w:t>m</w:t>
            </w:r>
            <w:r>
              <w:rPr>
                <w:rFonts w:hint="default"/>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rPr>
              <w:t>/d</w:t>
            </w:r>
            <w:r>
              <w:rPr>
                <w:rFonts w:hint="eastAsia" w:ascii="Times New Roman" w:hAnsi="Times New Roman" w:eastAsia="宋体" w:cs="Times New Roman"/>
                <w:b w:val="0"/>
                <w:bCs w:val="0"/>
                <w:color w:val="auto"/>
                <w:sz w:val="24"/>
                <w:szCs w:val="24"/>
                <w:highlight w:val="none"/>
                <w:lang w:eastAsia="zh-CN"/>
              </w:rPr>
              <w:t>（</w:t>
            </w:r>
            <w:r>
              <w:rPr>
                <w:rFonts w:hint="eastAsia" w:cs="Times New Roman"/>
                <w:b w:val="0"/>
                <w:bCs w:val="0"/>
                <w:color w:val="auto"/>
                <w:sz w:val="24"/>
                <w:szCs w:val="24"/>
                <w:highlight w:val="none"/>
                <w:lang w:val="en-US" w:eastAsia="zh-CN"/>
              </w:rPr>
              <w:t>90</w:t>
            </w:r>
            <w:r>
              <w:rPr>
                <w:rFonts w:hint="default"/>
                <w:b w:val="0"/>
                <w:bCs w:val="0"/>
                <w:color w:val="auto"/>
                <w:sz w:val="24"/>
                <w:szCs w:val="24"/>
                <w:highlight w:val="none"/>
                <w:lang w:val="en-US" w:eastAsia="zh-CN"/>
              </w:rPr>
              <w:t>m</w:t>
            </w:r>
            <w:r>
              <w:rPr>
                <w:rFonts w:hint="default"/>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rPr>
              <w:t>/a</w:t>
            </w:r>
            <w:r>
              <w:rPr>
                <w:rFonts w:hint="eastAsia" w:ascii="Times New Roman" w:hAnsi="Times New Roman" w:eastAsia="宋体" w:cs="Times New Roman"/>
                <w:b w:val="0"/>
                <w:bCs w:val="0"/>
                <w:color w:val="auto"/>
                <w:sz w:val="24"/>
                <w:szCs w:val="24"/>
                <w:highlight w:val="none"/>
                <w:lang w:eastAsia="zh-CN"/>
              </w:rPr>
              <w:t>），脱脂剂</w:t>
            </w:r>
            <w:r>
              <w:rPr>
                <w:rFonts w:hint="eastAsia" w:ascii="Times New Roman" w:hAnsi="Times New Roman" w:eastAsia="宋体" w:cs="Times New Roman"/>
                <w:b w:val="0"/>
                <w:bCs w:val="0"/>
                <w:color w:val="auto"/>
                <w:sz w:val="24"/>
                <w:szCs w:val="24"/>
                <w:highlight w:val="none"/>
                <w:lang w:val="en-US" w:eastAsia="zh-CN"/>
              </w:rPr>
              <w:t>0.03t/d（9t/a）</w:t>
            </w:r>
            <w:r>
              <w:rPr>
                <w:rFonts w:hint="eastAsia" w:ascii="Times New Roman" w:hAnsi="Times New Roman" w:eastAsia="宋体" w:cs="Times New Roman"/>
                <w:b w:val="0"/>
                <w:bCs w:val="0"/>
                <w:color w:val="auto"/>
                <w:sz w:val="24"/>
                <w:szCs w:val="24"/>
                <w:highlight w:val="none"/>
              </w:rPr>
              <w:t>。</w:t>
            </w:r>
            <w:r>
              <w:rPr>
                <w:rFonts w:hint="eastAsia" w:ascii="Times New Roman" w:hAnsi="Times New Roman" w:eastAsia="宋体" w:cs="Times New Roman"/>
                <w:color w:val="auto"/>
                <w:sz w:val="24"/>
                <w:szCs w:val="24"/>
                <w:highlight w:val="none"/>
                <w:lang w:val="en-US" w:eastAsia="zh-CN"/>
              </w:rPr>
              <w:t>废槽渣产生量</w:t>
            </w:r>
            <w:r>
              <w:rPr>
                <w:rFonts w:hint="eastAsia" w:cs="Times New Roman"/>
                <w:color w:val="auto"/>
                <w:sz w:val="24"/>
                <w:szCs w:val="24"/>
                <w:highlight w:val="none"/>
                <w:lang w:val="en-US" w:eastAsia="zh-CN"/>
              </w:rPr>
              <w:t>为</w:t>
            </w:r>
            <w:r>
              <w:rPr>
                <w:rFonts w:hint="eastAsia" w:ascii="Times New Roman" w:hAnsi="Times New Roman" w:eastAsia="宋体" w:cs="Times New Roman"/>
                <w:color w:val="auto"/>
                <w:sz w:val="24"/>
                <w:szCs w:val="24"/>
                <w:highlight w:val="none"/>
                <w:lang w:val="en-US" w:eastAsia="zh-CN"/>
              </w:rPr>
              <w:t>0.066t/a，产生的废槽液及废槽渣纳入危险废物，定期委托有资质单位处置。</w:t>
            </w:r>
          </w:p>
          <w:p w14:paraId="641AA12C">
            <w:pPr>
              <w:keepNext w:val="0"/>
              <w:keepLines w:val="0"/>
              <w:pageBreakBefore w:val="0"/>
              <w:widowControl w:val="0"/>
              <w:kinsoku/>
              <w:wordWrap/>
              <w:overflowPunct/>
              <w:topLinePunct w:val="0"/>
              <w:bidi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③</w:t>
            </w:r>
            <w:r>
              <w:rPr>
                <w:rFonts w:hint="default" w:ascii="Times New Roman" w:hAnsi="Times New Roman" w:eastAsia="宋体" w:cs="Times New Roman"/>
                <w:color w:val="auto"/>
                <w:sz w:val="24"/>
                <w:szCs w:val="24"/>
                <w:highlight w:val="none"/>
                <w:lang w:eastAsia="zh-CN"/>
              </w:rPr>
              <w:t>脱脂后清洗用水</w:t>
            </w:r>
          </w:p>
          <w:p w14:paraId="3233FCD7">
            <w:pPr>
              <w:keepNext w:val="0"/>
              <w:keepLines w:val="0"/>
              <w:pageBreakBefore w:val="0"/>
              <w:widowControl w:val="0"/>
              <w:kinsoku/>
              <w:wordWrap/>
              <w:overflowPunct/>
              <w:topLinePunct w:val="0"/>
              <w:bidi w:val="0"/>
              <w:snapToGrid w:val="0"/>
              <w:spacing w:line="360" w:lineRule="auto"/>
              <w:ind w:firstLine="480" w:firstLineChars="200"/>
              <w:jc w:val="both"/>
              <w:textAlignment w:val="auto"/>
              <w:rPr>
                <w:rFonts w:hint="default"/>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水洗槽水量为3.3m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脱脂后清洗用水</w:t>
            </w:r>
            <w:r>
              <w:rPr>
                <w:rFonts w:hint="default" w:ascii="Times New Roman" w:hAnsi="Times New Roman" w:eastAsia="宋体" w:cs="Times New Roman"/>
                <w:color w:val="auto"/>
                <w:sz w:val="24"/>
                <w:szCs w:val="24"/>
                <w:highlight w:val="none"/>
                <w:lang w:eastAsia="zh-CN"/>
              </w:rPr>
              <w:t>每</w:t>
            </w:r>
            <w:r>
              <w:rPr>
                <w:rFonts w:hint="eastAsia" w:ascii="Times New Roman" w:hAnsi="Times New Roman" w:eastAsia="宋体" w:cs="Times New Roman"/>
                <w:color w:val="auto"/>
                <w:sz w:val="24"/>
                <w:szCs w:val="24"/>
                <w:highlight w:val="none"/>
                <w:lang w:eastAsia="zh-CN"/>
              </w:rPr>
              <w:t>月</w:t>
            </w:r>
            <w:r>
              <w:rPr>
                <w:rFonts w:hint="default" w:ascii="Times New Roman" w:hAnsi="Times New Roman" w:eastAsia="宋体" w:cs="Times New Roman"/>
                <w:color w:val="auto"/>
                <w:sz w:val="24"/>
                <w:szCs w:val="24"/>
                <w:highlight w:val="none"/>
                <w:lang w:eastAsia="zh-CN"/>
              </w:rPr>
              <w:t>更换一次，</w:t>
            </w:r>
            <w:r>
              <w:rPr>
                <w:rFonts w:hint="eastAsia" w:cs="Times New Roman"/>
                <w:color w:val="auto"/>
                <w:sz w:val="24"/>
                <w:szCs w:val="24"/>
                <w:highlight w:val="none"/>
                <w:lang w:eastAsia="zh-CN"/>
              </w:rPr>
              <w:t>脱脂后清洗用水量为</w:t>
            </w:r>
            <w:r>
              <w:rPr>
                <w:rFonts w:hint="eastAsia" w:ascii="Times New Roman" w:hAnsi="Times New Roman" w:eastAsia="宋体" w:cs="Times New Roman"/>
                <w:color w:val="auto"/>
                <w:sz w:val="24"/>
                <w:szCs w:val="24"/>
                <w:highlight w:val="none"/>
                <w:lang w:val="en-US" w:eastAsia="zh-CN"/>
              </w:rPr>
              <w:t>33</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/a</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脱脂后清洗</w:t>
            </w:r>
            <w:r>
              <w:rPr>
                <w:rFonts w:hint="default" w:ascii="Times New Roman" w:hAnsi="Times New Roman" w:eastAsia="宋体" w:cs="Times New Roman"/>
                <w:color w:val="auto"/>
                <w:sz w:val="24"/>
                <w:szCs w:val="24"/>
                <w:highlight w:val="none"/>
              </w:rPr>
              <w:t>废水量为</w:t>
            </w:r>
            <w:r>
              <w:rPr>
                <w:rFonts w:hint="eastAsia" w:ascii="Times New Roman" w:hAnsi="Times New Roman" w:eastAsia="宋体" w:cs="Times New Roman"/>
                <w:color w:val="auto"/>
                <w:sz w:val="24"/>
                <w:szCs w:val="24"/>
                <w:highlight w:val="none"/>
                <w:lang w:val="en-US" w:eastAsia="zh-CN"/>
              </w:rPr>
              <w:t>33</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/a。</w:t>
            </w:r>
          </w:p>
          <w:p w14:paraId="09E524A2">
            <w:pPr>
              <w:keepNext w:val="0"/>
              <w:keepLines w:val="0"/>
              <w:pageBreakBefore w:val="0"/>
              <w:widowControl w:val="0"/>
              <w:kinsoku/>
              <w:wordWrap/>
              <w:overflowPunct/>
              <w:topLinePunct w:val="0"/>
              <w:bidi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③表调</w:t>
            </w:r>
            <w:r>
              <w:rPr>
                <w:rFonts w:hint="default" w:ascii="Times New Roman" w:hAnsi="Times New Roman" w:eastAsia="宋体" w:cs="Times New Roman"/>
                <w:color w:val="auto"/>
                <w:sz w:val="24"/>
                <w:szCs w:val="24"/>
                <w:highlight w:val="none"/>
                <w:lang w:eastAsia="zh-CN"/>
              </w:rPr>
              <w:t>调配用水</w:t>
            </w:r>
          </w:p>
          <w:p w14:paraId="5FE79281">
            <w:pPr>
              <w:keepNext w:val="0"/>
              <w:keepLines w:val="0"/>
              <w:pageBreakBefore w:val="0"/>
              <w:widowControl w:val="0"/>
              <w:kinsoku/>
              <w:wordWrap/>
              <w:overflowPunct/>
              <w:topLinePunct w:val="0"/>
              <w:bidi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表调调配用水为3.2m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/次（6.4m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/a），表调剂用量为0.1</w:t>
            </w:r>
            <w:r>
              <w:rPr>
                <w:rFonts w:hint="default" w:ascii="Times New Roman" w:hAnsi="Times New Roman" w:eastAsia="宋体" w:cs="Times New Roman"/>
                <w:color w:val="auto"/>
                <w:sz w:val="24"/>
                <w:szCs w:val="24"/>
                <w:highlight w:val="none"/>
                <w:lang w:val="en-US" w:eastAsia="zh-CN"/>
              </w:rPr>
              <w:t>t</w:t>
            </w:r>
            <w:r>
              <w:rPr>
                <w:rFonts w:hint="default" w:ascii="Times New Roman" w:hAnsi="Times New Roman" w:eastAsia="宋体" w:cs="Times New Roman"/>
                <w:color w:val="auto"/>
                <w:sz w:val="24"/>
                <w:szCs w:val="24"/>
                <w:highlight w:val="none"/>
                <w:vertAlign w:val="baseline"/>
                <w:lang w:val="en-US" w:eastAsia="zh-CN"/>
              </w:rPr>
              <w:t>/次（0.2t/a）。</w:t>
            </w:r>
            <w:r>
              <w:rPr>
                <w:rFonts w:hint="default" w:ascii="Times New Roman" w:hAnsi="Times New Roman" w:eastAsia="宋体" w:cs="Times New Roman"/>
                <w:b w:val="0"/>
                <w:bCs w:val="0"/>
                <w:color w:val="auto"/>
                <w:sz w:val="24"/>
                <w:szCs w:val="24"/>
                <w:highlight w:val="none"/>
              </w:rPr>
              <w:t>处理过程中每日损耗率约</w:t>
            </w:r>
            <w:r>
              <w:rPr>
                <w:rFonts w:hint="default" w:ascii="Times New Roman" w:hAnsi="Times New Roman" w:eastAsia="宋体" w:cs="Times New Roman"/>
                <w:b w:val="0"/>
                <w:bCs w:val="0"/>
                <w:color w:val="auto"/>
                <w:sz w:val="24"/>
                <w:szCs w:val="24"/>
                <w:highlight w:val="none"/>
                <w:lang w:val="en-US" w:eastAsia="zh-CN"/>
              </w:rPr>
              <w:t>5</w:t>
            </w:r>
            <w:r>
              <w:rPr>
                <w:rFonts w:hint="default" w:ascii="Times New Roman" w:hAnsi="Times New Roman" w:eastAsia="宋体" w:cs="Times New Roman"/>
                <w:b w:val="0"/>
                <w:bCs w:val="0"/>
                <w:color w:val="auto"/>
                <w:sz w:val="24"/>
                <w:szCs w:val="24"/>
                <w:highlight w:val="none"/>
              </w:rPr>
              <w:t>%，因损耗补充</w:t>
            </w:r>
            <w:r>
              <w:rPr>
                <w:rFonts w:hint="default" w:ascii="Times New Roman" w:hAnsi="Times New Roman" w:eastAsia="宋体" w:cs="Times New Roman"/>
                <w:b w:val="0"/>
                <w:bCs w:val="0"/>
                <w:color w:val="auto"/>
                <w:sz w:val="24"/>
                <w:szCs w:val="24"/>
                <w:highlight w:val="none"/>
                <w:lang w:eastAsia="zh-CN"/>
              </w:rPr>
              <w:t>槽液量为</w:t>
            </w:r>
            <w:r>
              <w:rPr>
                <w:rFonts w:hint="default" w:ascii="Times New Roman" w:hAnsi="Times New Roman" w:eastAsia="宋体" w:cs="Times New Roman"/>
                <w:b w:val="0"/>
                <w:bCs w:val="0"/>
                <w:color w:val="auto"/>
                <w:sz w:val="24"/>
                <w:szCs w:val="24"/>
                <w:highlight w:val="none"/>
                <w:lang w:val="en-US" w:eastAsia="zh-CN"/>
              </w:rPr>
              <w:t>0.165m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vertAlign w:val="baseline"/>
                <w:lang w:val="en-US" w:eastAsia="zh-CN"/>
              </w:rPr>
              <w:t>/d，其中</w:t>
            </w:r>
            <w:r>
              <w:rPr>
                <w:rFonts w:hint="default" w:ascii="Times New Roman" w:hAnsi="Times New Roman" w:eastAsia="宋体" w:cs="Times New Roman"/>
                <w:b w:val="0"/>
                <w:bCs w:val="0"/>
                <w:color w:val="auto"/>
                <w:sz w:val="24"/>
                <w:szCs w:val="24"/>
                <w:highlight w:val="none"/>
              </w:rPr>
              <w:t>新鲜水量约</w:t>
            </w:r>
            <w:r>
              <w:rPr>
                <w:rFonts w:hint="eastAsia" w:cs="Times New Roman"/>
                <w:b w:val="0"/>
                <w:bCs w:val="0"/>
                <w:color w:val="auto"/>
                <w:sz w:val="24"/>
                <w:szCs w:val="24"/>
                <w:highlight w:val="none"/>
                <w:lang w:val="en-US" w:eastAsia="zh-CN"/>
              </w:rPr>
              <w:t>0.16</w:t>
            </w:r>
            <w:r>
              <w:rPr>
                <w:rFonts w:hint="default" w:ascii="Times New Roman" w:hAnsi="Times New Roman" w:eastAsia="宋体" w:cs="Times New Roman"/>
                <w:b w:val="0"/>
                <w:bCs w:val="0"/>
                <w:color w:val="auto"/>
                <w:sz w:val="24"/>
                <w:szCs w:val="24"/>
                <w:highlight w:val="none"/>
                <w:lang w:val="en-US" w:eastAsia="zh-CN"/>
              </w:rPr>
              <w:t>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rPr>
              <w:t>/d</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48m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rPr>
              <w:t>/a</w:t>
            </w:r>
            <w:r>
              <w:rPr>
                <w:rFonts w:hint="default" w:ascii="Times New Roman" w:hAnsi="Times New Roman" w:eastAsia="宋体" w:cs="Times New Roman"/>
                <w:b w:val="0"/>
                <w:bCs w:val="0"/>
                <w:color w:val="auto"/>
                <w:sz w:val="24"/>
                <w:szCs w:val="24"/>
                <w:highlight w:val="none"/>
                <w:lang w:eastAsia="zh-CN"/>
              </w:rPr>
              <w:t>），表调剂</w:t>
            </w:r>
            <w:r>
              <w:rPr>
                <w:rFonts w:hint="default" w:ascii="Times New Roman" w:hAnsi="Times New Roman" w:eastAsia="宋体" w:cs="Times New Roman"/>
                <w:b w:val="0"/>
                <w:bCs w:val="0"/>
                <w:color w:val="auto"/>
                <w:sz w:val="24"/>
                <w:szCs w:val="24"/>
                <w:highlight w:val="none"/>
                <w:lang w:val="en-US" w:eastAsia="zh-CN"/>
              </w:rPr>
              <w:t>0.005t/d（1.5t/a）</w:t>
            </w:r>
            <w:r>
              <w:rPr>
                <w:rFonts w:hint="default" w:ascii="Times New Roman" w:hAnsi="Times New Roman" w:eastAsia="宋体" w:cs="Times New Roman"/>
                <w:b w:val="0"/>
                <w:bCs w:val="0"/>
                <w:color w:val="auto"/>
                <w:sz w:val="24"/>
                <w:szCs w:val="24"/>
                <w:highlight w:val="none"/>
              </w:rPr>
              <w:t>。</w:t>
            </w:r>
            <w:r>
              <w:rPr>
                <w:rFonts w:hint="default" w:ascii="Times New Roman" w:hAnsi="Times New Roman" w:eastAsia="宋体" w:cs="Times New Roman"/>
                <w:color w:val="auto"/>
                <w:sz w:val="24"/>
                <w:szCs w:val="24"/>
                <w:highlight w:val="none"/>
                <w:lang w:val="en-US" w:eastAsia="zh-CN"/>
              </w:rPr>
              <w:t>废槽渣产生量</w:t>
            </w:r>
            <w:r>
              <w:rPr>
                <w:rFonts w:hint="eastAsia"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lang w:val="en-US" w:eastAsia="zh-CN"/>
              </w:rPr>
              <w:t>0.066t/a，产生的废槽液及废槽渣纳入危险废物，定期委托有资质单位处置。</w:t>
            </w:r>
          </w:p>
          <w:p w14:paraId="280CB1A5">
            <w:pPr>
              <w:keepNext w:val="0"/>
              <w:keepLines w:val="0"/>
              <w:pageBreakBefore w:val="0"/>
              <w:widowControl w:val="0"/>
              <w:kinsoku/>
              <w:wordWrap/>
              <w:overflowPunct/>
              <w:topLinePunct w:val="0"/>
              <w:bidi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④磷化调配用水</w:t>
            </w:r>
          </w:p>
          <w:p w14:paraId="26482A83">
            <w:pPr>
              <w:keepNext w:val="0"/>
              <w:keepLines w:val="0"/>
              <w:pageBreakBefore w:val="0"/>
              <w:widowControl w:val="0"/>
              <w:kinsoku/>
              <w:wordWrap/>
              <w:overflowPunct/>
              <w:topLinePunct w:val="0"/>
              <w:bidi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磷化</w:t>
            </w:r>
            <w:r>
              <w:rPr>
                <w:rFonts w:hint="default" w:ascii="Times New Roman" w:hAnsi="Times New Roman" w:eastAsia="宋体" w:cs="Times New Roman"/>
                <w:color w:val="auto"/>
                <w:sz w:val="24"/>
                <w:szCs w:val="24"/>
                <w:highlight w:val="none"/>
                <w:lang w:val="en-US" w:eastAsia="zh-CN"/>
              </w:rPr>
              <w:t>调配用水为3.0m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/次（6.0m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/a），</w:t>
            </w:r>
            <w:r>
              <w:rPr>
                <w:rFonts w:hint="default" w:ascii="Times New Roman" w:hAnsi="Times New Roman" w:eastAsia="宋体" w:cs="Times New Roman"/>
                <w:color w:val="auto"/>
                <w:sz w:val="24"/>
                <w:szCs w:val="24"/>
                <w:highlight w:val="none"/>
                <w:lang w:eastAsia="zh-CN"/>
              </w:rPr>
              <w:t>磷化</w:t>
            </w:r>
            <w:r>
              <w:rPr>
                <w:rFonts w:hint="default" w:ascii="Times New Roman" w:hAnsi="Times New Roman" w:eastAsia="宋体" w:cs="Times New Roman"/>
                <w:color w:val="auto"/>
                <w:sz w:val="24"/>
                <w:szCs w:val="24"/>
                <w:highlight w:val="none"/>
                <w:vertAlign w:val="baseline"/>
                <w:lang w:val="en-US" w:eastAsia="zh-CN"/>
              </w:rPr>
              <w:t>剂用量为0.3</w:t>
            </w:r>
            <w:r>
              <w:rPr>
                <w:rFonts w:hint="default" w:ascii="Times New Roman" w:hAnsi="Times New Roman" w:eastAsia="宋体" w:cs="Times New Roman"/>
                <w:color w:val="auto"/>
                <w:sz w:val="24"/>
                <w:szCs w:val="24"/>
                <w:highlight w:val="none"/>
                <w:lang w:val="en-US" w:eastAsia="zh-CN"/>
              </w:rPr>
              <w:t>t</w:t>
            </w:r>
            <w:r>
              <w:rPr>
                <w:rFonts w:hint="default" w:ascii="Times New Roman" w:hAnsi="Times New Roman" w:eastAsia="宋体" w:cs="Times New Roman"/>
                <w:color w:val="auto"/>
                <w:sz w:val="24"/>
                <w:szCs w:val="24"/>
                <w:highlight w:val="none"/>
                <w:vertAlign w:val="baseline"/>
                <w:lang w:val="en-US" w:eastAsia="zh-CN"/>
              </w:rPr>
              <w:t>/次（0.6t/a）。</w:t>
            </w:r>
            <w:r>
              <w:rPr>
                <w:rFonts w:hint="default" w:ascii="Times New Roman" w:hAnsi="Times New Roman" w:eastAsia="宋体" w:cs="Times New Roman"/>
                <w:b w:val="0"/>
                <w:bCs w:val="0"/>
                <w:color w:val="auto"/>
                <w:sz w:val="24"/>
                <w:szCs w:val="24"/>
                <w:highlight w:val="none"/>
              </w:rPr>
              <w:t>处理过程中每日损耗率约10%，因损耗补充</w:t>
            </w:r>
            <w:r>
              <w:rPr>
                <w:rFonts w:hint="default" w:ascii="Times New Roman" w:hAnsi="Times New Roman" w:eastAsia="宋体" w:cs="Times New Roman"/>
                <w:b w:val="0"/>
                <w:bCs w:val="0"/>
                <w:color w:val="auto"/>
                <w:sz w:val="24"/>
                <w:szCs w:val="24"/>
                <w:highlight w:val="none"/>
                <w:lang w:eastAsia="zh-CN"/>
              </w:rPr>
              <w:t>槽液量为</w:t>
            </w:r>
            <w:r>
              <w:rPr>
                <w:rFonts w:hint="default" w:ascii="Times New Roman" w:hAnsi="Times New Roman" w:eastAsia="宋体" w:cs="Times New Roman"/>
                <w:b w:val="0"/>
                <w:bCs w:val="0"/>
                <w:color w:val="auto"/>
                <w:sz w:val="24"/>
                <w:szCs w:val="24"/>
                <w:highlight w:val="none"/>
                <w:lang w:val="en-US" w:eastAsia="zh-CN"/>
              </w:rPr>
              <w:t>0.3m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vertAlign w:val="baseline"/>
                <w:lang w:val="en-US" w:eastAsia="zh-CN"/>
              </w:rPr>
              <w:t>/d，其中</w:t>
            </w:r>
            <w:r>
              <w:rPr>
                <w:rFonts w:hint="default" w:ascii="Times New Roman" w:hAnsi="Times New Roman" w:eastAsia="宋体" w:cs="Times New Roman"/>
                <w:b w:val="0"/>
                <w:bCs w:val="0"/>
                <w:color w:val="auto"/>
                <w:sz w:val="24"/>
                <w:szCs w:val="24"/>
                <w:highlight w:val="none"/>
              </w:rPr>
              <w:t>新鲜水量约</w:t>
            </w:r>
            <w:r>
              <w:rPr>
                <w:rFonts w:hint="default" w:ascii="Times New Roman" w:hAnsi="Times New Roman" w:eastAsia="宋体" w:cs="Times New Roman"/>
                <w:b w:val="0"/>
                <w:bCs w:val="0"/>
                <w:color w:val="auto"/>
                <w:sz w:val="24"/>
                <w:szCs w:val="24"/>
                <w:highlight w:val="none"/>
                <w:lang w:val="en-US" w:eastAsia="zh-CN"/>
              </w:rPr>
              <w:t>0.3m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rPr>
              <w:t>/d</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90m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rPr>
              <w:t>/a</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磷化</w:t>
            </w:r>
            <w:r>
              <w:rPr>
                <w:rFonts w:hint="default" w:ascii="Times New Roman" w:hAnsi="Times New Roman" w:eastAsia="宋体" w:cs="Times New Roman"/>
                <w:b w:val="0"/>
                <w:bCs w:val="0"/>
                <w:color w:val="auto"/>
                <w:sz w:val="24"/>
                <w:szCs w:val="24"/>
                <w:highlight w:val="none"/>
                <w:lang w:eastAsia="zh-CN"/>
              </w:rPr>
              <w:t>剂</w:t>
            </w:r>
            <w:r>
              <w:rPr>
                <w:rFonts w:hint="default" w:ascii="Times New Roman" w:hAnsi="Times New Roman" w:eastAsia="宋体" w:cs="Times New Roman"/>
                <w:b w:val="0"/>
                <w:bCs w:val="0"/>
                <w:color w:val="auto"/>
                <w:sz w:val="24"/>
                <w:szCs w:val="24"/>
                <w:highlight w:val="none"/>
                <w:lang w:val="en-US" w:eastAsia="zh-CN"/>
              </w:rPr>
              <w:t>0.03t/d（9t/a）</w:t>
            </w:r>
            <w:r>
              <w:rPr>
                <w:rFonts w:hint="default" w:ascii="Times New Roman" w:hAnsi="Times New Roman" w:eastAsia="宋体" w:cs="Times New Roman"/>
                <w:b w:val="0"/>
                <w:bCs w:val="0"/>
                <w:color w:val="auto"/>
                <w:sz w:val="24"/>
                <w:szCs w:val="24"/>
                <w:highlight w:val="none"/>
              </w:rPr>
              <w:t>。</w:t>
            </w:r>
            <w:r>
              <w:rPr>
                <w:rFonts w:hint="default" w:ascii="Times New Roman" w:hAnsi="Times New Roman" w:eastAsia="宋体" w:cs="Times New Roman"/>
                <w:color w:val="auto"/>
                <w:sz w:val="24"/>
                <w:szCs w:val="24"/>
                <w:highlight w:val="none"/>
                <w:lang w:val="en-US" w:eastAsia="zh-CN"/>
              </w:rPr>
              <w:t>废槽渣产生量</w:t>
            </w:r>
            <w:r>
              <w:rPr>
                <w:rFonts w:hint="eastAsia"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lang w:val="en-US" w:eastAsia="zh-CN"/>
              </w:rPr>
              <w:t>0.066t/a，产生的废槽液及废槽渣纳入危险废物，定期委托有资质单位处置。</w:t>
            </w:r>
          </w:p>
          <w:p w14:paraId="22007F06">
            <w:pPr>
              <w:keepNext w:val="0"/>
              <w:keepLines w:val="0"/>
              <w:pageBreakBefore w:val="0"/>
              <w:widowControl w:val="0"/>
              <w:kinsoku/>
              <w:wordWrap/>
              <w:overflowPunct/>
              <w:topLinePunct w:val="0"/>
              <w:bidi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⑤磷化后清洗用水</w:t>
            </w:r>
          </w:p>
          <w:p w14:paraId="4652A8CC">
            <w:pPr>
              <w:keepNext w:val="0"/>
              <w:keepLines w:val="0"/>
              <w:pageBreakBefore w:val="0"/>
              <w:widowControl w:val="0"/>
              <w:kinsoku/>
              <w:wordWrap/>
              <w:overflowPunct/>
              <w:topLinePunct w:val="0"/>
              <w:bidi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水洗槽水量为3.3m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磷化</w:t>
            </w:r>
            <w:r>
              <w:rPr>
                <w:rFonts w:hint="default" w:ascii="Times New Roman" w:hAnsi="Times New Roman" w:eastAsia="宋体" w:cs="Times New Roman"/>
                <w:color w:val="auto"/>
                <w:sz w:val="24"/>
                <w:szCs w:val="24"/>
                <w:highlight w:val="none"/>
              </w:rPr>
              <w:t>后清洗用水</w:t>
            </w:r>
            <w:r>
              <w:rPr>
                <w:rFonts w:hint="default" w:ascii="Times New Roman" w:hAnsi="Times New Roman" w:eastAsia="宋体" w:cs="Times New Roman"/>
                <w:color w:val="auto"/>
                <w:sz w:val="24"/>
                <w:szCs w:val="24"/>
                <w:highlight w:val="none"/>
                <w:lang w:eastAsia="zh-CN"/>
              </w:rPr>
              <w:t>每</w:t>
            </w:r>
            <w:r>
              <w:rPr>
                <w:rFonts w:hint="eastAsia" w:ascii="Times New Roman" w:hAnsi="Times New Roman" w:eastAsia="宋体" w:cs="Times New Roman"/>
                <w:color w:val="auto"/>
                <w:sz w:val="24"/>
                <w:szCs w:val="24"/>
                <w:highlight w:val="none"/>
                <w:lang w:eastAsia="zh-CN"/>
              </w:rPr>
              <w:t>月</w:t>
            </w:r>
            <w:r>
              <w:rPr>
                <w:rFonts w:hint="default" w:ascii="Times New Roman" w:hAnsi="Times New Roman" w:eastAsia="宋体" w:cs="Times New Roman"/>
                <w:color w:val="auto"/>
                <w:sz w:val="24"/>
                <w:szCs w:val="24"/>
                <w:highlight w:val="none"/>
                <w:lang w:eastAsia="zh-CN"/>
              </w:rPr>
              <w:t>更换一次，磷化</w:t>
            </w:r>
            <w:r>
              <w:rPr>
                <w:rFonts w:hint="default" w:ascii="Times New Roman" w:hAnsi="Times New Roman" w:eastAsia="宋体" w:cs="Times New Roman"/>
                <w:color w:val="auto"/>
                <w:sz w:val="24"/>
                <w:szCs w:val="24"/>
                <w:highlight w:val="none"/>
              </w:rPr>
              <w:t>处理后清洗用水</w:t>
            </w:r>
            <w:r>
              <w:rPr>
                <w:rFonts w:hint="default" w:ascii="Times New Roman" w:hAnsi="Times New Roman" w:eastAsia="宋体" w:cs="Times New Roman"/>
                <w:color w:val="auto"/>
                <w:sz w:val="24"/>
                <w:szCs w:val="24"/>
                <w:highlight w:val="none"/>
                <w:lang w:eastAsia="zh-CN"/>
              </w:rPr>
              <w:t>量</w:t>
            </w:r>
            <w:r>
              <w:rPr>
                <w:rFonts w:hint="default" w:ascii="Times New Roman" w:hAnsi="Times New Roman" w:eastAsia="宋体" w:cs="Times New Roman"/>
                <w:color w:val="auto"/>
                <w:sz w:val="24"/>
                <w:szCs w:val="24"/>
                <w:highlight w:val="none"/>
              </w:rPr>
              <w:t>约</w:t>
            </w:r>
            <w:r>
              <w:rPr>
                <w:rFonts w:hint="eastAsia" w:ascii="Times New Roman" w:hAnsi="Times New Roman" w:eastAsia="宋体" w:cs="Times New Roman"/>
                <w:color w:val="auto"/>
                <w:sz w:val="24"/>
                <w:szCs w:val="24"/>
                <w:highlight w:val="none"/>
                <w:lang w:val="en-US" w:eastAsia="zh-CN"/>
              </w:rPr>
              <w:t>33</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磷化后清洗</w:t>
            </w:r>
            <w:r>
              <w:rPr>
                <w:rFonts w:hint="default" w:ascii="Times New Roman" w:hAnsi="Times New Roman" w:eastAsia="宋体" w:cs="Times New Roman"/>
                <w:color w:val="auto"/>
                <w:sz w:val="24"/>
                <w:szCs w:val="24"/>
                <w:highlight w:val="none"/>
              </w:rPr>
              <w:t>废水量为</w:t>
            </w:r>
            <w:r>
              <w:rPr>
                <w:rFonts w:hint="eastAsia" w:ascii="Times New Roman" w:hAnsi="Times New Roman" w:eastAsia="宋体" w:cs="Times New Roman"/>
                <w:color w:val="auto"/>
                <w:sz w:val="24"/>
                <w:szCs w:val="24"/>
                <w:highlight w:val="none"/>
                <w:lang w:val="en-US" w:eastAsia="zh-CN"/>
              </w:rPr>
              <w:t>33</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/a。</w:t>
            </w:r>
          </w:p>
          <w:p w14:paraId="540B597C">
            <w:pPr>
              <w:keepNext w:val="0"/>
              <w:keepLines w:val="0"/>
              <w:pageBreakBefore w:val="0"/>
              <w:widowControl w:val="0"/>
              <w:kinsoku/>
              <w:wordWrap/>
              <w:overflowPunct/>
              <w:topLinePunct w:val="0"/>
              <w:bidi w:val="0"/>
              <w:snapToGrid w:val="0"/>
              <w:spacing w:line="360" w:lineRule="auto"/>
              <w:ind w:firstLine="480" w:firstLineChars="200"/>
              <w:jc w:val="left"/>
              <w:textAlignment w:val="auto"/>
              <w:rPr>
                <w:color w:val="auto"/>
                <w:sz w:val="24"/>
                <w:highlight w:val="none"/>
              </w:rPr>
            </w:pPr>
            <w:r>
              <w:rPr>
                <w:rFonts w:hint="eastAsia"/>
                <w:color w:val="auto"/>
                <w:sz w:val="24"/>
                <w:highlight w:val="none"/>
              </w:rPr>
              <w:t>⑥</w:t>
            </w:r>
            <w:r>
              <w:rPr>
                <w:color w:val="auto"/>
                <w:sz w:val="24"/>
                <w:highlight w:val="none"/>
              </w:rPr>
              <w:t>水帘用水</w:t>
            </w:r>
          </w:p>
          <w:p w14:paraId="556A99B1">
            <w:pPr>
              <w:keepNext w:val="0"/>
              <w:keepLines w:val="0"/>
              <w:pageBreakBefore w:val="0"/>
              <w:widowControl w:val="0"/>
              <w:kinsoku/>
              <w:wordWrap/>
              <w:overflowPunct/>
              <w:topLinePunct w:val="0"/>
              <w:bidi w:val="0"/>
              <w:spacing w:line="360" w:lineRule="auto"/>
              <w:ind w:firstLine="480" w:firstLineChars="200"/>
              <w:textAlignment w:val="auto"/>
              <w:rPr>
                <w:rFonts w:hint="eastAsia"/>
                <w:color w:val="auto"/>
                <w:highlight w:val="none"/>
                <w:lang w:val="en-US" w:eastAsia="zh-CN"/>
              </w:rPr>
            </w:pPr>
            <w:r>
              <w:rPr>
                <w:rFonts w:hint="eastAsia"/>
                <w:color w:val="auto"/>
                <w:sz w:val="24"/>
                <w:highlight w:val="none"/>
                <w:lang w:eastAsia="zh-CN"/>
              </w:rPr>
              <w:t>本项目</w:t>
            </w:r>
            <w:r>
              <w:rPr>
                <w:rFonts w:hint="eastAsia"/>
                <w:color w:val="auto"/>
                <w:sz w:val="24"/>
                <w:highlight w:val="none"/>
              </w:rPr>
              <w:t>水帘柜用水量为337.5</w:t>
            </w:r>
            <w:r>
              <w:rPr>
                <w:color w:val="auto"/>
                <w:sz w:val="24"/>
                <w:highlight w:val="none"/>
              </w:rPr>
              <w:t>t/a</w:t>
            </w:r>
            <w:r>
              <w:rPr>
                <w:rFonts w:hint="eastAsia"/>
                <w:color w:val="auto"/>
                <w:sz w:val="24"/>
                <w:highlight w:val="none"/>
                <w:lang w:eastAsia="zh-CN"/>
              </w:rPr>
              <w:t>。</w:t>
            </w:r>
            <w:r>
              <w:rPr>
                <w:color w:val="auto"/>
                <w:sz w:val="24"/>
                <w:highlight w:val="none"/>
              </w:rPr>
              <w:t>项目喷漆工序采用水帘喷漆，喷漆产生的漆雾通过水帘沉降，沉降后的废水排入</w:t>
            </w:r>
            <w:r>
              <w:rPr>
                <w:rFonts w:hint="eastAsia"/>
                <w:color w:val="auto"/>
                <w:sz w:val="24"/>
                <w:highlight w:val="none"/>
                <w:lang w:eastAsia="zh-CN"/>
              </w:rPr>
              <w:t>水帘柜底部</w:t>
            </w:r>
            <w:r>
              <w:rPr>
                <w:color w:val="auto"/>
                <w:sz w:val="24"/>
                <w:highlight w:val="none"/>
              </w:rPr>
              <w:t>沉淀池中，通过向水中添加漆渣絮凝剂，有效沉淀漆渣，沉淀后的水</w:t>
            </w:r>
            <w:r>
              <w:rPr>
                <w:rFonts w:hint="eastAsia"/>
                <w:color w:val="auto"/>
                <w:sz w:val="24"/>
                <w:highlight w:val="none"/>
                <w:lang w:eastAsia="zh-CN"/>
              </w:rPr>
              <w:t>回用于水帘柜</w:t>
            </w:r>
            <w:r>
              <w:rPr>
                <w:color w:val="auto"/>
                <w:sz w:val="24"/>
                <w:highlight w:val="none"/>
              </w:rPr>
              <w:t>，定期打捞漆渣等废物。</w:t>
            </w:r>
          </w:p>
          <w:p w14:paraId="79EC9052">
            <w:pPr>
              <w:bidi w:val="0"/>
              <w:ind w:firstLine="480" w:firstLineChars="200"/>
              <w:jc w:val="left"/>
              <w:rPr>
                <w:rFonts w:hint="eastAsia"/>
                <w:color w:val="auto"/>
                <w:lang w:val="en-US" w:eastAsia="zh-CN"/>
              </w:rPr>
            </w:pPr>
            <w:r>
              <w:rPr>
                <w:rFonts w:hint="eastAsia"/>
                <w:color w:val="auto"/>
                <w:lang w:val="en-US" w:eastAsia="zh-CN"/>
              </w:rPr>
              <w:t>本项目水平衡如下</w:t>
            </w:r>
          </w:p>
          <w:p w14:paraId="72B26547">
            <w:pPr>
              <w:bidi w:val="0"/>
              <w:ind w:firstLine="480" w:firstLineChars="200"/>
              <w:jc w:val="left"/>
              <w:rPr>
                <w:rFonts w:hint="default"/>
                <w:color w:val="auto"/>
                <w:lang w:val="en-US" w:eastAsia="zh-CN"/>
              </w:rPr>
            </w:pPr>
            <w:r>
              <w:rPr>
                <w:rFonts w:hint="default"/>
                <w:color w:val="auto"/>
                <w:lang w:val="en-US" w:eastAsia="zh-CN"/>
              </w:rPr>
              <w:drawing>
                <wp:inline distT="0" distB="0" distL="114300" distR="114300">
                  <wp:extent cx="5267325" cy="4181475"/>
                  <wp:effectExtent l="0" t="0" r="9525" b="9525"/>
                  <wp:docPr id="6" name="图片 6" descr="微信截图_20240909144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截图_20240909144343"/>
                          <pic:cNvPicPr>
                            <a:picLocks noChangeAspect="1"/>
                          </pic:cNvPicPr>
                        </pic:nvPicPr>
                        <pic:blipFill>
                          <a:blip r:embed="rId9"/>
                          <a:stretch>
                            <a:fillRect/>
                          </a:stretch>
                        </pic:blipFill>
                        <pic:spPr>
                          <a:xfrm>
                            <a:off x="0" y="0"/>
                            <a:ext cx="5267325" cy="4181475"/>
                          </a:xfrm>
                          <a:prstGeom prst="rect">
                            <a:avLst/>
                          </a:prstGeom>
                        </pic:spPr>
                      </pic:pic>
                    </a:graphicData>
                  </a:graphic>
                </wp:inline>
              </w:drawing>
            </w:r>
          </w:p>
          <w:p w14:paraId="750D3E25">
            <w:pPr>
              <w:bidi w:val="0"/>
              <w:spacing w:line="240" w:lineRule="auto"/>
              <w:jc w:val="center"/>
              <w:rPr>
                <w:rFonts w:hint="default"/>
                <w:color w:val="auto"/>
                <w:lang w:val="en-US" w:eastAsia="zh-CN"/>
              </w:rPr>
            </w:pPr>
          </w:p>
          <w:p w14:paraId="767B8EB3">
            <w:pPr>
              <w:pStyle w:val="26"/>
              <w:bidi w:val="0"/>
              <w:rPr>
                <w:rFonts w:hint="eastAsia"/>
                <w:b/>
                <w:bCs/>
                <w:color w:val="auto"/>
                <w:sz w:val="24"/>
                <w:szCs w:val="32"/>
                <w:lang w:val="en-US" w:eastAsia="zh-CN"/>
              </w:rPr>
            </w:pPr>
            <w:r>
              <w:rPr>
                <w:rFonts w:hint="eastAsia"/>
                <w:b/>
                <w:bCs/>
                <w:color w:val="auto"/>
                <w:sz w:val="24"/>
                <w:szCs w:val="32"/>
                <w:lang w:val="en-US" w:eastAsia="zh-CN"/>
              </w:rPr>
              <w:t>图2-1 本项目水平衡图</w:t>
            </w:r>
          </w:p>
          <w:p w14:paraId="0D664246">
            <w:pPr>
              <w:rPr>
                <w:rFonts w:hint="default"/>
                <w:color w:val="auto"/>
                <w:lang w:val="en-US" w:eastAsia="zh-CN"/>
              </w:rPr>
            </w:pPr>
          </w:p>
          <w:p w14:paraId="09FCE2CA">
            <w:pPr>
              <w:rPr>
                <w:rFonts w:hint="default"/>
                <w:color w:val="auto"/>
                <w:lang w:val="en-US" w:eastAsia="zh-CN"/>
              </w:rPr>
            </w:pPr>
          </w:p>
          <w:p w14:paraId="3FA8879C">
            <w:pPr>
              <w:rPr>
                <w:rFonts w:hint="default"/>
                <w:color w:val="auto"/>
                <w:lang w:val="en-US" w:eastAsia="zh-CN"/>
              </w:rPr>
            </w:pPr>
          </w:p>
          <w:p w14:paraId="754B228B">
            <w:pPr>
              <w:rPr>
                <w:rFonts w:hint="default"/>
                <w:color w:val="auto"/>
                <w:lang w:val="en-US" w:eastAsia="zh-CN"/>
              </w:rPr>
            </w:pPr>
          </w:p>
          <w:p w14:paraId="28F99CB3">
            <w:pPr>
              <w:rPr>
                <w:rFonts w:hint="default"/>
                <w:color w:val="auto"/>
                <w:lang w:val="en-US" w:eastAsia="zh-CN"/>
              </w:rPr>
            </w:pPr>
          </w:p>
          <w:p w14:paraId="5990C4DE">
            <w:pPr>
              <w:rPr>
                <w:rFonts w:hint="default"/>
                <w:color w:val="auto"/>
                <w:lang w:val="en-US" w:eastAsia="zh-CN"/>
              </w:rPr>
            </w:pPr>
          </w:p>
        </w:tc>
      </w:tr>
    </w:tbl>
    <w:p w14:paraId="08FBDECC">
      <w:pPr>
        <w:rPr>
          <w:rFonts w:hint="eastAsia"/>
          <w:b/>
          <w:bCs/>
          <w:color w:val="auto"/>
          <w:lang w:val="en-US" w:eastAsia="zh-CN"/>
        </w:rPr>
        <w:sectPr>
          <w:footerReference r:id="rId6" w:type="default"/>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r>
        <w:rPr>
          <w:rFonts w:hint="eastAsia"/>
          <w:b/>
          <w:bCs/>
          <w:color w:val="auto"/>
          <w:lang w:val="en-US" w:eastAsia="zh-CN"/>
        </w:rPr>
        <w:br w:type="page"/>
      </w:r>
    </w:p>
    <w:tbl>
      <w:tblPr>
        <w:tblStyle w:val="19"/>
        <w:tblW w:w="89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80"/>
      </w:tblGrid>
      <w:tr w14:paraId="79DEDA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377" w:hRule="atLeast"/>
          <w:jc w:val="center"/>
        </w:trPr>
        <w:tc>
          <w:tcPr>
            <w:tcW w:w="8980" w:type="dxa"/>
            <w:noWrap w:val="0"/>
            <w:vAlign w:val="top"/>
          </w:tcPr>
          <w:p w14:paraId="266E8197">
            <w:pPr>
              <w:rPr>
                <w:rFonts w:hint="default"/>
                <w:b/>
                <w:bCs/>
                <w:color w:val="auto"/>
                <w:lang w:val="en-US" w:eastAsia="zh-CN"/>
              </w:rPr>
            </w:pPr>
            <w:r>
              <w:rPr>
                <w:rFonts w:hint="default"/>
                <w:color w:val="auto"/>
              </w:rPr>
              <w:br w:type="page"/>
            </w:r>
            <w:r>
              <w:rPr>
                <w:rFonts w:hint="eastAsia"/>
                <w:b/>
                <w:bCs/>
                <w:color w:val="auto"/>
                <w:lang w:val="en-US" w:eastAsia="zh-CN"/>
              </w:rPr>
              <w:t>9、主要工艺流程及产污环节</w:t>
            </w:r>
          </w:p>
          <w:p w14:paraId="7C6ADD31">
            <w:pPr>
              <w:bidi w:val="0"/>
              <w:ind w:firstLine="482" w:firstLineChars="200"/>
              <w:rPr>
                <w:rFonts w:hint="default"/>
                <w:color w:val="auto"/>
                <w:lang w:val="en-US" w:eastAsia="zh-CN"/>
              </w:rPr>
            </w:pPr>
            <w:r>
              <w:rPr>
                <w:rFonts w:hint="eastAsia"/>
                <w:b/>
                <w:bCs/>
                <w:color w:val="auto"/>
                <w:lang w:val="en-US" w:eastAsia="zh-CN"/>
              </w:rPr>
              <w:t>（1）工艺流程</w:t>
            </w:r>
          </w:p>
          <w:p w14:paraId="37235579">
            <w:pPr>
              <w:spacing w:line="360" w:lineRule="auto"/>
              <w:ind w:firstLine="480" w:firstLineChars="200"/>
              <w:rPr>
                <w:color w:val="auto"/>
                <w:sz w:val="24"/>
              </w:rPr>
            </w:pPr>
            <w:r>
              <w:rPr>
                <w:rFonts w:hint="eastAsia"/>
                <w:color w:val="auto"/>
                <w:sz w:val="24"/>
                <w:lang w:eastAsia="zh-CN"/>
              </w:rPr>
              <w:t>本项目</w:t>
            </w:r>
            <w:r>
              <w:rPr>
                <w:color w:val="auto"/>
                <w:sz w:val="24"/>
              </w:rPr>
              <w:t>主要从事钢制非标门的加工生产，其生产工艺流程如下：</w:t>
            </w:r>
          </w:p>
          <w:p w14:paraId="1954C54C">
            <w:pPr>
              <w:tabs>
                <w:tab w:val="left" w:pos="2973"/>
              </w:tabs>
              <w:spacing w:line="360" w:lineRule="auto"/>
              <w:ind w:firstLine="482" w:firstLineChars="200"/>
              <w:jc w:val="left"/>
              <w:rPr>
                <w:rFonts w:hint="eastAsia"/>
                <w:b/>
                <w:color w:val="auto"/>
                <w:lang w:eastAsia="zh-CN"/>
              </w:rPr>
            </w:pPr>
            <w:r>
              <w:rPr>
                <w:b/>
                <w:color w:val="auto"/>
                <w:sz w:val="24"/>
              </w:rPr>
              <w:t>前处理工艺流程及产污环节</w:t>
            </w:r>
            <w:r>
              <w:rPr>
                <w:rFonts w:hint="eastAsia"/>
                <w:b/>
                <w:color w:val="auto"/>
                <w:lang w:eastAsia="zh-CN"/>
              </w:rPr>
              <w:tab/>
            </w:r>
          </w:p>
          <w:p w14:paraId="331EE551">
            <w:pPr>
              <w:spacing w:line="240" w:lineRule="auto"/>
              <w:ind w:left="0" w:leftChars="0" w:firstLine="0" w:firstLineChars="0"/>
              <w:jc w:val="center"/>
              <w:rPr>
                <w:rFonts w:hint="eastAsia"/>
                <w:color w:val="auto"/>
                <w:lang w:eastAsia="zh-CN"/>
              </w:rPr>
            </w:pPr>
            <w:r>
              <w:rPr>
                <w:rFonts w:hint="eastAsia"/>
                <w:color w:val="auto"/>
                <w:lang w:val="en-US" w:eastAsia="zh-CN"/>
              </w:rPr>
              <w:t>`</w:t>
            </w:r>
            <w:r>
              <w:rPr>
                <w:rFonts w:hint="eastAsia"/>
                <w:color w:val="auto"/>
                <w:lang w:eastAsia="zh-CN"/>
              </w:rPr>
              <w:drawing>
                <wp:inline distT="0" distB="0" distL="114300" distR="114300">
                  <wp:extent cx="4091305" cy="5179060"/>
                  <wp:effectExtent l="0" t="0" r="4445" b="2540"/>
                  <wp:docPr id="96" name="图片 9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1"/>
                          <pic:cNvPicPr>
                            <a:picLocks noChangeAspect="1"/>
                          </pic:cNvPicPr>
                        </pic:nvPicPr>
                        <pic:blipFill>
                          <a:blip r:embed="rId10"/>
                          <a:srcRect t="2090"/>
                          <a:stretch>
                            <a:fillRect/>
                          </a:stretch>
                        </pic:blipFill>
                        <pic:spPr>
                          <a:xfrm>
                            <a:off x="0" y="0"/>
                            <a:ext cx="4091305" cy="5179060"/>
                          </a:xfrm>
                          <a:prstGeom prst="rect">
                            <a:avLst/>
                          </a:prstGeom>
                        </pic:spPr>
                      </pic:pic>
                    </a:graphicData>
                  </a:graphic>
                </wp:inline>
              </w:drawing>
            </w:r>
          </w:p>
          <w:p w14:paraId="3438B491">
            <w:pPr>
              <w:tabs>
                <w:tab w:val="left" w:pos="2973"/>
              </w:tabs>
              <w:spacing w:line="240" w:lineRule="auto"/>
              <w:jc w:val="center"/>
              <w:rPr>
                <w:b/>
                <w:color w:val="auto"/>
              </w:rPr>
            </w:pPr>
            <w:r>
              <w:rPr>
                <w:rFonts w:hint="eastAsia"/>
                <w:b/>
                <w:color w:val="auto"/>
                <w:lang w:eastAsia="zh-CN"/>
              </w:rPr>
              <w:t>图</w:t>
            </w:r>
            <w:r>
              <w:rPr>
                <w:b/>
                <w:color w:val="auto"/>
              </w:rPr>
              <w:t>2</w:t>
            </w:r>
            <w:r>
              <w:rPr>
                <w:rFonts w:hint="eastAsia"/>
                <w:b/>
                <w:color w:val="auto"/>
                <w:lang w:val="en-US" w:eastAsia="zh-CN"/>
              </w:rPr>
              <w:t>-</w:t>
            </w:r>
            <w:r>
              <w:rPr>
                <w:b/>
                <w:color w:val="auto"/>
              </w:rPr>
              <w:t>2</w:t>
            </w:r>
            <w:r>
              <w:rPr>
                <w:rFonts w:hint="eastAsia"/>
                <w:b/>
                <w:color w:val="auto"/>
              </w:rPr>
              <w:t xml:space="preserve">  </w:t>
            </w:r>
            <w:r>
              <w:rPr>
                <w:b/>
                <w:color w:val="auto"/>
              </w:rPr>
              <w:t>前处理工艺流程及产污节点图</w:t>
            </w:r>
          </w:p>
          <w:p w14:paraId="211D22F4">
            <w:pPr>
              <w:spacing w:line="360" w:lineRule="auto"/>
              <w:ind w:firstLine="482" w:firstLineChars="200"/>
              <w:rPr>
                <w:b/>
                <w:color w:val="auto"/>
                <w:sz w:val="24"/>
              </w:rPr>
            </w:pPr>
            <w:r>
              <w:rPr>
                <w:b/>
                <w:color w:val="auto"/>
                <w:sz w:val="24"/>
              </w:rPr>
              <w:t>主要工艺流程说明：</w:t>
            </w:r>
          </w:p>
          <w:p w14:paraId="262488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①</w:t>
            </w:r>
            <w:r>
              <w:rPr>
                <w:color w:val="auto"/>
                <w:sz w:val="24"/>
              </w:rPr>
              <w:t>剪板、冲孔：将外购的钢带采用剪板机对钢板进行剪切，剪切后的钢带采用压力机对其进行冲孔，此工段产生废边角料（S1）、噪声（N）。</w:t>
            </w:r>
          </w:p>
          <w:p w14:paraId="289BF3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②</w:t>
            </w:r>
            <w:r>
              <w:rPr>
                <w:color w:val="auto"/>
                <w:sz w:val="24"/>
              </w:rPr>
              <w:t>折弯：采用折弯机对冲孔后的工件进行折弯。</w:t>
            </w:r>
          </w:p>
          <w:p w14:paraId="68416C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③</w:t>
            </w:r>
            <w:r>
              <w:rPr>
                <w:color w:val="auto"/>
                <w:sz w:val="24"/>
              </w:rPr>
              <w:t>脱脂：常温下向脱脂槽内的自来水中加入脱脂粉配置脱脂液，利用航车起吊工件在脱脂液浸泡约30min，缓慢抬起，</w:t>
            </w:r>
            <w:r>
              <w:rPr>
                <w:rFonts w:hint="eastAsia"/>
                <w:color w:val="auto"/>
                <w:sz w:val="24"/>
                <w:lang w:eastAsia="zh-CN"/>
              </w:rPr>
              <w:t>在脱脂槽上方悬挂一段时间沥干，</w:t>
            </w:r>
            <w:r>
              <w:rPr>
                <w:color w:val="auto"/>
                <w:sz w:val="24"/>
              </w:rPr>
              <w:t>来清除金属表面油污。脱脂槽内药剂半</w:t>
            </w:r>
            <w:r>
              <w:rPr>
                <w:rFonts w:hint="eastAsia"/>
                <w:color w:val="auto"/>
                <w:sz w:val="24"/>
                <w:lang w:eastAsia="zh-CN"/>
              </w:rPr>
              <w:t>年</w:t>
            </w:r>
            <w:r>
              <w:rPr>
                <w:color w:val="auto"/>
                <w:sz w:val="24"/>
              </w:rPr>
              <w:t>更换一次。主要产生脱脂废</w:t>
            </w:r>
            <w:r>
              <w:rPr>
                <w:rFonts w:hint="eastAsia"/>
                <w:color w:val="auto"/>
                <w:sz w:val="24"/>
                <w:lang w:eastAsia="zh-CN"/>
              </w:rPr>
              <w:t>液</w:t>
            </w:r>
            <w:r>
              <w:rPr>
                <w:color w:val="auto"/>
                <w:sz w:val="24"/>
              </w:rPr>
              <w:t>（W1）、废渣（S2）</w:t>
            </w:r>
            <w:r>
              <w:rPr>
                <w:rFonts w:hint="eastAsia"/>
                <w:color w:val="auto"/>
                <w:sz w:val="24"/>
                <w:lang w:eastAsia="zh-CN"/>
              </w:rPr>
              <w:t>，均作为危废暂存于危废暂存间定期交由有资质单位处置</w:t>
            </w:r>
            <w:r>
              <w:rPr>
                <w:color w:val="auto"/>
                <w:sz w:val="24"/>
              </w:rPr>
              <w:t>。</w:t>
            </w:r>
          </w:p>
          <w:p w14:paraId="1D6141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④</w:t>
            </w:r>
            <w:r>
              <w:rPr>
                <w:color w:val="auto"/>
                <w:sz w:val="24"/>
              </w:rPr>
              <w:t>水洗：脱脂完成后，型材取出沥干后浸入水洗槽进行水洗，每次0.5～1min，水洗一定次数后有水洗废水产生，</w:t>
            </w:r>
            <w:r>
              <w:rPr>
                <w:rFonts w:hint="eastAsia"/>
                <w:color w:val="auto"/>
                <w:sz w:val="24"/>
                <w:lang w:eastAsia="zh-CN"/>
              </w:rPr>
              <w:t>每月</w:t>
            </w:r>
            <w:r>
              <w:rPr>
                <w:color w:val="auto"/>
                <w:sz w:val="24"/>
              </w:rPr>
              <w:t>更换一次，主要产生</w:t>
            </w:r>
            <w:r>
              <w:rPr>
                <w:rFonts w:hint="eastAsia"/>
                <w:color w:val="auto"/>
                <w:sz w:val="24"/>
                <w:lang w:eastAsia="zh-CN"/>
              </w:rPr>
              <w:t>脱脂</w:t>
            </w:r>
            <w:r>
              <w:rPr>
                <w:color w:val="auto"/>
                <w:sz w:val="24"/>
              </w:rPr>
              <w:t>水洗废水（W2）</w:t>
            </w:r>
            <w:r>
              <w:rPr>
                <w:rFonts w:hint="eastAsia"/>
                <w:color w:val="auto"/>
                <w:sz w:val="24"/>
                <w:lang w:eastAsia="zh-CN"/>
              </w:rPr>
              <w:t>，经厂区自建污水处理站处理后回用于水洗</w:t>
            </w:r>
            <w:r>
              <w:rPr>
                <w:color w:val="auto"/>
                <w:sz w:val="24"/>
              </w:rPr>
              <w:t>。</w:t>
            </w:r>
          </w:p>
          <w:p w14:paraId="7E2AA7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olor w:val="auto"/>
                <w:sz w:val="24"/>
                <w:lang w:eastAsia="zh-CN"/>
              </w:rPr>
            </w:pPr>
            <w:r>
              <w:rPr>
                <w:rFonts w:hint="eastAsia"/>
                <w:color w:val="auto"/>
                <w:sz w:val="24"/>
                <w:lang w:eastAsia="zh-CN"/>
              </w:rPr>
              <w:t>⑤</w:t>
            </w:r>
            <w:r>
              <w:rPr>
                <w:color w:val="auto"/>
                <w:sz w:val="24"/>
              </w:rPr>
              <w:t>表调：表调剂可消除金属门板经强碱性脱脂除锈所引起的腐蚀不均等缺陷，提高磷化速度，缩短处理时间，使金属工件在磷化过程中产生结晶致密均匀的磷酸盐皮膜，同时增强耐蚀性能，提高涂膜附着力与降低磷化沉渣等。表调剂的主要成分是钛盐及保持溶液中钛基团活性的添加剂与pH缓冲剂、水质调整剂。脱脂水洗后对型材进行表调处理，每次1～2min，表调液</w:t>
            </w:r>
            <w:r>
              <w:rPr>
                <w:rFonts w:hint="eastAsia"/>
                <w:color w:val="auto"/>
                <w:sz w:val="24"/>
                <w:lang w:eastAsia="zh-CN"/>
              </w:rPr>
              <w:t>半年</w:t>
            </w:r>
            <w:r>
              <w:rPr>
                <w:color w:val="auto"/>
                <w:sz w:val="24"/>
              </w:rPr>
              <w:t>换一次。主要产生表调废</w:t>
            </w:r>
            <w:r>
              <w:rPr>
                <w:rFonts w:hint="eastAsia"/>
                <w:color w:val="auto"/>
                <w:sz w:val="24"/>
                <w:lang w:eastAsia="zh-CN"/>
              </w:rPr>
              <w:t>液</w:t>
            </w:r>
            <w:r>
              <w:rPr>
                <w:color w:val="auto"/>
                <w:sz w:val="24"/>
              </w:rPr>
              <w:t>（W3）、废渣（S4）</w:t>
            </w:r>
            <w:r>
              <w:rPr>
                <w:rFonts w:hint="eastAsia"/>
                <w:color w:val="auto"/>
                <w:sz w:val="24"/>
                <w:lang w:eastAsia="zh-CN"/>
              </w:rPr>
              <w:t>，均作为危废暂存于危废暂存间定期交由有资质单位处置</w:t>
            </w:r>
            <w:r>
              <w:rPr>
                <w:color w:val="auto"/>
                <w:sz w:val="24"/>
              </w:rPr>
              <w:t>。</w:t>
            </w:r>
          </w:p>
          <w:p w14:paraId="5DB77E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⑥</w:t>
            </w:r>
            <w:r>
              <w:rPr>
                <w:color w:val="auto"/>
                <w:sz w:val="24"/>
              </w:rPr>
              <w:t>磷化：为了保护工件基材不受腐蚀，同时解决涂层与基材的附着性，表调处理后的工件需要进行磷化处理。一般采用锌系磷化体系（液态），其成分主要是</w:t>
            </w:r>
            <w:r>
              <w:rPr>
                <w:rFonts w:hint="eastAsia"/>
                <w:color w:val="auto"/>
                <w:sz w:val="24"/>
              </w:rPr>
              <w:t>氧化锌</w:t>
            </w:r>
            <w:r>
              <w:rPr>
                <w:rFonts w:hint="eastAsia"/>
                <w:color w:val="auto"/>
                <w:sz w:val="24"/>
                <w:lang w:eastAsia="zh-CN"/>
              </w:rPr>
              <w:t>、</w:t>
            </w:r>
            <w:r>
              <w:rPr>
                <w:rFonts w:hint="eastAsia"/>
                <w:color w:val="auto"/>
                <w:sz w:val="24"/>
              </w:rPr>
              <w:t>磷酸</w:t>
            </w:r>
            <w:r>
              <w:rPr>
                <w:rFonts w:hint="eastAsia"/>
                <w:color w:val="auto"/>
                <w:sz w:val="24"/>
                <w:lang w:eastAsia="zh-CN"/>
              </w:rPr>
              <w:t>、</w:t>
            </w:r>
            <w:r>
              <w:rPr>
                <w:rFonts w:hint="eastAsia"/>
                <w:color w:val="auto"/>
                <w:sz w:val="24"/>
              </w:rPr>
              <w:t>硝酸锌</w:t>
            </w:r>
            <w:r>
              <w:rPr>
                <w:color w:val="auto"/>
                <w:sz w:val="24"/>
              </w:rPr>
              <w:t>，磷化废水半</w:t>
            </w:r>
            <w:r>
              <w:rPr>
                <w:rFonts w:hint="eastAsia"/>
                <w:color w:val="auto"/>
                <w:sz w:val="24"/>
                <w:lang w:eastAsia="zh-CN"/>
              </w:rPr>
              <w:t>年</w:t>
            </w:r>
            <w:r>
              <w:rPr>
                <w:color w:val="auto"/>
                <w:sz w:val="24"/>
              </w:rPr>
              <w:t>更换一次。主要产生磷化废</w:t>
            </w:r>
            <w:r>
              <w:rPr>
                <w:rFonts w:hint="eastAsia"/>
                <w:color w:val="auto"/>
                <w:sz w:val="24"/>
                <w:lang w:eastAsia="zh-CN"/>
              </w:rPr>
              <w:t>液</w:t>
            </w:r>
            <w:r>
              <w:rPr>
                <w:color w:val="auto"/>
                <w:sz w:val="24"/>
              </w:rPr>
              <w:t>（W4）、废渣（S5）</w:t>
            </w:r>
            <w:r>
              <w:rPr>
                <w:rFonts w:hint="eastAsia"/>
                <w:color w:val="auto"/>
                <w:sz w:val="24"/>
                <w:lang w:eastAsia="zh-CN"/>
              </w:rPr>
              <w:t>，均作为危废暂存于危废暂存间定期交由有资质单位处置</w:t>
            </w:r>
            <w:r>
              <w:rPr>
                <w:color w:val="auto"/>
                <w:sz w:val="24"/>
              </w:rPr>
              <w:t>。</w:t>
            </w:r>
          </w:p>
          <w:p w14:paraId="5D4399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⑦</w:t>
            </w:r>
            <w:r>
              <w:rPr>
                <w:color w:val="auto"/>
                <w:sz w:val="24"/>
              </w:rPr>
              <w:t>水洗：磷化后进行水洗，与水洗1流程相同，磷化水洗废水每</w:t>
            </w:r>
            <w:r>
              <w:rPr>
                <w:rFonts w:hint="eastAsia"/>
                <w:color w:val="auto"/>
                <w:sz w:val="24"/>
                <w:lang w:eastAsia="zh-CN"/>
              </w:rPr>
              <w:t>月</w:t>
            </w:r>
            <w:r>
              <w:rPr>
                <w:color w:val="auto"/>
                <w:sz w:val="24"/>
              </w:rPr>
              <w:t>更换一次。主要产生</w:t>
            </w:r>
            <w:r>
              <w:rPr>
                <w:rFonts w:hint="eastAsia"/>
                <w:color w:val="auto"/>
                <w:sz w:val="24"/>
                <w:lang w:eastAsia="zh-CN"/>
              </w:rPr>
              <w:t>磷化</w:t>
            </w:r>
            <w:r>
              <w:rPr>
                <w:color w:val="auto"/>
                <w:sz w:val="24"/>
              </w:rPr>
              <w:t>水洗废水（W5）</w:t>
            </w:r>
            <w:r>
              <w:rPr>
                <w:rFonts w:hint="eastAsia"/>
                <w:color w:val="auto"/>
                <w:sz w:val="24"/>
                <w:lang w:eastAsia="zh-CN"/>
              </w:rPr>
              <w:t>，经厂区自建污水处理站处理后回用于水洗</w:t>
            </w:r>
            <w:r>
              <w:rPr>
                <w:color w:val="auto"/>
                <w:sz w:val="24"/>
              </w:rPr>
              <w:t>。</w:t>
            </w:r>
          </w:p>
          <w:p w14:paraId="7B500A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⑧</w:t>
            </w:r>
            <w:r>
              <w:rPr>
                <w:color w:val="auto"/>
                <w:sz w:val="24"/>
              </w:rPr>
              <w:t>自然晾干、切角：前处理后的工件采取自然通风的方式晾干，用于生产门框的工件进入切角工序，采用切角机对门框内角进行适当切割使门框能够与门页更好吻合，此工段会产生废边角料（S1）、噪声（N）。</w:t>
            </w:r>
          </w:p>
          <w:p w14:paraId="7B9CD7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⑨</w:t>
            </w:r>
            <w:r>
              <w:rPr>
                <w:color w:val="auto"/>
                <w:sz w:val="24"/>
              </w:rPr>
              <w:t>胶合：胶合工序是</w:t>
            </w:r>
            <w:r>
              <w:rPr>
                <w:rFonts w:hint="eastAsia"/>
                <w:color w:val="auto"/>
                <w:sz w:val="24"/>
              </w:rPr>
              <w:t>用胶合剂将蜂窝纸填充在晾干好的两门板之间</w:t>
            </w:r>
            <w:r>
              <w:rPr>
                <w:color w:val="auto"/>
                <w:sz w:val="24"/>
              </w:rPr>
              <w:t>。胶合机内部布设多条热水循环管道，胶合采用电热水炉间接供热，胶合温度为65℃~80℃之间，胶合时间10min。项目胶水采用发泡胶，具有粘接强度高，耐候性好，使用简便和耐水的特点。此过程会产生有机废气（G1）。</w:t>
            </w:r>
          </w:p>
          <w:p w14:paraId="1CB1CA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eastAsia="zh-CN"/>
              </w:rPr>
              <w:t>⑩</w:t>
            </w:r>
            <w:r>
              <w:rPr>
                <w:color w:val="auto"/>
                <w:sz w:val="24"/>
              </w:rPr>
              <w:t>焊接：项目采用二氧化碳气体保护焊对前处理后的工件分别进行焊接，项目采用0.8mm的实芯焊丝，外购钢瓶装的二氧化碳气体。此过程会产生焊接烟尘（G2）、噪声（N）。焊接完的工件转入喷涂烘干工序。</w:t>
            </w:r>
          </w:p>
          <w:p w14:paraId="7AF0B659">
            <w:pPr>
              <w:spacing w:line="360" w:lineRule="auto"/>
              <w:ind w:firstLine="482" w:firstLineChars="200"/>
              <w:rPr>
                <w:b/>
                <w:color w:val="auto"/>
                <w:sz w:val="24"/>
              </w:rPr>
            </w:pPr>
            <w:r>
              <w:rPr>
                <w:b/>
                <w:color w:val="auto"/>
                <w:sz w:val="24"/>
              </w:rPr>
              <w:t>喷涂烘干工艺流程及产污环节</w:t>
            </w:r>
          </w:p>
          <w:p w14:paraId="18EF53B6">
            <w:pPr>
              <w:spacing w:line="360" w:lineRule="auto"/>
              <w:ind w:firstLine="480" w:firstLineChars="200"/>
              <w:jc w:val="left"/>
              <w:rPr>
                <w:color w:val="auto"/>
                <w:sz w:val="24"/>
              </w:rPr>
            </w:pPr>
            <w:r>
              <w:rPr>
                <w:color w:val="auto"/>
                <w:sz w:val="24"/>
              </w:rPr>
              <w:t>前处理后的门页和门框工件后续工艺流程完全一致，对此不进行分别叙述。喷涂烘干工艺流程及产污环节详见下图：</w:t>
            </w:r>
          </w:p>
          <w:p w14:paraId="4DBEFAEA">
            <w:pPr>
              <w:spacing w:line="240" w:lineRule="auto"/>
              <w:jc w:val="center"/>
              <w:rPr>
                <w:rFonts w:hint="eastAsia" w:eastAsia="宋体"/>
                <w:color w:val="auto"/>
                <w:sz w:val="24"/>
                <w:lang w:eastAsia="zh-CN"/>
              </w:rPr>
            </w:pPr>
            <w:r>
              <w:rPr>
                <w:rFonts w:hint="eastAsia" w:eastAsia="宋体"/>
                <w:color w:val="auto"/>
                <w:sz w:val="24"/>
                <w:lang w:eastAsia="zh-CN"/>
              </w:rPr>
              <w:drawing>
                <wp:inline distT="0" distB="0" distL="114300" distR="114300">
                  <wp:extent cx="4040505" cy="4344035"/>
                  <wp:effectExtent l="0" t="0" r="17145" b="18415"/>
                  <wp:docPr id="97" name="图片 9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2"/>
                          <pic:cNvPicPr>
                            <a:picLocks noChangeAspect="1"/>
                          </pic:cNvPicPr>
                        </pic:nvPicPr>
                        <pic:blipFill>
                          <a:blip r:embed="rId11"/>
                          <a:srcRect b="1661"/>
                          <a:stretch>
                            <a:fillRect/>
                          </a:stretch>
                        </pic:blipFill>
                        <pic:spPr>
                          <a:xfrm>
                            <a:off x="0" y="0"/>
                            <a:ext cx="4040505" cy="4344035"/>
                          </a:xfrm>
                          <a:prstGeom prst="rect">
                            <a:avLst/>
                          </a:prstGeom>
                        </pic:spPr>
                      </pic:pic>
                    </a:graphicData>
                  </a:graphic>
                </wp:inline>
              </w:drawing>
            </w:r>
          </w:p>
          <w:p w14:paraId="4F714069">
            <w:pPr>
              <w:spacing w:line="360" w:lineRule="auto"/>
              <w:jc w:val="center"/>
              <w:rPr>
                <w:rFonts w:hint="eastAsia"/>
                <w:b/>
                <w:color w:val="auto"/>
              </w:rPr>
            </w:pPr>
            <w:r>
              <w:rPr>
                <w:b/>
                <w:color w:val="auto"/>
              </w:rPr>
              <w:t>图</w:t>
            </w:r>
            <w:r>
              <w:rPr>
                <w:rFonts w:hint="eastAsia"/>
                <w:b/>
                <w:color w:val="auto"/>
                <w:lang w:val="en-US" w:eastAsia="zh-CN"/>
              </w:rPr>
              <w:t>2</w:t>
            </w:r>
            <w:r>
              <w:rPr>
                <w:b/>
                <w:color w:val="auto"/>
              </w:rPr>
              <w:t>-</w:t>
            </w:r>
            <w:r>
              <w:rPr>
                <w:rFonts w:hint="eastAsia"/>
                <w:b/>
                <w:color w:val="auto"/>
                <w:lang w:val="en-US" w:eastAsia="zh-CN"/>
              </w:rPr>
              <w:t>3</w:t>
            </w:r>
            <w:r>
              <w:rPr>
                <w:b/>
                <w:color w:val="auto"/>
              </w:rPr>
              <w:t xml:space="preserve"> </w:t>
            </w:r>
            <w:r>
              <w:rPr>
                <w:rFonts w:hint="eastAsia"/>
                <w:b/>
                <w:color w:val="auto"/>
                <w:lang w:val="en-US" w:eastAsia="zh-CN"/>
              </w:rPr>
              <w:t xml:space="preserve"> </w:t>
            </w:r>
            <w:r>
              <w:rPr>
                <w:b/>
                <w:color w:val="auto"/>
              </w:rPr>
              <w:t>喷涂烘干工艺流程及产污节点图</w:t>
            </w:r>
          </w:p>
          <w:p w14:paraId="1521A4C8">
            <w:pPr>
              <w:spacing w:line="360" w:lineRule="auto"/>
              <w:ind w:firstLine="482" w:firstLineChars="200"/>
              <w:rPr>
                <w:b/>
                <w:color w:val="auto"/>
                <w:sz w:val="24"/>
              </w:rPr>
            </w:pPr>
            <w:r>
              <w:rPr>
                <w:b/>
                <w:color w:val="auto"/>
                <w:sz w:val="24"/>
              </w:rPr>
              <w:t>主要工艺流程说明</w:t>
            </w:r>
          </w:p>
          <w:p w14:paraId="5B8D161F">
            <w:pPr>
              <w:spacing w:line="360" w:lineRule="auto"/>
              <w:ind w:firstLine="480" w:firstLineChars="200"/>
              <w:rPr>
                <w:color w:val="auto"/>
                <w:sz w:val="24"/>
              </w:rPr>
            </w:pPr>
            <w:r>
              <w:rPr>
                <w:rFonts w:hint="eastAsia"/>
                <w:color w:val="auto"/>
                <w:sz w:val="24"/>
                <w:lang w:eastAsia="zh-CN"/>
              </w:rPr>
              <w:t>①</w:t>
            </w:r>
            <w:r>
              <w:rPr>
                <w:color w:val="auto"/>
                <w:sz w:val="24"/>
              </w:rPr>
              <w:t>喷塑：项目前处理后的工件均需要进行喷塑，项目相邻设置2台喷塑设备，工件通过传送带上的挂具悬挂送入喷塑室进行静电喷塑，静电喷塑是在喷枪与工件之间形成一个高压电晕放电电场，当粉末粒子由喷枪口喷出经过放电区时，便补集了大量的电子，成为带负电的微粒，在静电吸引的作用下，被吸附到带正电荷的工件上。喷塑过程会产生粉尘（G3），粉尘经设备自带的滤芯回收装置处理后经脉冲式布袋除尘器处理后通过1根15m高排气筒排放。</w:t>
            </w:r>
          </w:p>
          <w:p w14:paraId="36DC3E64">
            <w:pPr>
              <w:spacing w:line="360" w:lineRule="auto"/>
              <w:ind w:firstLine="480" w:firstLineChars="200"/>
              <w:rPr>
                <w:color w:val="auto"/>
                <w:sz w:val="24"/>
              </w:rPr>
            </w:pPr>
            <w:r>
              <w:rPr>
                <w:rFonts w:hint="eastAsia"/>
                <w:color w:val="auto"/>
                <w:sz w:val="24"/>
                <w:lang w:eastAsia="zh-CN"/>
              </w:rPr>
              <w:t>②</w:t>
            </w:r>
            <w:r>
              <w:rPr>
                <w:color w:val="auto"/>
                <w:sz w:val="24"/>
              </w:rPr>
              <w:t>固化、烘干：工件的固化和烘干工序均在几乎密闭的烘道内进行，烘道由燃天然气热风炉热风管道间接加热，烘道固化烘干温度要求在180~190℃，烘干时间10-20min，此工段产生固化废气（G4），烘干废气（G7），天然气燃烧废气（G5）。固化、烘干废气</w:t>
            </w:r>
            <w:r>
              <w:rPr>
                <w:rFonts w:hint="eastAsia"/>
                <w:color w:val="auto"/>
                <w:sz w:val="24"/>
                <w:lang w:eastAsia="zh-CN"/>
              </w:rPr>
              <w:t>、</w:t>
            </w:r>
            <w:r>
              <w:rPr>
                <w:color w:val="auto"/>
                <w:sz w:val="24"/>
              </w:rPr>
              <w:t>天然气燃烧尾气</w:t>
            </w:r>
            <w:r>
              <w:rPr>
                <w:rFonts w:hint="eastAsia"/>
                <w:color w:val="auto"/>
                <w:sz w:val="24"/>
                <w:lang w:eastAsia="zh-CN"/>
              </w:rPr>
              <w:t>经</w:t>
            </w:r>
            <w:r>
              <w:rPr>
                <w:color w:val="auto"/>
                <w:sz w:val="24"/>
              </w:rPr>
              <w:t>负压集气系统收集后纳入1套二级活性炭吸附装置处理后通过1根15m高排气筒排放。</w:t>
            </w:r>
          </w:p>
          <w:p w14:paraId="6B02372E">
            <w:pPr>
              <w:spacing w:line="360" w:lineRule="auto"/>
              <w:ind w:firstLine="480" w:firstLineChars="200"/>
              <w:rPr>
                <w:color w:val="auto"/>
                <w:sz w:val="24"/>
              </w:rPr>
            </w:pPr>
            <w:r>
              <w:rPr>
                <w:rFonts w:hint="eastAsia"/>
                <w:color w:val="auto"/>
                <w:sz w:val="24"/>
                <w:lang w:eastAsia="zh-CN"/>
              </w:rPr>
              <w:t>③</w:t>
            </w:r>
            <w:r>
              <w:rPr>
                <w:color w:val="auto"/>
                <w:sz w:val="24"/>
              </w:rPr>
              <w:t>喷漆：塑粉作为工件所需的底漆，底漆烘干后需要喷涂两道液体面漆，项目设置2台水帘喷漆柜，工件通过传送带，依次进行喷涂第一道面漆→烘干→喷涂第二道面漆→烘干。喷漆过程为人工手动喷漆，项目配置2把喷漆，分别用于两道面漆的喷涂。漆雾被水帘去除后被水流带入水池内，定期向水帘柜废水内投加絮凝剂形成漆渣，每月清理一次漆渣，漆渣产生量约</w:t>
            </w:r>
            <w:r>
              <w:rPr>
                <w:rFonts w:hint="eastAsia"/>
                <w:color w:val="auto"/>
                <w:sz w:val="24"/>
              </w:rPr>
              <w:t>2.82</w:t>
            </w:r>
            <w:r>
              <w:rPr>
                <w:color w:val="auto"/>
                <w:sz w:val="24"/>
              </w:rPr>
              <w:t>t/a。</w:t>
            </w:r>
            <w:r>
              <w:rPr>
                <w:rFonts w:hint="eastAsia"/>
                <w:color w:val="auto"/>
                <w:sz w:val="24"/>
                <w:lang w:eastAsia="zh-CN"/>
              </w:rPr>
              <w:t>沉淀后的水帘用水回用</w:t>
            </w:r>
            <w:r>
              <w:rPr>
                <w:color w:val="auto"/>
                <w:sz w:val="24"/>
              </w:rPr>
              <w:t>。工件需喷涂2遍面漆，喷漆厚度为0.025mm，目的均在于保护金属表面不受外界环境大气、酸雨污染的浸蚀，防止紫外线穿透，大大增强抗老化能力，两道面漆使用的水性漆成分和用量均相同，只是第二遍选用光亮型的同类漆，提升产品的感官品质。喷漆工段会产生喷漆废气，废气</w:t>
            </w:r>
            <w:r>
              <w:rPr>
                <w:bCs/>
                <w:color w:val="auto"/>
                <w:sz w:val="24"/>
                <w:shd w:val="clear" w:color="auto" w:fill="FFFFFF"/>
              </w:rPr>
              <w:t>经</w:t>
            </w:r>
            <w:r>
              <w:rPr>
                <w:rFonts w:hint="eastAsia"/>
                <w:bCs/>
                <w:color w:val="auto"/>
                <w:sz w:val="24"/>
                <w:shd w:val="clear" w:color="auto" w:fill="FFFFFF"/>
              </w:rPr>
              <w:t>“</w:t>
            </w:r>
            <w:r>
              <w:rPr>
                <w:bCs/>
                <w:color w:val="auto"/>
                <w:sz w:val="24"/>
                <w:shd w:val="clear" w:color="auto" w:fill="FFFFFF"/>
              </w:rPr>
              <w:t>水幕吸收+干式过滤器</w:t>
            </w:r>
            <w:r>
              <w:rPr>
                <w:rFonts w:hint="eastAsia"/>
                <w:bCs/>
                <w:color w:val="auto"/>
                <w:sz w:val="24"/>
                <w:shd w:val="clear" w:color="auto" w:fill="FFFFFF"/>
              </w:rPr>
              <w:t>”</w:t>
            </w:r>
            <w:r>
              <w:rPr>
                <w:bCs/>
                <w:color w:val="auto"/>
                <w:sz w:val="24"/>
                <w:shd w:val="clear" w:color="auto" w:fill="FFFFFF"/>
              </w:rPr>
              <w:t>装置处理后纳入</w:t>
            </w:r>
            <w:r>
              <w:rPr>
                <w:color w:val="auto"/>
                <w:sz w:val="24"/>
              </w:rPr>
              <w:t>喷漆房</w:t>
            </w:r>
            <w:r>
              <w:rPr>
                <w:rFonts w:hint="eastAsia"/>
                <w:color w:val="auto"/>
                <w:sz w:val="24"/>
                <w:lang w:eastAsia="zh-CN"/>
              </w:rPr>
              <w:t>二级活性炭</w:t>
            </w:r>
            <w:r>
              <w:rPr>
                <w:color w:val="auto"/>
                <w:sz w:val="24"/>
              </w:rPr>
              <w:t>吸附装置处理后通过1根15m高排气筒排放。</w:t>
            </w:r>
          </w:p>
          <w:p w14:paraId="5A89FE9F">
            <w:pPr>
              <w:spacing w:line="360" w:lineRule="auto"/>
              <w:ind w:firstLine="480" w:firstLineChars="200"/>
              <w:rPr>
                <w:color w:val="auto"/>
                <w:sz w:val="24"/>
              </w:rPr>
            </w:pPr>
            <w:r>
              <w:rPr>
                <w:rFonts w:hint="eastAsia"/>
                <w:color w:val="auto"/>
                <w:sz w:val="24"/>
                <w:lang w:eastAsia="zh-CN"/>
              </w:rPr>
              <w:t>④</w:t>
            </w:r>
            <w:r>
              <w:rPr>
                <w:color w:val="auto"/>
                <w:sz w:val="24"/>
              </w:rPr>
              <w:t>人工组装：加工完的门页、门框与外购来的锁具、把手等配件通过螺丝人工组装起来。</w:t>
            </w:r>
          </w:p>
          <w:p w14:paraId="360CB533">
            <w:pPr>
              <w:bidi w:val="0"/>
              <w:ind w:firstLine="482" w:firstLineChars="200"/>
              <w:rPr>
                <w:color w:val="auto"/>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rFonts w:hint="eastAsia"/>
                <w:b/>
                <w:bCs/>
                <w:color w:val="auto"/>
              </w:rPr>
              <w:t>产排污环节</w:t>
            </w:r>
          </w:p>
          <w:p w14:paraId="018A560B">
            <w:pPr>
              <w:tabs>
                <w:tab w:val="left" w:pos="840"/>
                <w:tab w:val="right" w:leader="dot" w:pos="8820"/>
              </w:tabs>
              <w:spacing w:line="240" w:lineRule="auto"/>
              <w:jc w:val="center"/>
              <w:rPr>
                <w:b/>
                <w:color w:val="auto"/>
                <w:sz w:val="24"/>
              </w:rPr>
            </w:pPr>
            <w:r>
              <w:rPr>
                <w:b/>
                <w:color w:val="auto"/>
                <w:sz w:val="24"/>
              </w:rPr>
              <w:t>表</w:t>
            </w:r>
            <w:r>
              <w:rPr>
                <w:rFonts w:hint="eastAsia"/>
                <w:b/>
                <w:color w:val="auto"/>
                <w:sz w:val="24"/>
              </w:rPr>
              <w:t>2</w:t>
            </w:r>
            <w:r>
              <w:rPr>
                <w:rFonts w:hint="eastAsia"/>
                <w:b/>
                <w:color w:val="auto"/>
                <w:sz w:val="24"/>
                <w:lang w:val="en-US" w:eastAsia="zh-CN"/>
              </w:rPr>
              <w:t xml:space="preserve">-7  </w:t>
            </w:r>
            <w:r>
              <w:rPr>
                <w:b/>
                <w:color w:val="auto"/>
                <w:sz w:val="24"/>
              </w:rPr>
              <w:t>产污情况一览表</w:t>
            </w:r>
          </w:p>
          <w:tbl>
            <w:tblPr>
              <w:tblStyle w:val="19"/>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698"/>
              <w:gridCol w:w="2243"/>
              <w:gridCol w:w="2134"/>
              <w:gridCol w:w="2756"/>
            </w:tblGrid>
            <w:tr w14:paraId="33D7F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807" w:type="dxa"/>
                  <w:noWrap w:val="0"/>
                  <w:vAlign w:val="center"/>
                </w:tcPr>
                <w:p w14:paraId="553F6F12">
                  <w:pPr>
                    <w:pStyle w:val="5"/>
                    <w:bidi w:val="0"/>
                    <w:rPr>
                      <w:b/>
                      <w:bCs/>
                      <w:color w:val="auto"/>
                      <w:lang w:eastAsia="en-US"/>
                    </w:rPr>
                  </w:pPr>
                  <w:r>
                    <w:rPr>
                      <w:b/>
                      <w:bCs/>
                      <w:color w:val="auto"/>
                      <w:lang w:eastAsia="en-US"/>
                    </w:rPr>
                    <w:t>类别</w:t>
                  </w:r>
                </w:p>
              </w:tc>
              <w:tc>
                <w:tcPr>
                  <w:tcW w:w="698" w:type="dxa"/>
                  <w:noWrap w:val="0"/>
                  <w:vAlign w:val="center"/>
                </w:tcPr>
                <w:p w14:paraId="493BFA41">
                  <w:pPr>
                    <w:pStyle w:val="5"/>
                    <w:bidi w:val="0"/>
                    <w:rPr>
                      <w:b/>
                      <w:bCs/>
                      <w:color w:val="auto"/>
                      <w:lang w:eastAsia="en-US"/>
                    </w:rPr>
                  </w:pPr>
                  <w:r>
                    <w:rPr>
                      <w:b/>
                      <w:bCs/>
                      <w:color w:val="auto"/>
                      <w:lang w:eastAsia="en-US"/>
                    </w:rPr>
                    <w:t>编号</w:t>
                  </w:r>
                </w:p>
              </w:tc>
              <w:tc>
                <w:tcPr>
                  <w:tcW w:w="2243" w:type="dxa"/>
                  <w:noWrap w:val="0"/>
                  <w:vAlign w:val="center"/>
                </w:tcPr>
                <w:p w14:paraId="0A62E246">
                  <w:pPr>
                    <w:pStyle w:val="5"/>
                    <w:bidi w:val="0"/>
                    <w:rPr>
                      <w:b/>
                      <w:bCs/>
                      <w:color w:val="auto"/>
                    </w:rPr>
                  </w:pPr>
                  <w:r>
                    <w:rPr>
                      <w:b/>
                      <w:bCs/>
                      <w:color w:val="auto"/>
                    </w:rPr>
                    <w:t>名称</w:t>
                  </w:r>
                </w:p>
              </w:tc>
              <w:tc>
                <w:tcPr>
                  <w:tcW w:w="2134" w:type="dxa"/>
                  <w:noWrap w:val="0"/>
                  <w:vAlign w:val="center"/>
                </w:tcPr>
                <w:p w14:paraId="26D9EC05">
                  <w:pPr>
                    <w:pStyle w:val="5"/>
                    <w:bidi w:val="0"/>
                    <w:rPr>
                      <w:b/>
                      <w:bCs/>
                      <w:color w:val="auto"/>
                    </w:rPr>
                  </w:pPr>
                  <w:r>
                    <w:rPr>
                      <w:b/>
                      <w:bCs/>
                      <w:color w:val="auto"/>
                    </w:rPr>
                    <w:t>污染源</w:t>
                  </w:r>
                </w:p>
              </w:tc>
              <w:tc>
                <w:tcPr>
                  <w:tcW w:w="2756" w:type="dxa"/>
                  <w:noWrap w:val="0"/>
                  <w:vAlign w:val="center"/>
                </w:tcPr>
                <w:p w14:paraId="76033861">
                  <w:pPr>
                    <w:pStyle w:val="5"/>
                    <w:bidi w:val="0"/>
                    <w:rPr>
                      <w:b/>
                      <w:bCs/>
                      <w:color w:val="auto"/>
                    </w:rPr>
                  </w:pPr>
                  <w:r>
                    <w:rPr>
                      <w:b/>
                      <w:bCs/>
                      <w:color w:val="auto"/>
                      <w:lang w:eastAsia="en-US"/>
                    </w:rPr>
                    <w:t>主要污染</w:t>
                  </w:r>
                  <w:r>
                    <w:rPr>
                      <w:b/>
                      <w:bCs/>
                      <w:color w:val="auto"/>
                    </w:rPr>
                    <w:t>因子</w:t>
                  </w:r>
                </w:p>
              </w:tc>
            </w:tr>
            <w:tr w14:paraId="69886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807" w:type="dxa"/>
                  <w:vMerge w:val="restart"/>
                  <w:noWrap w:val="0"/>
                  <w:vAlign w:val="center"/>
                </w:tcPr>
                <w:p w14:paraId="6639B909">
                  <w:pPr>
                    <w:pStyle w:val="5"/>
                    <w:bidi w:val="0"/>
                    <w:rPr>
                      <w:color w:val="auto"/>
                    </w:rPr>
                  </w:pPr>
                  <w:r>
                    <w:rPr>
                      <w:color w:val="auto"/>
                    </w:rPr>
                    <w:t>废气</w:t>
                  </w:r>
                </w:p>
              </w:tc>
              <w:tc>
                <w:tcPr>
                  <w:tcW w:w="698" w:type="dxa"/>
                  <w:noWrap w:val="0"/>
                  <w:vAlign w:val="center"/>
                </w:tcPr>
                <w:p w14:paraId="72F041F6">
                  <w:pPr>
                    <w:pStyle w:val="5"/>
                    <w:bidi w:val="0"/>
                    <w:rPr>
                      <w:rFonts w:hint="eastAsia"/>
                      <w:color w:val="auto"/>
                    </w:rPr>
                  </w:pPr>
                  <w:r>
                    <w:rPr>
                      <w:color w:val="auto"/>
                    </w:rPr>
                    <w:t>G</w:t>
                  </w:r>
                  <w:r>
                    <w:rPr>
                      <w:rFonts w:hint="eastAsia"/>
                      <w:color w:val="auto"/>
                    </w:rPr>
                    <w:t>1</w:t>
                  </w:r>
                </w:p>
              </w:tc>
              <w:tc>
                <w:tcPr>
                  <w:tcW w:w="2243" w:type="dxa"/>
                  <w:noWrap w:val="0"/>
                  <w:vAlign w:val="center"/>
                </w:tcPr>
                <w:p w14:paraId="1A26D144">
                  <w:pPr>
                    <w:pStyle w:val="5"/>
                    <w:bidi w:val="0"/>
                    <w:rPr>
                      <w:rFonts w:hint="eastAsia"/>
                      <w:color w:val="auto"/>
                    </w:rPr>
                  </w:pPr>
                  <w:r>
                    <w:rPr>
                      <w:rFonts w:hint="eastAsia"/>
                      <w:color w:val="auto"/>
                    </w:rPr>
                    <w:t>胶合废气</w:t>
                  </w:r>
                </w:p>
              </w:tc>
              <w:tc>
                <w:tcPr>
                  <w:tcW w:w="2134" w:type="dxa"/>
                  <w:noWrap w:val="0"/>
                  <w:vAlign w:val="center"/>
                </w:tcPr>
                <w:p w14:paraId="14FBDEF0">
                  <w:pPr>
                    <w:pStyle w:val="5"/>
                    <w:bidi w:val="0"/>
                    <w:rPr>
                      <w:rFonts w:hint="eastAsia"/>
                      <w:color w:val="auto"/>
                    </w:rPr>
                  </w:pPr>
                  <w:r>
                    <w:rPr>
                      <w:rFonts w:hint="eastAsia"/>
                      <w:color w:val="auto"/>
                    </w:rPr>
                    <w:t>胶合</w:t>
                  </w:r>
                </w:p>
              </w:tc>
              <w:tc>
                <w:tcPr>
                  <w:tcW w:w="2756" w:type="dxa"/>
                  <w:noWrap w:val="0"/>
                  <w:vAlign w:val="center"/>
                </w:tcPr>
                <w:p w14:paraId="01C5A6D9">
                  <w:pPr>
                    <w:pStyle w:val="5"/>
                    <w:bidi w:val="0"/>
                    <w:rPr>
                      <w:color w:val="auto"/>
                    </w:rPr>
                  </w:pPr>
                  <w:r>
                    <w:rPr>
                      <w:color w:val="auto"/>
                    </w:rPr>
                    <w:t>VOCs</w:t>
                  </w:r>
                </w:p>
              </w:tc>
            </w:tr>
            <w:tr w14:paraId="60A9E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07" w:type="dxa"/>
                  <w:vMerge w:val="continue"/>
                  <w:noWrap w:val="0"/>
                  <w:vAlign w:val="center"/>
                </w:tcPr>
                <w:p w14:paraId="0629C061">
                  <w:pPr>
                    <w:pStyle w:val="5"/>
                    <w:bidi w:val="0"/>
                    <w:rPr>
                      <w:color w:val="auto"/>
                    </w:rPr>
                  </w:pPr>
                </w:p>
              </w:tc>
              <w:tc>
                <w:tcPr>
                  <w:tcW w:w="698" w:type="dxa"/>
                  <w:noWrap w:val="0"/>
                  <w:vAlign w:val="center"/>
                </w:tcPr>
                <w:p w14:paraId="6D88F5A7">
                  <w:pPr>
                    <w:pStyle w:val="5"/>
                    <w:bidi w:val="0"/>
                    <w:rPr>
                      <w:color w:val="auto"/>
                    </w:rPr>
                  </w:pPr>
                  <w:r>
                    <w:rPr>
                      <w:rFonts w:hint="eastAsia"/>
                      <w:color w:val="auto"/>
                    </w:rPr>
                    <w:t>G2</w:t>
                  </w:r>
                </w:p>
              </w:tc>
              <w:tc>
                <w:tcPr>
                  <w:tcW w:w="2243" w:type="dxa"/>
                  <w:noWrap w:val="0"/>
                  <w:vAlign w:val="center"/>
                </w:tcPr>
                <w:p w14:paraId="335F75DD">
                  <w:pPr>
                    <w:pStyle w:val="5"/>
                    <w:bidi w:val="0"/>
                    <w:rPr>
                      <w:rFonts w:hint="eastAsia"/>
                      <w:color w:val="auto"/>
                    </w:rPr>
                  </w:pPr>
                  <w:r>
                    <w:rPr>
                      <w:rFonts w:hint="eastAsia"/>
                      <w:color w:val="auto"/>
                    </w:rPr>
                    <w:t>焊接烟尘</w:t>
                  </w:r>
                </w:p>
              </w:tc>
              <w:tc>
                <w:tcPr>
                  <w:tcW w:w="2134" w:type="dxa"/>
                  <w:noWrap w:val="0"/>
                  <w:vAlign w:val="center"/>
                </w:tcPr>
                <w:p w14:paraId="594ED66E">
                  <w:pPr>
                    <w:pStyle w:val="5"/>
                    <w:bidi w:val="0"/>
                    <w:rPr>
                      <w:rFonts w:hint="eastAsia"/>
                      <w:color w:val="auto"/>
                    </w:rPr>
                  </w:pPr>
                  <w:r>
                    <w:rPr>
                      <w:rFonts w:hint="eastAsia"/>
                      <w:color w:val="auto"/>
                    </w:rPr>
                    <w:t>焊接</w:t>
                  </w:r>
                </w:p>
              </w:tc>
              <w:tc>
                <w:tcPr>
                  <w:tcW w:w="2756" w:type="dxa"/>
                  <w:noWrap w:val="0"/>
                  <w:vAlign w:val="center"/>
                </w:tcPr>
                <w:p w14:paraId="5A777607">
                  <w:pPr>
                    <w:pStyle w:val="5"/>
                    <w:bidi w:val="0"/>
                    <w:rPr>
                      <w:rFonts w:hint="eastAsia"/>
                      <w:color w:val="auto"/>
                    </w:rPr>
                  </w:pPr>
                  <w:r>
                    <w:rPr>
                      <w:rFonts w:hint="eastAsia"/>
                      <w:color w:val="auto"/>
                    </w:rPr>
                    <w:t>颗粒物</w:t>
                  </w:r>
                </w:p>
              </w:tc>
            </w:tr>
            <w:tr w14:paraId="503B9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807" w:type="dxa"/>
                  <w:vMerge w:val="continue"/>
                  <w:noWrap w:val="0"/>
                  <w:vAlign w:val="center"/>
                </w:tcPr>
                <w:p w14:paraId="64F43508">
                  <w:pPr>
                    <w:pStyle w:val="5"/>
                    <w:bidi w:val="0"/>
                    <w:rPr>
                      <w:color w:val="auto"/>
                    </w:rPr>
                  </w:pPr>
                </w:p>
              </w:tc>
              <w:tc>
                <w:tcPr>
                  <w:tcW w:w="698" w:type="dxa"/>
                  <w:noWrap w:val="0"/>
                  <w:vAlign w:val="center"/>
                </w:tcPr>
                <w:p w14:paraId="34245EB1">
                  <w:pPr>
                    <w:pStyle w:val="5"/>
                    <w:bidi w:val="0"/>
                    <w:rPr>
                      <w:rFonts w:hint="eastAsia"/>
                      <w:color w:val="auto"/>
                    </w:rPr>
                  </w:pPr>
                  <w:r>
                    <w:rPr>
                      <w:color w:val="auto"/>
                    </w:rPr>
                    <w:t>G</w:t>
                  </w:r>
                  <w:r>
                    <w:rPr>
                      <w:rFonts w:hint="eastAsia"/>
                      <w:color w:val="auto"/>
                    </w:rPr>
                    <w:t>3</w:t>
                  </w:r>
                </w:p>
              </w:tc>
              <w:tc>
                <w:tcPr>
                  <w:tcW w:w="2243" w:type="dxa"/>
                  <w:noWrap w:val="0"/>
                  <w:vAlign w:val="center"/>
                </w:tcPr>
                <w:p w14:paraId="7998C483">
                  <w:pPr>
                    <w:pStyle w:val="5"/>
                    <w:bidi w:val="0"/>
                    <w:rPr>
                      <w:rFonts w:hint="eastAsia"/>
                      <w:color w:val="auto"/>
                    </w:rPr>
                  </w:pPr>
                  <w:r>
                    <w:rPr>
                      <w:rFonts w:hint="eastAsia"/>
                      <w:color w:val="auto"/>
                    </w:rPr>
                    <w:t>喷塑粉尘</w:t>
                  </w:r>
                </w:p>
              </w:tc>
              <w:tc>
                <w:tcPr>
                  <w:tcW w:w="2134" w:type="dxa"/>
                  <w:noWrap w:val="0"/>
                  <w:vAlign w:val="center"/>
                </w:tcPr>
                <w:p w14:paraId="37A4BBBE">
                  <w:pPr>
                    <w:pStyle w:val="5"/>
                    <w:bidi w:val="0"/>
                    <w:rPr>
                      <w:rFonts w:hint="eastAsia"/>
                      <w:color w:val="auto"/>
                    </w:rPr>
                  </w:pPr>
                  <w:r>
                    <w:rPr>
                      <w:rFonts w:hint="eastAsia"/>
                      <w:color w:val="auto"/>
                    </w:rPr>
                    <w:t>喷塑</w:t>
                  </w:r>
                </w:p>
              </w:tc>
              <w:tc>
                <w:tcPr>
                  <w:tcW w:w="2756" w:type="dxa"/>
                  <w:noWrap w:val="0"/>
                  <w:vAlign w:val="center"/>
                </w:tcPr>
                <w:p w14:paraId="5E133C1A">
                  <w:pPr>
                    <w:pStyle w:val="5"/>
                    <w:bidi w:val="0"/>
                    <w:rPr>
                      <w:rFonts w:hint="eastAsia"/>
                      <w:color w:val="auto"/>
                    </w:rPr>
                  </w:pPr>
                  <w:r>
                    <w:rPr>
                      <w:rFonts w:hint="eastAsia"/>
                      <w:color w:val="auto"/>
                    </w:rPr>
                    <w:t>颗粒物</w:t>
                  </w:r>
                </w:p>
              </w:tc>
            </w:tr>
            <w:tr w14:paraId="493BB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07" w:type="dxa"/>
                  <w:vMerge w:val="continue"/>
                  <w:noWrap w:val="0"/>
                  <w:vAlign w:val="center"/>
                </w:tcPr>
                <w:p w14:paraId="2B048305">
                  <w:pPr>
                    <w:pStyle w:val="5"/>
                    <w:bidi w:val="0"/>
                    <w:rPr>
                      <w:color w:val="auto"/>
                    </w:rPr>
                  </w:pPr>
                </w:p>
              </w:tc>
              <w:tc>
                <w:tcPr>
                  <w:tcW w:w="698" w:type="dxa"/>
                  <w:noWrap w:val="0"/>
                  <w:vAlign w:val="center"/>
                </w:tcPr>
                <w:p w14:paraId="46A8E386">
                  <w:pPr>
                    <w:pStyle w:val="5"/>
                    <w:bidi w:val="0"/>
                    <w:rPr>
                      <w:color w:val="auto"/>
                    </w:rPr>
                  </w:pPr>
                  <w:r>
                    <w:rPr>
                      <w:rFonts w:hint="eastAsia"/>
                      <w:color w:val="auto"/>
                    </w:rPr>
                    <w:t>G4</w:t>
                  </w:r>
                </w:p>
              </w:tc>
              <w:tc>
                <w:tcPr>
                  <w:tcW w:w="2243" w:type="dxa"/>
                  <w:noWrap w:val="0"/>
                  <w:vAlign w:val="center"/>
                </w:tcPr>
                <w:p w14:paraId="7C979D8B">
                  <w:pPr>
                    <w:pStyle w:val="5"/>
                    <w:bidi w:val="0"/>
                    <w:rPr>
                      <w:rFonts w:hint="eastAsia"/>
                      <w:color w:val="auto"/>
                    </w:rPr>
                  </w:pPr>
                  <w:r>
                    <w:rPr>
                      <w:rFonts w:hint="eastAsia"/>
                      <w:color w:val="auto"/>
                    </w:rPr>
                    <w:t>固化废气</w:t>
                  </w:r>
                </w:p>
              </w:tc>
              <w:tc>
                <w:tcPr>
                  <w:tcW w:w="2134" w:type="dxa"/>
                  <w:noWrap w:val="0"/>
                  <w:vAlign w:val="center"/>
                </w:tcPr>
                <w:p w14:paraId="3FB1F25B">
                  <w:pPr>
                    <w:pStyle w:val="5"/>
                    <w:bidi w:val="0"/>
                    <w:rPr>
                      <w:rFonts w:hint="eastAsia"/>
                      <w:color w:val="auto"/>
                    </w:rPr>
                  </w:pPr>
                  <w:r>
                    <w:rPr>
                      <w:rFonts w:hint="eastAsia"/>
                      <w:color w:val="auto"/>
                    </w:rPr>
                    <w:t>固化</w:t>
                  </w:r>
                </w:p>
              </w:tc>
              <w:tc>
                <w:tcPr>
                  <w:tcW w:w="2756" w:type="dxa"/>
                  <w:noWrap w:val="0"/>
                  <w:vAlign w:val="center"/>
                </w:tcPr>
                <w:p w14:paraId="10150E8F">
                  <w:pPr>
                    <w:pStyle w:val="5"/>
                    <w:bidi w:val="0"/>
                    <w:rPr>
                      <w:rFonts w:hint="eastAsia"/>
                      <w:color w:val="auto"/>
                    </w:rPr>
                  </w:pPr>
                  <w:r>
                    <w:rPr>
                      <w:color w:val="auto"/>
                    </w:rPr>
                    <w:t>VOCs</w:t>
                  </w:r>
                </w:p>
              </w:tc>
            </w:tr>
            <w:tr w14:paraId="03D0D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07" w:type="dxa"/>
                  <w:vMerge w:val="continue"/>
                  <w:noWrap w:val="0"/>
                  <w:vAlign w:val="center"/>
                </w:tcPr>
                <w:p w14:paraId="4EEC91B9">
                  <w:pPr>
                    <w:pStyle w:val="5"/>
                    <w:bidi w:val="0"/>
                    <w:rPr>
                      <w:color w:val="auto"/>
                    </w:rPr>
                  </w:pPr>
                </w:p>
              </w:tc>
              <w:tc>
                <w:tcPr>
                  <w:tcW w:w="698" w:type="dxa"/>
                  <w:noWrap w:val="0"/>
                  <w:vAlign w:val="center"/>
                </w:tcPr>
                <w:p w14:paraId="51105D38">
                  <w:pPr>
                    <w:pStyle w:val="5"/>
                    <w:bidi w:val="0"/>
                    <w:rPr>
                      <w:color w:val="auto"/>
                    </w:rPr>
                  </w:pPr>
                  <w:r>
                    <w:rPr>
                      <w:rFonts w:hint="eastAsia"/>
                      <w:color w:val="auto"/>
                    </w:rPr>
                    <w:t>G5</w:t>
                  </w:r>
                </w:p>
              </w:tc>
              <w:tc>
                <w:tcPr>
                  <w:tcW w:w="2243" w:type="dxa"/>
                  <w:noWrap w:val="0"/>
                  <w:vAlign w:val="center"/>
                </w:tcPr>
                <w:p w14:paraId="7FE1C8CF">
                  <w:pPr>
                    <w:pStyle w:val="5"/>
                    <w:bidi w:val="0"/>
                    <w:rPr>
                      <w:color w:val="auto"/>
                    </w:rPr>
                  </w:pPr>
                  <w:r>
                    <w:rPr>
                      <w:rFonts w:hint="eastAsia"/>
                      <w:color w:val="auto"/>
                    </w:rPr>
                    <w:t>天然气燃烧废气</w:t>
                  </w:r>
                </w:p>
              </w:tc>
              <w:tc>
                <w:tcPr>
                  <w:tcW w:w="2134" w:type="dxa"/>
                  <w:noWrap w:val="0"/>
                  <w:vAlign w:val="center"/>
                </w:tcPr>
                <w:p w14:paraId="32175005">
                  <w:pPr>
                    <w:pStyle w:val="5"/>
                    <w:bidi w:val="0"/>
                    <w:rPr>
                      <w:color w:val="auto"/>
                    </w:rPr>
                  </w:pPr>
                  <w:r>
                    <w:rPr>
                      <w:rFonts w:hint="eastAsia"/>
                      <w:color w:val="auto"/>
                    </w:rPr>
                    <w:t>供热</w:t>
                  </w:r>
                </w:p>
              </w:tc>
              <w:tc>
                <w:tcPr>
                  <w:tcW w:w="2756" w:type="dxa"/>
                  <w:noWrap w:val="0"/>
                  <w:vAlign w:val="center"/>
                </w:tcPr>
                <w:p w14:paraId="27C44AF3">
                  <w:pPr>
                    <w:pStyle w:val="5"/>
                    <w:bidi w:val="0"/>
                    <w:rPr>
                      <w:rFonts w:hint="eastAsia"/>
                      <w:color w:val="auto"/>
                    </w:rPr>
                  </w:pPr>
                  <w:r>
                    <w:rPr>
                      <w:rFonts w:hint="eastAsia"/>
                      <w:color w:val="auto"/>
                    </w:rPr>
                    <w:t>颗粒物、SO</w:t>
                  </w:r>
                  <w:r>
                    <w:rPr>
                      <w:rFonts w:hint="eastAsia"/>
                      <w:color w:val="auto"/>
                      <w:vertAlign w:val="subscript"/>
                    </w:rPr>
                    <w:t>2</w:t>
                  </w:r>
                  <w:r>
                    <w:rPr>
                      <w:rFonts w:hint="eastAsia"/>
                      <w:color w:val="auto"/>
                    </w:rPr>
                    <w:t>、NO</w:t>
                  </w:r>
                  <w:r>
                    <w:rPr>
                      <w:rFonts w:hint="eastAsia"/>
                      <w:color w:val="auto"/>
                      <w:vertAlign w:val="subscript"/>
                    </w:rPr>
                    <w:t>X</w:t>
                  </w:r>
                </w:p>
              </w:tc>
            </w:tr>
            <w:tr w14:paraId="72424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07" w:type="dxa"/>
                  <w:vMerge w:val="continue"/>
                  <w:noWrap w:val="0"/>
                  <w:vAlign w:val="center"/>
                </w:tcPr>
                <w:p w14:paraId="576D1B0A">
                  <w:pPr>
                    <w:pStyle w:val="5"/>
                    <w:bidi w:val="0"/>
                    <w:rPr>
                      <w:color w:val="auto"/>
                    </w:rPr>
                  </w:pPr>
                </w:p>
              </w:tc>
              <w:tc>
                <w:tcPr>
                  <w:tcW w:w="698" w:type="dxa"/>
                  <w:noWrap w:val="0"/>
                  <w:vAlign w:val="center"/>
                </w:tcPr>
                <w:p w14:paraId="6D12BC1A">
                  <w:pPr>
                    <w:pStyle w:val="5"/>
                    <w:bidi w:val="0"/>
                    <w:rPr>
                      <w:color w:val="auto"/>
                    </w:rPr>
                  </w:pPr>
                  <w:r>
                    <w:rPr>
                      <w:rFonts w:hint="eastAsia"/>
                      <w:color w:val="auto"/>
                    </w:rPr>
                    <w:t>G6</w:t>
                  </w:r>
                </w:p>
              </w:tc>
              <w:tc>
                <w:tcPr>
                  <w:tcW w:w="2243" w:type="dxa"/>
                  <w:noWrap w:val="0"/>
                  <w:vAlign w:val="center"/>
                </w:tcPr>
                <w:p w14:paraId="0092939B">
                  <w:pPr>
                    <w:pStyle w:val="5"/>
                    <w:bidi w:val="0"/>
                    <w:rPr>
                      <w:rFonts w:hint="eastAsia"/>
                      <w:color w:val="auto"/>
                    </w:rPr>
                  </w:pPr>
                  <w:r>
                    <w:rPr>
                      <w:rFonts w:hint="eastAsia"/>
                      <w:color w:val="auto"/>
                    </w:rPr>
                    <w:t>喷漆废气</w:t>
                  </w:r>
                </w:p>
              </w:tc>
              <w:tc>
                <w:tcPr>
                  <w:tcW w:w="2134" w:type="dxa"/>
                  <w:noWrap w:val="0"/>
                  <w:vAlign w:val="center"/>
                </w:tcPr>
                <w:p w14:paraId="0D6AD70A">
                  <w:pPr>
                    <w:pStyle w:val="5"/>
                    <w:bidi w:val="0"/>
                    <w:rPr>
                      <w:rFonts w:hint="eastAsia"/>
                      <w:color w:val="auto"/>
                    </w:rPr>
                  </w:pPr>
                  <w:r>
                    <w:rPr>
                      <w:rFonts w:hint="eastAsia"/>
                      <w:color w:val="auto"/>
                    </w:rPr>
                    <w:t>喷漆</w:t>
                  </w:r>
                </w:p>
              </w:tc>
              <w:tc>
                <w:tcPr>
                  <w:tcW w:w="2756" w:type="dxa"/>
                  <w:noWrap w:val="0"/>
                  <w:vAlign w:val="center"/>
                </w:tcPr>
                <w:p w14:paraId="526800AB">
                  <w:pPr>
                    <w:pStyle w:val="5"/>
                    <w:bidi w:val="0"/>
                    <w:rPr>
                      <w:rFonts w:hint="eastAsia"/>
                      <w:color w:val="auto"/>
                    </w:rPr>
                  </w:pPr>
                  <w:r>
                    <w:rPr>
                      <w:rFonts w:hint="eastAsia"/>
                      <w:color w:val="auto"/>
                    </w:rPr>
                    <w:t>颗粒物、</w:t>
                  </w:r>
                  <w:r>
                    <w:rPr>
                      <w:color w:val="auto"/>
                    </w:rPr>
                    <w:t>VOCs</w:t>
                  </w:r>
                </w:p>
              </w:tc>
            </w:tr>
            <w:tr w14:paraId="3807B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807" w:type="dxa"/>
                  <w:vMerge w:val="continue"/>
                  <w:noWrap w:val="0"/>
                  <w:vAlign w:val="center"/>
                </w:tcPr>
                <w:p w14:paraId="1F80AADB">
                  <w:pPr>
                    <w:pStyle w:val="5"/>
                    <w:bidi w:val="0"/>
                    <w:rPr>
                      <w:color w:val="auto"/>
                    </w:rPr>
                  </w:pPr>
                </w:p>
              </w:tc>
              <w:tc>
                <w:tcPr>
                  <w:tcW w:w="698" w:type="dxa"/>
                  <w:noWrap w:val="0"/>
                  <w:vAlign w:val="center"/>
                </w:tcPr>
                <w:p w14:paraId="2722DD04">
                  <w:pPr>
                    <w:pStyle w:val="5"/>
                    <w:bidi w:val="0"/>
                    <w:rPr>
                      <w:rFonts w:hint="eastAsia"/>
                      <w:color w:val="auto"/>
                    </w:rPr>
                  </w:pPr>
                  <w:r>
                    <w:rPr>
                      <w:rFonts w:hint="eastAsia"/>
                      <w:color w:val="auto"/>
                    </w:rPr>
                    <w:t>G7</w:t>
                  </w:r>
                </w:p>
              </w:tc>
              <w:tc>
                <w:tcPr>
                  <w:tcW w:w="2243" w:type="dxa"/>
                  <w:noWrap w:val="0"/>
                  <w:vAlign w:val="center"/>
                </w:tcPr>
                <w:p w14:paraId="32AA2DDA">
                  <w:pPr>
                    <w:pStyle w:val="5"/>
                    <w:bidi w:val="0"/>
                    <w:rPr>
                      <w:rFonts w:hint="eastAsia"/>
                      <w:color w:val="auto"/>
                    </w:rPr>
                  </w:pPr>
                  <w:r>
                    <w:rPr>
                      <w:rFonts w:hint="eastAsia"/>
                      <w:color w:val="auto"/>
                    </w:rPr>
                    <w:t>烘干废气</w:t>
                  </w:r>
                </w:p>
              </w:tc>
              <w:tc>
                <w:tcPr>
                  <w:tcW w:w="2134" w:type="dxa"/>
                  <w:noWrap w:val="0"/>
                  <w:vAlign w:val="center"/>
                </w:tcPr>
                <w:p w14:paraId="0A843A1E">
                  <w:pPr>
                    <w:pStyle w:val="5"/>
                    <w:bidi w:val="0"/>
                    <w:rPr>
                      <w:rFonts w:hint="eastAsia"/>
                      <w:color w:val="auto"/>
                    </w:rPr>
                  </w:pPr>
                  <w:r>
                    <w:rPr>
                      <w:rFonts w:hint="eastAsia"/>
                      <w:color w:val="auto"/>
                    </w:rPr>
                    <w:t>烘干</w:t>
                  </w:r>
                </w:p>
              </w:tc>
              <w:tc>
                <w:tcPr>
                  <w:tcW w:w="2756" w:type="dxa"/>
                  <w:noWrap w:val="0"/>
                  <w:vAlign w:val="center"/>
                </w:tcPr>
                <w:p w14:paraId="68E69E0A">
                  <w:pPr>
                    <w:pStyle w:val="5"/>
                    <w:bidi w:val="0"/>
                    <w:rPr>
                      <w:rFonts w:hint="eastAsia"/>
                      <w:color w:val="auto"/>
                    </w:rPr>
                  </w:pPr>
                  <w:r>
                    <w:rPr>
                      <w:color w:val="auto"/>
                    </w:rPr>
                    <w:t>VOCs</w:t>
                  </w:r>
                </w:p>
              </w:tc>
            </w:tr>
            <w:tr w14:paraId="35CE1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807" w:type="dxa"/>
                  <w:vMerge w:val="restart"/>
                  <w:noWrap w:val="0"/>
                  <w:vAlign w:val="center"/>
                </w:tcPr>
                <w:p w14:paraId="38E001E9">
                  <w:pPr>
                    <w:pStyle w:val="5"/>
                    <w:bidi w:val="0"/>
                    <w:rPr>
                      <w:color w:val="auto"/>
                      <w:lang w:eastAsia="en-US"/>
                    </w:rPr>
                  </w:pPr>
                  <w:r>
                    <w:rPr>
                      <w:color w:val="auto"/>
                      <w:lang w:eastAsia="en-US"/>
                    </w:rPr>
                    <w:t>废水</w:t>
                  </w:r>
                </w:p>
              </w:tc>
              <w:tc>
                <w:tcPr>
                  <w:tcW w:w="698" w:type="dxa"/>
                  <w:noWrap w:val="0"/>
                  <w:vAlign w:val="center"/>
                </w:tcPr>
                <w:p w14:paraId="07BF9E25">
                  <w:pPr>
                    <w:pStyle w:val="5"/>
                    <w:bidi w:val="0"/>
                    <w:rPr>
                      <w:rFonts w:hint="eastAsia"/>
                      <w:color w:val="auto"/>
                    </w:rPr>
                  </w:pPr>
                  <w:r>
                    <w:rPr>
                      <w:color w:val="auto"/>
                    </w:rPr>
                    <w:t>W</w:t>
                  </w:r>
                  <w:r>
                    <w:rPr>
                      <w:rFonts w:hint="eastAsia"/>
                      <w:color w:val="auto"/>
                    </w:rPr>
                    <w:t>1</w:t>
                  </w:r>
                </w:p>
              </w:tc>
              <w:tc>
                <w:tcPr>
                  <w:tcW w:w="2243" w:type="dxa"/>
                  <w:noWrap w:val="0"/>
                  <w:vAlign w:val="center"/>
                </w:tcPr>
                <w:p w14:paraId="6F228AC0">
                  <w:pPr>
                    <w:pStyle w:val="5"/>
                    <w:bidi w:val="0"/>
                    <w:rPr>
                      <w:rFonts w:hint="eastAsia"/>
                      <w:color w:val="auto"/>
                      <w:lang w:eastAsia="zh-CN"/>
                    </w:rPr>
                  </w:pPr>
                  <w:r>
                    <w:rPr>
                      <w:rFonts w:hint="eastAsia"/>
                      <w:color w:val="auto"/>
                    </w:rPr>
                    <w:t>脱脂废</w:t>
                  </w:r>
                  <w:r>
                    <w:rPr>
                      <w:rFonts w:hint="eastAsia"/>
                      <w:color w:val="auto"/>
                      <w:lang w:eastAsia="zh-CN"/>
                    </w:rPr>
                    <w:t>液</w:t>
                  </w:r>
                </w:p>
              </w:tc>
              <w:tc>
                <w:tcPr>
                  <w:tcW w:w="2134" w:type="dxa"/>
                  <w:noWrap w:val="0"/>
                  <w:vAlign w:val="center"/>
                </w:tcPr>
                <w:p w14:paraId="6E8360F8">
                  <w:pPr>
                    <w:pStyle w:val="5"/>
                    <w:bidi w:val="0"/>
                    <w:rPr>
                      <w:rFonts w:hint="eastAsia"/>
                      <w:color w:val="auto"/>
                    </w:rPr>
                  </w:pPr>
                  <w:r>
                    <w:rPr>
                      <w:rFonts w:hint="eastAsia"/>
                      <w:color w:val="auto"/>
                    </w:rPr>
                    <w:t>脱脂</w:t>
                  </w:r>
                </w:p>
              </w:tc>
              <w:tc>
                <w:tcPr>
                  <w:tcW w:w="2756" w:type="dxa"/>
                  <w:noWrap w:val="0"/>
                  <w:vAlign w:val="center"/>
                </w:tcPr>
                <w:p w14:paraId="4E65A956">
                  <w:pPr>
                    <w:pStyle w:val="5"/>
                    <w:bidi w:val="0"/>
                    <w:rPr>
                      <w:rFonts w:hint="default"/>
                      <w:color w:val="auto"/>
                      <w:lang w:val="en-US" w:eastAsia="zh-CN"/>
                    </w:rPr>
                  </w:pPr>
                  <w:r>
                    <w:rPr>
                      <w:rFonts w:hint="eastAsia"/>
                      <w:color w:val="auto"/>
                    </w:rPr>
                    <w:t>COD、石油类、TP</w:t>
                  </w:r>
                  <w:r>
                    <w:rPr>
                      <w:rFonts w:hint="eastAsia"/>
                      <w:color w:val="auto"/>
                      <w:lang w:eastAsia="zh-CN"/>
                    </w:rPr>
                    <w:t>、</w:t>
                  </w:r>
                  <w:r>
                    <w:rPr>
                      <w:rFonts w:hint="eastAsia"/>
                      <w:color w:val="auto"/>
                      <w:lang w:val="en-US" w:eastAsia="zh-CN"/>
                    </w:rPr>
                    <w:t>LAS</w:t>
                  </w:r>
                </w:p>
              </w:tc>
            </w:tr>
            <w:tr w14:paraId="173D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807" w:type="dxa"/>
                  <w:vMerge w:val="continue"/>
                  <w:noWrap w:val="0"/>
                  <w:vAlign w:val="center"/>
                </w:tcPr>
                <w:p w14:paraId="0072E830">
                  <w:pPr>
                    <w:pStyle w:val="5"/>
                    <w:bidi w:val="0"/>
                    <w:rPr>
                      <w:color w:val="auto"/>
                      <w:lang w:eastAsia="en-US"/>
                    </w:rPr>
                  </w:pPr>
                </w:p>
              </w:tc>
              <w:tc>
                <w:tcPr>
                  <w:tcW w:w="698" w:type="dxa"/>
                  <w:noWrap w:val="0"/>
                  <w:vAlign w:val="center"/>
                </w:tcPr>
                <w:p w14:paraId="1627BA83">
                  <w:pPr>
                    <w:pStyle w:val="5"/>
                    <w:bidi w:val="0"/>
                    <w:rPr>
                      <w:color w:val="auto"/>
                    </w:rPr>
                  </w:pPr>
                  <w:r>
                    <w:rPr>
                      <w:color w:val="auto"/>
                    </w:rPr>
                    <w:t>W</w:t>
                  </w:r>
                  <w:r>
                    <w:rPr>
                      <w:rFonts w:hint="eastAsia"/>
                      <w:color w:val="auto"/>
                    </w:rPr>
                    <w:t>2</w:t>
                  </w:r>
                </w:p>
              </w:tc>
              <w:tc>
                <w:tcPr>
                  <w:tcW w:w="2243" w:type="dxa"/>
                  <w:noWrap w:val="0"/>
                  <w:vAlign w:val="center"/>
                </w:tcPr>
                <w:p w14:paraId="35B678B7">
                  <w:pPr>
                    <w:pStyle w:val="5"/>
                    <w:bidi w:val="0"/>
                    <w:rPr>
                      <w:rFonts w:hint="eastAsia"/>
                      <w:color w:val="auto"/>
                    </w:rPr>
                  </w:pPr>
                  <w:r>
                    <w:rPr>
                      <w:rFonts w:hint="eastAsia"/>
                      <w:color w:val="auto"/>
                    </w:rPr>
                    <w:t>脱脂水洗废水</w:t>
                  </w:r>
                </w:p>
              </w:tc>
              <w:tc>
                <w:tcPr>
                  <w:tcW w:w="2134" w:type="dxa"/>
                  <w:noWrap w:val="0"/>
                  <w:vAlign w:val="center"/>
                </w:tcPr>
                <w:p w14:paraId="3B0EEBAE">
                  <w:pPr>
                    <w:pStyle w:val="5"/>
                    <w:bidi w:val="0"/>
                    <w:rPr>
                      <w:rFonts w:hint="eastAsia"/>
                      <w:color w:val="auto"/>
                    </w:rPr>
                  </w:pPr>
                  <w:r>
                    <w:rPr>
                      <w:rFonts w:hint="eastAsia"/>
                      <w:color w:val="auto"/>
                    </w:rPr>
                    <w:t>水洗</w:t>
                  </w:r>
                </w:p>
              </w:tc>
              <w:tc>
                <w:tcPr>
                  <w:tcW w:w="2756" w:type="dxa"/>
                  <w:noWrap w:val="0"/>
                  <w:vAlign w:val="center"/>
                </w:tcPr>
                <w:p w14:paraId="0B2E4E5E">
                  <w:pPr>
                    <w:pStyle w:val="5"/>
                    <w:bidi w:val="0"/>
                    <w:rPr>
                      <w:color w:val="auto"/>
                    </w:rPr>
                  </w:pPr>
                  <w:r>
                    <w:rPr>
                      <w:rFonts w:hint="eastAsia"/>
                      <w:color w:val="auto"/>
                    </w:rPr>
                    <w:t>COD、石油类、TP</w:t>
                  </w:r>
                  <w:r>
                    <w:rPr>
                      <w:rFonts w:hint="eastAsia"/>
                      <w:color w:val="auto"/>
                      <w:lang w:eastAsia="zh-CN"/>
                    </w:rPr>
                    <w:t>、</w:t>
                  </w:r>
                  <w:r>
                    <w:rPr>
                      <w:rFonts w:hint="eastAsia"/>
                      <w:color w:val="auto"/>
                      <w:lang w:val="en-US" w:eastAsia="zh-CN"/>
                    </w:rPr>
                    <w:t>LAS</w:t>
                  </w:r>
                </w:p>
              </w:tc>
            </w:tr>
            <w:tr w14:paraId="7A5A9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07" w:type="dxa"/>
                  <w:vMerge w:val="continue"/>
                  <w:noWrap w:val="0"/>
                  <w:vAlign w:val="center"/>
                </w:tcPr>
                <w:p w14:paraId="1611C86C">
                  <w:pPr>
                    <w:pStyle w:val="5"/>
                    <w:bidi w:val="0"/>
                    <w:rPr>
                      <w:color w:val="auto"/>
                      <w:lang w:eastAsia="en-US"/>
                    </w:rPr>
                  </w:pPr>
                </w:p>
              </w:tc>
              <w:tc>
                <w:tcPr>
                  <w:tcW w:w="698" w:type="dxa"/>
                  <w:noWrap w:val="0"/>
                  <w:vAlign w:val="center"/>
                </w:tcPr>
                <w:p w14:paraId="26AB8783">
                  <w:pPr>
                    <w:pStyle w:val="5"/>
                    <w:bidi w:val="0"/>
                    <w:rPr>
                      <w:color w:val="auto"/>
                    </w:rPr>
                  </w:pPr>
                  <w:r>
                    <w:rPr>
                      <w:color w:val="auto"/>
                    </w:rPr>
                    <w:t>W</w:t>
                  </w:r>
                  <w:r>
                    <w:rPr>
                      <w:rFonts w:hint="eastAsia"/>
                      <w:color w:val="auto"/>
                    </w:rPr>
                    <w:t>3</w:t>
                  </w:r>
                </w:p>
              </w:tc>
              <w:tc>
                <w:tcPr>
                  <w:tcW w:w="2243" w:type="dxa"/>
                  <w:noWrap w:val="0"/>
                  <w:vAlign w:val="center"/>
                </w:tcPr>
                <w:p w14:paraId="51ECADBB">
                  <w:pPr>
                    <w:pStyle w:val="5"/>
                    <w:bidi w:val="0"/>
                    <w:rPr>
                      <w:rFonts w:hint="eastAsia"/>
                      <w:color w:val="auto"/>
                    </w:rPr>
                  </w:pPr>
                  <w:r>
                    <w:rPr>
                      <w:rFonts w:hint="eastAsia"/>
                      <w:color w:val="auto"/>
                    </w:rPr>
                    <w:t>表调废</w:t>
                  </w:r>
                  <w:r>
                    <w:rPr>
                      <w:rFonts w:hint="eastAsia"/>
                      <w:color w:val="auto"/>
                      <w:lang w:eastAsia="zh-CN"/>
                    </w:rPr>
                    <w:t>液</w:t>
                  </w:r>
                </w:p>
              </w:tc>
              <w:tc>
                <w:tcPr>
                  <w:tcW w:w="2134" w:type="dxa"/>
                  <w:noWrap w:val="0"/>
                  <w:vAlign w:val="center"/>
                </w:tcPr>
                <w:p w14:paraId="78550B28">
                  <w:pPr>
                    <w:pStyle w:val="5"/>
                    <w:bidi w:val="0"/>
                    <w:rPr>
                      <w:rFonts w:hint="eastAsia"/>
                      <w:color w:val="auto"/>
                    </w:rPr>
                  </w:pPr>
                  <w:r>
                    <w:rPr>
                      <w:rFonts w:hint="eastAsia"/>
                      <w:color w:val="auto"/>
                    </w:rPr>
                    <w:t>表调</w:t>
                  </w:r>
                </w:p>
              </w:tc>
              <w:tc>
                <w:tcPr>
                  <w:tcW w:w="2756" w:type="dxa"/>
                  <w:noWrap w:val="0"/>
                  <w:vAlign w:val="center"/>
                </w:tcPr>
                <w:p w14:paraId="6B3DE811">
                  <w:pPr>
                    <w:pStyle w:val="5"/>
                    <w:bidi w:val="0"/>
                    <w:rPr>
                      <w:color w:val="auto"/>
                    </w:rPr>
                  </w:pPr>
                  <w:r>
                    <w:rPr>
                      <w:rFonts w:hint="eastAsia"/>
                      <w:color w:val="auto"/>
                    </w:rPr>
                    <w:t>COD、TP</w:t>
                  </w:r>
                  <w:r>
                    <w:rPr>
                      <w:rFonts w:hint="eastAsia"/>
                      <w:color w:val="auto"/>
                      <w:lang w:eastAsia="zh-CN"/>
                    </w:rPr>
                    <w:t>、</w:t>
                  </w:r>
                  <w:r>
                    <w:rPr>
                      <w:rFonts w:hint="eastAsia"/>
                      <w:color w:val="auto"/>
                      <w:lang w:val="en-US" w:eastAsia="zh-CN"/>
                    </w:rPr>
                    <w:t>LAS</w:t>
                  </w:r>
                </w:p>
              </w:tc>
            </w:tr>
            <w:tr w14:paraId="1613B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07" w:type="dxa"/>
                  <w:vMerge w:val="continue"/>
                  <w:noWrap w:val="0"/>
                  <w:vAlign w:val="center"/>
                </w:tcPr>
                <w:p w14:paraId="47EF3D20">
                  <w:pPr>
                    <w:pStyle w:val="5"/>
                    <w:bidi w:val="0"/>
                    <w:rPr>
                      <w:color w:val="auto"/>
                      <w:lang w:eastAsia="en-US"/>
                    </w:rPr>
                  </w:pPr>
                </w:p>
              </w:tc>
              <w:tc>
                <w:tcPr>
                  <w:tcW w:w="698" w:type="dxa"/>
                  <w:noWrap w:val="0"/>
                  <w:vAlign w:val="center"/>
                </w:tcPr>
                <w:p w14:paraId="5F7695D4">
                  <w:pPr>
                    <w:pStyle w:val="5"/>
                    <w:bidi w:val="0"/>
                    <w:rPr>
                      <w:color w:val="auto"/>
                    </w:rPr>
                  </w:pPr>
                  <w:r>
                    <w:rPr>
                      <w:color w:val="auto"/>
                    </w:rPr>
                    <w:t>W</w:t>
                  </w:r>
                  <w:r>
                    <w:rPr>
                      <w:rFonts w:hint="eastAsia"/>
                      <w:color w:val="auto"/>
                    </w:rPr>
                    <w:t>4</w:t>
                  </w:r>
                </w:p>
              </w:tc>
              <w:tc>
                <w:tcPr>
                  <w:tcW w:w="2243" w:type="dxa"/>
                  <w:noWrap w:val="0"/>
                  <w:vAlign w:val="center"/>
                </w:tcPr>
                <w:p w14:paraId="44FAEEF6">
                  <w:pPr>
                    <w:pStyle w:val="5"/>
                    <w:bidi w:val="0"/>
                    <w:rPr>
                      <w:rFonts w:hint="eastAsia"/>
                      <w:color w:val="auto"/>
                    </w:rPr>
                  </w:pPr>
                  <w:r>
                    <w:rPr>
                      <w:rFonts w:hint="eastAsia"/>
                      <w:color w:val="auto"/>
                    </w:rPr>
                    <w:t>磷化废</w:t>
                  </w:r>
                  <w:r>
                    <w:rPr>
                      <w:rFonts w:hint="eastAsia"/>
                      <w:color w:val="auto"/>
                      <w:lang w:eastAsia="zh-CN"/>
                    </w:rPr>
                    <w:t>液</w:t>
                  </w:r>
                </w:p>
              </w:tc>
              <w:tc>
                <w:tcPr>
                  <w:tcW w:w="2134" w:type="dxa"/>
                  <w:noWrap w:val="0"/>
                  <w:vAlign w:val="center"/>
                </w:tcPr>
                <w:p w14:paraId="08862CDA">
                  <w:pPr>
                    <w:pStyle w:val="5"/>
                    <w:bidi w:val="0"/>
                    <w:rPr>
                      <w:rFonts w:hint="eastAsia"/>
                      <w:color w:val="auto"/>
                    </w:rPr>
                  </w:pPr>
                  <w:r>
                    <w:rPr>
                      <w:rFonts w:hint="eastAsia"/>
                      <w:color w:val="auto"/>
                    </w:rPr>
                    <w:t>磷化</w:t>
                  </w:r>
                </w:p>
              </w:tc>
              <w:tc>
                <w:tcPr>
                  <w:tcW w:w="2756" w:type="dxa"/>
                  <w:noWrap w:val="0"/>
                  <w:vAlign w:val="center"/>
                </w:tcPr>
                <w:p w14:paraId="11507DF2">
                  <w:pPr>
                    <w:pStyle w:val="5"/>
                    <w:bidi w:val="0"/>
                    <w:rPr>
                      <w:color w:val="auto"/>
                    </w:rPr>
                  </w:pPr>
                  <w:r>
                    <w:rPr>
                      <w:rFonts w:hint="eastAsia"/>
                      <w:color w:val="auto"/>
                    </w:rPr>
                    <w:t>COD、NH</w:t>
                  </w:r>
                  <w:r>
                    <w:rPr>
                      <w:rFonts w:hint="eastAsia"/>
                      <w:color w:val="auto"/>
                      <w:vertAlign w:val="subscript"/>
                    </w:rPr>
                    <w:t>3</w:t>
                  </w:r>
                  <w:r>
                    <w:rPr>
                      <w:rFonts w:hint="eastAsia"/>
                      <w:color w:val="auto"/>
                    </w:rPr>
                    <w:t>-N、TP</w:t>
                  </w:r>
                  <w:r>
                    <w:rPr>
                      <w:rFonts w:hint="eastAsia"/>
                      <w:color w:val="auto"/>
                      <w:lang w:eastAsia="zh-CN"/>
                    </w:rPr>
                    <w:t>、</w:t>
                  </w:r>
                  <w:r>
                    <w:rPr>
                      <w:rFonts w:hint="eastAsia"/>
                      <w:color w:val="auto"/>
                      <w:lang w:val="en-US" w:eastAsia="zh-CN"/>
                    </w:rPr>
                    <w:t>LAS</w:t>
                  </w:r>
                </w:p>
              </w:tc>
            </w:tr>
            <w:tr w14:paraId="6B56F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07" w:type="dxa"/>
                  <w:vMerge w:val="continue"/>
                  <w:noWrap w:val="0"/>
                  <w:vAlign w:val="center"/>
                </w:tcPr>
                <w:p w14:paraId="719A184C">
                  <w:pPr>
                    <w:pStyle w:val="5"/>
                    <w:bidi w:val="0"/>
                    <w:rPr>
                      <w:color w:val="auto"/>
                      <w:lang w:eastAsia="en-US"/>
                    </w:rPr>
                  </w:pPr>
                </w:p>
              </w:tc>
              <w:tc>
                <w:tcPr>
                  <w:tcW w:w="698" w:type="dxa"/>
                  <w:noWrap w:val="0"/>
                  <w:vAlign w:val="center"/>
                </w:tcPr>
                <w:p w14:paraId="408163FA">
                  <w:pPr>
                    <w:pStyle w:val="5"/>
                    <w:bidi w:val="0"/>
                    <w:rPr>
                      <w:color w:val="auto"/>
                    </w:rPr>
                  </w:pPr>
                  <w:r>
                    <w:rPr>
                      <w:color w:val="auto"/>
                    </w:rPr>
                    <w:t>W</w:t>
                  </w:r>
                  <w:r>
                    <w:rPr>
                      <w:rFonts w:hint="eastAsia"/>
                      <w:color w:val="auto"/>
                    </w:rPr>
                    <w:t>5</w:t>
                  </w:r>
                </w:p>
              </w:tc>
              <w:tc>
                <w:tcPr>
                  <w:tcW w:w="2243" w:type="dxa"/>
                  <w:noWrap w:val="0"/>
                  <w:vAlign w:val="center"/>
                </w:tcPr>
                <w:p w14:paraId="11C0D32B">
                  <w:pPr>
                    <w:pStyle w:val="5"/>
                    <w:bidi w:val="0"/>
                    <w:rPr>
                      <w:rFonts w:hint="eastAsia"/>
                      <w:color w:val="auto"/>
                    </w:rPr>
                  </w:pPr>
                  <w:r>
                    <w:rPr>
                      <w:rFonts w:hint="eastAsia"/>
                      <w:color w:val="auto"/>
                    </w:rPr>
                    <w:t>磷化水洗废水</w:t>
                  </w:r>
                </w:p>
              </w:tc>
              <w:tc>
                <w:tcPr>
                  <w:tcW w:w="2134" w:type="dxa"/>
                  <w:noWrap w:val="0"/>
                  <w:vAlign w:val="center"/>
                </w:tcPr>
                <w:p w14:paraId="2125C5C9">
                  <w:pPr>
                    <w:pStyle w:val="5"/>
                    <w:bidi w:val="0"/>
                    <w:rPr>
                      <w:rFonts w:hint="eastAsia"/>
                      <w:color w:val="auto"/>
                    </w:rPr>
                  </w:pPr>
                  <w:r>
                    <w:rPr>
                      <w:rFonts w:hint="eastAsia"/>
                      <w:color w:val="auto"/>
                    </w:rPr>
                    <w:t>水洗</w:t>
                  </w:r>
                </w:p>
              </w:tc>
              <w:tc>
                <w:tcPr>
                  <w:tcW w:w="2756" w:type="dxa"/>
                  <w:noWrap w:val="0"/>
                  <w:vAlign w:val="center"/>
                </w:tcPr>
                <w:p w14:paraId="75456147">
                  <w:pPr>
                    <w:pStyle w:val="5"/>
                    <w:bidi w:val="0"/>
                    <w:rPr>
                      <w:rFonts w:hint="eastAsia"/>
                      <w:color w:val="auto"/>
                      <w:lang w:val="en-US" w:eastAsia="zh-CN"/>
                    </w:rPr>
                  </w:pPr>
                  <w:r>
                    <w:rPr>
                      <w:rFonts w:hint="eastAsia"/>
                      <w:color w:val="auto"/>
                    </w:rPr>
                    <w:t>COD、NH</w:t>
                  </w:r>
                  <w:r>
                    <w:rPr>
                      <w:rFonts w:hint="eastAsia"/>
                      <w:color w:val="auto"/>
                      <w:vertAlign w:val="subscript"/>
                    </w:rPr>
                    <w:t>3</w:t>
                  </w:r>
                  <w:r>
                    <w:rPr>
                      <w:rFonts w:hint="eastAsia"/>
                      <w:color w:val="auto"/>
                    </w:rPr>
                    <w:t>-N、TP</w:t>
                  </w:r>
                  <w:r>
                    <w:rPr>
                      <w:rFonts w:hint="eastAsia"/>
                      <w:color w:val="auto"/>
                      <w:lang w:eastAsia="zh-CN"/>
                    </w:rPr>
                    <w:t>、</w:t>
                  </w:r>
                  <w:r>
                    <w:rPr>
                      <w:rFonts w:hint="eastAsia"/>
                      <w:color w:val="auto"/>
                      <w:lang w:val="en-US" w:eastAsia="zh-CN"/>
                    </w:rPr>
                    <w:t>LAS</w:t>
                  </w:r>
                </w:p>
              </w:tc>
            </w:tr>
            <w:tr w14:paraId="294C7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07" w:type="dxa"/>
                  <w:vMerge w:val="continue"/>
                  <w:noWrap w:val="0"/>
                  <w:vAlign w:val="center"/>
                </w:tcPr>
                <w:p w14:paraId="03C78CFE">
                  <w:pPr>
                    <w:pStyle w:val="5"/>
                    <w:bidi w:val="0"/>
                    <w:rPr>
                      <w:color w:val="auto"/>
                      <w:lang w:eastAsia="en-US"/>
                    </w:rPr>
                  </w:pPr>
                </w:p>
              </w:tc>
              <w:tc>
                <w:tcPr>
                  <w:tcW w:w="698" w:type="dxa"/>
                  <w:noWrap w:val="0"/>
                  <w:vAlign w:val="center"/>
                </w:tcPr>
                <w:p w14:paraId="3B2AE3E4">
                  <w:pPr>
                    <w:pStyle w:val="5"/>
                    <w:bidi w:val="0"/>
                    <w:rPr>
                      <w:color w:val="auto"/>
                    </w:rPr>
                  </w:pPr>
                  <w:r>
                    <w:rPr>
                      <w:color w:val="auto"/>
                    </w:rPr>
                    <w:t>W</w:t>
                  </w:r>
                  <w:r>
                    <w:rPr>
                      <w:rFonts w:hint="eastAsia"/>
                      <w:color w:val="auto"/>
                    </w:rPr>
                    <w:t>6</w:t>
                  </w:r>
                </w:p>
              </w:tc>
              <w:tc>
                <w:tcPr>
                  <w:tcW w:w="2243" w:type="dxa"/>
                  <w:noWrap w:val="0"/>
                  <w:vAlign w:val="center"/>
                </w:tcPr>
                <w:p w14:paraId="3DCDA0CA">
                  <w:pPr>
                    <w:pStyle w:val="5"/>
                    <w:bidi w:val="0"/>
                    <w:rPr>
                      <w:rFonts w:hint="eastAsia"/>
                      <w:color w:val="auto"/>
                    </w:rPr>
                  </w:pPr>
                  <w:r>
                    <w:rPr>
                      <w:rFonts w:hint="eastAsia"/>
                      <w:color w:val="auto"/>
                    </w:rPr>
                    <w:t>水帘柜废水</w:t>
                  </w:r>
                </w:p>
              </w:tc>
              <w:tc>
                <w:tcPr>
                  <w:tcW w:w="2134" w:type="dxa"/>
                  <w:noWrap w:val="0"/>
                  <w:vAlign w:val="center"/>
                </w:tcPr>
                <w:p w14:paraId="0D147914">
                  <w:pPr>
                    <w:pStyle w:val="5"/>
                    <w:bidi w:val="0"/>
                    <w:rPr>
                      <w:rFonts w:hint="eastAsia"/>
                      <w:color w:val="auto"/>
                    </w:rPr>
                  </w:pPr>
                  <w:r>
                    <w:rPr>
                      <w:rFonts w:hint="eastAsia"/>
                      <w:color w:val="auto"/>
                    </w:rPr>
                    <w:t>喷漆</w:t>
                  </w:r>
                </w:p>
              </w:tc>
              <w:tc>
                <w:tcPr>
                  <w:tcW w:w="2756" w:type="dxa"/>
                  <w:noWrap w:val="0"/>
                  <w:vAlign w:val="center"/>
                </w:tcPr>
                <w:p w14:paraId="26A9905C">
                  <w:pPr>
                    <w:pStyle w:val="5"/>
                    <w:bidi w:val="0"/>
                    <w:rPr>
                      <w:color w:val="auto"/>
                    </w:rPr>
                  </w:pPr>
                  <w:r>
                    <w:rPr>
                      <w:rFonts w:hint="eastAsia"/>
                      <w:color w:val="auto"/>
                    </w:rPr>
                    <w:t>SS、COD</w:t>
                  </w:r>
                </w:p>
              </w:tc>
            </w:tr>
            <w:tr w14:paraId="49B62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07" w:type="dxa"/>
                  <w:vMerge w:val="continue"/>
                  <w:noWrap w:val="0"/>
                  <w:vAlign w:val="center"/>
                </w:tcPr>
                <w:p w14:paraId="04EC416A">
                  <w:pPr>
                    <w:pStyle w:val="5"/>
                    <w:bidi w:val="0"/>
                    <w:rPr>
                      <w:color w:val="auto"/>
                      <w:lang w:eastAsia="en-US"/>
                    </w:rPr>
                  </w:pPr>
                </w:p>
              </w:tc>
              <w:tc>
                <w:tcPr>
                  <w:tcW w:w="698" w:type="dxa"/>
                  <w:noWrap w:val="0"/>
                  <w:vAlign w:val="center"/>
                </w:tcPr>
                <w:p w14:paraId="1AC15B9A">
                  <w:pPr>
                    <w:pStyle w:val="5"/>
                    <w:bidi w:val="0"/>
                    <w:rPr>
                      <w:rFonts w:hint="eastAsia"/>
                      <w:color w:val="auto"/>
                    </w:rPr>
                  </w:pPr>
                  <w:r>
                    <w:rPr>
                      <w:color w:val="auto"/>
                    </w:rPr>
                    <w:t>W</w:t>
                  </w:r>
                  <w:r>
                    <w:rPr>
                      <w:rFonts w:hint="eastAsia"/>
                      <w:color w:val="auto"/>
                    </w:rPr>
                    <w:t>7</w:t>
                  </w:r>
                </w:p>
              </w:tc>
              <w:tc>
                <w:tcPr>
                  <w:tcW w:w="2243" w:type="dxa"/>
                  <w:noWrap w:val="0"/>
                  <w:vAlign w:val="center"/>
                </w:tcPr>
                <w:p w14:paraId="145C665B">
                  <w:pPr>
                    <w:pStyle w:val="5"/>
                    <w:bidi w:val="0"/>
                    <w:rPr>
                      <w:color w:val="auto"/>
                    </w:rPr>
                  </w:pPr>
                  <w:r>
                    <w:rPr>
                      <w:color w:val="auto"/>
                    </w:rPr>
                    <w:t>生活污水</w:t>
                  </w:r>
                </w:p>
              </w:tc>
              <w:tc>
                <w:tcPr>
                  <w:tcW w:w="2134" w:type="dxa"/>
                  <w:noWrap w:val="0"/>
                  <w:vAlign w:val="center"/>
                </w:tcPr>
                <w:p w14:paraId="4E5AE9FD">
                  <w:pPr>
                    <w:pStyle w:val="5"/>
                    <w:bidi w:val="0"/>
                    <w:rPr>
                      <w:color w:val="auto"/>
                    </w:rPr>
                  </w:pPr>
                  <w:r>
                    <w:rPr>
                      <w:color w:val="auto"/>
                    </w:rPr>
                    <w:t>职工生活</w:t>
                  </w:r>
                </w:p>
              </w:tc>
              <w:tc>
                <w:tcPr>
                  <w:tcW w:w="2756" w:type="dxa"/>
                  <w:noWrap w:val="0"/>
                  <w:vAlign w:val="center"/>
                </w:tcPr>
                <w:p w14:paraId="42798699">
                  <w:pPr>
                    <w:pStyle w:val="5"/>
                    <w:bidi w:val="0"/>
                    <w:rPr>
                      <w:rFonts w:hint="default"/>
                      <w:color w:val="auto"/>
                      <w:lang w:val="en-US" w:eastAsia="zh-CN"/>
                    </w:rPr>
                  </w:pPr>
                  <w:r>
                    <w:rPr>
                      <w:color w:val="auto"/>
                    </w:rPr>
                    <w:t>BOD</w:t>
                  </w:r>
                  <w:r>
                    <w:rPr>
                      <w:color w:val="auto"/>
                      <w:vertAlign w:val="subscript"/>
                    </w:rPr>
                    <w:t>5</w:t>
                  </w:r>
                  <w:r>
                    <w:rPr>
                      <w:color w:val="auto"/>
                    </w:rPr>
                    <w:t>、SS、COD、NH</w:t>
                  </w:r>
                  <w:r>
                    <w:rPr>
                      <w:color w:val="auto"/>
                      <w:vertAlign w:val="subscript"/>
                    </w:rPr>
                    <w:t>3</w:t>
                  </w:r>
                  <w:r>
                    <w:rPr>
                      <w:color w:val="auto"/>
                    </w:rPr>
                    <w:t>-N</w:t>
                  </w:r>
                  <w:r>
                    <w:rPr>
                      <w:rFonts w:hint="eastAsia"/>
                      <w:color w:val="auto"/>
                      <w:lang w:eastAsia="zh-CN"/>
                    </w:rPr>
                    <w:t>、</w:t>
                  </w:r>
                  <w:r>
                    <w:rPr>
                      <w:rFonts w:hint="eastAsia"/>
                      <w:color w:val="auto"/>
                      <w:lang w:val="en-US" w:eastAsia="zh-CN"/>
                    </w:rPr>
                    <w:t>TP</w:t>
                  </w:r>
                  <w:r>
                    <w:rPr>
                      <w:rFonts w:hint="eastAsia"/>
                      <w:color w:val="auto"/>
                    </w:rPr>
                    <w:t>、</w:t>
                  </w:r>
                  <w:r>
                    <w:rPr>
                      <w:rFonts w:hint="eastAsia"/>
                      <w:color w:val="auto"/>
                      <w:lang w:val="en-US" w:eastAsia="zh-CN"/>
                    </w:rPr>
                    <w:t>TN</w:t>
                  </w:r>
                  <w:r>
                    <w:rPr>
                      <w:rFonts w:hint="eastAsia"/>
                      <w:color w:val="auto"/>
                      <w:lang w:eastAsia="zh-CN"/>
                    </w:rPr>
                    <w:t>、</w:t>
                  </w:r>
                  <w:r>
                    <w:rPr>
                      <w:rFonts w:hint="eastAsia"/>
                      <w:color w:val="auto"/>
                    </w:rPr>
                    <w:t>动植物油</w:t>
                  </w:r>
                </w:p>
              </w:tc>
            </w:tr>
            <w:tr w14:paraId="3E887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07" w:type="dxa"/>
                  <w:noWrap w:val="0"/>
                  <w:vAlign w:val="center"/>
                </w:tcPr>
                <w:p w14:paraId="3D59E2A7">
                  <w:pPr>
                    <w:pStyle w:val="5"/>
                    <w:bidi w:val="0"/>
                    <w:rPr>
                      <w:color w:val="auto"/>
                    </w:rPr>
                  </w:pPr>
                  <w:r>
                    <w:rPr>
                      <w:color w:val="auto"/>
                    </w:rPr>
                    <w:t>噪声</w:t>
                  </w:r>
                </w:p>
              </w:tc>
              <w:tc>
                <w:tcPr>
                  <w:tcW w:w="698" w:type="dxa"/>
                  <w:noWrap w:val="0"/>
                  <w:vAlign w:val="center"/>
                </w:tcPr>
                <w:p w14:paraId="2971793F">
                  <w:pPr>
                    <w:pStyle w:val="5"/>
                    <w:bidi w:val="0"/>
                    <w:rPr>
                      <w:color w:val="auto"/>
                    </w:rPr>
                  </w:pPr>
                  <w:r>
                    <w:rPr>
                      <w:color w:val="auto"/>
                    </w:rPr>
                    <w:t>N</w:t>
                  </w:r>
                </w:p>
              </w:tc>
              <w:tc>
                <w:tcPr>
                  <w:tcW w:w="2243" w:type="dxa"/>
                  <w:noWrap w:val="0"/>
                  <w:vAlign w:val="center"/>
                </w:tcPr>
                <w:p w14:paraId="6EF9D3AF">
                  <w:pPr>
                    <w:pStyle w:val="5"/>
                    <w:bidi w:val="0"/>
                    <w:rPr>
                      <w:color w:val="auto"/>
                    </w:rPr>
                  </w:pPr>
                  <w:r>
                    <w:rPr>
                      <w:color w:val="auto"/>
                    </w:rPr>
                    <w:t>噪声</w:t>
                  </w:r>
                </w:p>
              </w:tc>
              <w:tc>
                <w:tcPr>
                  <w:tcW w:w="2134" w:type="dxa"/>
                  <w:noWrap w:val="0"/>
                  <w:vAlign w:val="center"/>
                </w:tcPr>
                <w:p w14:paraId="49B91858">
                  <w:pPr>
                    <w:pStyle w:val="5"/>
                    <w:bidi w:val="0"/>
                    <w:rPr>
                      <w:color w:val="auto"/>
                    </w:rPr>
                  </w:pPr>
                  <w:r>
                    <w:rPr>
                      <w:color w:val="auto"/>
                    </w:rPr>
                    <w:t>设备运行</w:t>
                  </w:r>
                </w:p>
              </w:tc>
              <w:tc>
                <w:tcPr>
                  <w:tcW w:w="2756" w:type="dxa"/>
                  <w:noWrap w:val="0"/>
                  <w:vAlign w:val="center"/>
                </w:tcPr>
                <w:p w14:paraId="46E2A4DD">
                  <w:pPr>
                    <w:pStyle w:val="5"/>
                    <w:bidi w:val="0"/>
                    <w:rPr>
                      <w:color w:val="auto"/>
                    </w:rPr>
                  </w:pPr>
                  <w:r>
                    <w:rPr>
                      <w:color w:val="auto"/>
                    </w:rPr>
                    <w:t>LeqA</w:t>
                  </w:r>
                </w:p>
              </w:tc>
            </w:tr>
            <w:tr w14:paraId="26088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807" w:type="dxa"/>
                  <w:vMerge w:val="restart"/>
                  <w:noWrap w:val="0"/>
                  <w:vAlign w:val="center"/>
                </w:tcPr>
                <w:p w14:paraId="0E988D55">
                  <w:pPr>
                    <w:pStyle w:val="5"/>
                    <w:bidi w:val="0"/>
                    <w:rPr>
                      <w:color w:val="auto"/>
                    </w:rPr>
                  </w:pPr>
                  <w:r>
                    <w:rPr>
                      <w:color w:val="auto"/>
                    </w:rPr>
                    <w:t>固废</w:t>
                  </w:r>
                </w:p>
              </w:tc>
              <w:tc>
                <w:tcPr>
                  <w:tcW w:w="698" w:type="dxa"/>
                  <w:vMerge w:val="restart"/>
                  <w:noWrap w:val="0"/>
                  <w:vAlign w:val="center"/>
                </w:tcPr>
                <w:p w14:paraId="3B547B75">
                  <w:pPr>
                    <w:pStyle w:val="5"/>
                    <w:bidi w:val="0"/>
                    <w:rPr>
                      <w:color w:val="auto"/>
                    </w:rPr>
                  </w:pPr>
                  <w:r>
                    <w:rPr>
                      <w:color w:val="auto"/>
                    </w:rPr>
                    <w:t>S</w:t>
                  </w:r>
                </w:p>
              </w:tc>
              <w:tc>
                <w:tcPr>
                  <w:tcW w:w="2243" w:type="dxa"/>
                  <w:vMerge w:val="restart"/>
                  <w:noWrap w:val="0"/>
                  <w:vAlign w:val="center"/>
                </w:tcPr>
                <w:p w14:paraId="56525F5F">
                  <w:pPr>
                    <w:pStyle w:val="5"/>
                    <w:bidi w:val="0"/>
                    <w:rPr>
                      <w:color w:val="auto"/>
                    </w:rPr>
                  </w:pPr>
                  <w:r>
                    <w:rPr>
                      <w:color w:val="auto"/>
                    </w:rPr>
                    <w:t>一般</w:t>
                  </w:r>
                  <w:r>
                    <w:rPr>
                      <w:rFonts w:hint="eastAsia"/>
                      <w:color w:val="auto"/>
                    </w:rPr>
                    <w:t>工业</w:t>
                  </w:r>
                  <w:r>
                    <w:rPr>
                      <w:color w:val="auto"/>
                    </w:rPr>
                    <w:t>固废</w:t>
                  </w:r>
                </w:p>
              </w:tc>
              <w:tc>
                <w:tcPr>
                  <w:tcW w:w="2134" w:type="dxa"/>
                  <w:noWrap w:val="0"/>
                  <w:vAlign w:val="center"/>
                </w:tcPr>
                <w:p w14:paraId="25BCF0A9">
                  <w:pPr>
                    <w:pStyle w:val="5"/>
                    <w:bidi w:val="0"/>
                    <w:rPr>
                      <w:rFonts w:hint="eastAsia"/>
                      <w:color w:val="auto"/>
                    </w:rPr>
                  </w:pPr>
                  <w:r>
                    <w:rPr>
                      <w:rFonts w:hint="eastAsia"/>
                      <w:color w:val="auto"/>
                    </w:rPr>
                    <w:t>职工活动</w:t>
                  </w:r>
                </w:p>
              </w:tc>
              <w:tc>
                <w:tcPr>
                  <w:tcW w:w="2756" w:type="dxa"/>
                  <w:noWrap w:val="0"/>
                  <w:vAlign w:val="center"/>
                </w:tcPr>
                <w:p w14:paraId="72D0AAD6">
                  <w:pPr>
                    <w:pStyle w:val="5"/>
                    <w:bidi w:val="0"/>
                    <w:rPr>
                      <w:color w:val="auto"/>
                    </w:rPr>
                  </w:pPr>
                  <w:r>
                    <w:rPr>
                      <w:color w:val="auto"/>
                    </w:rPr>
                    <w:t>生活垃圾</w:t>
                  </w:r>
                </w:p>
              </w:tc>
            </w:tr>
            <w:tr w14:paraId="5D712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07" w:type="dxa"/>
                  <w:vMerge w:val="continue"/>
                  <w:noWrap w:val="0"/>
                  <w:vAlign w:val="center"/>
                </w:tcPr>
                <w:p w14:paraId="6556F92E">
                  <w:pPr>
                    <w:pStyle w:val="5"/>
                    <w:bidi w:val="0"/>
                    <w:rPr>
                      <w:color w:val="auto"/>
                    </w:rPr>
                  </w:pPr>
                </w:p>
              </w:tc>
              <w:tc>
                <w:tcPr>
                  <w:tcW w:w="698" w:type="dxa"/>
                  <w:vMerge w:val="continue"/>
                  <w:noWrap w:val="0"/>
                  <w:vAlign w:val="center"/>
                </w:tcPr>
                <w:p w14:paraId="1F96FC98">
                  <w:pPr>
                    <w:pStyle w:val="5"/>
                    <w:bidi w:val="0"/>
                    <w:rPr>
                      <w:color w:val="auto"/>
                    </w:rPr>
                  </w:pPr>
                </w:p>
              </w:tc>
              <w:tc>
                <w:tcPr>
                  <w:tcW w:w="2243" w:type="dxa"/>
                  <w:vMerge w:val="continue"/>
                  <w:noWrap w:val="0"/>
                  <w:vAlign w:val="center"/>
                </w:tcPr>
                <w:p w14:paraId="1C62E363">
                  <w:pPr>
                    <w:pStyle w:val="5"/>
                    <w:bidi w:val="0"/>
                    <w:rPr>
                      <w:color w:val="auto"/>
                    </w:rPr>
                  </w:pPr>
                </w:p>
              </w:tc>
              <w:tc>
                <w:tcPr>
                  <w:tcW w:w="2134" w:type="dxa"/>
                  <w:noWrap w:val="0"/>
                  <w:vAlign w:val="center"/>
                </w:tcPr>
                <w:p w14:paraId="74826CB7">
                  <w:pPr>
                    <w:pStyle w:val="5"/>
                    <w:bidi w:val="0"/>
                    <w:rPr>
                      <w:rFonts w:hint="eastAsia"/>
                      <w:color w:val="auto"/>
                    </w:rPr>
                  </w:pPr>
                  <w:r>
                    <w:rPr>
                      <w:rFonts w:hint="eastAsia"/>
                      <w:color w:val="auto"/>
                    </w:rPr>
                    <w:t>原辅料包装</w:t>
                  </w:r>
                </w:p>
              </w:tc>
              <w:tc>
                <w:tcPr>
                  <w:tcW w:w="2756" w:type="dxa"/>
                  <w:noWrap w:val="0"/>
                  <w:vAlign w:val="center"/>
                </w:tcPr>
                <w:p w14:paraId="32708E40">
                  <w:pPr>
                    <w:pStyle w:val="5"/>
                    <w:bidi w:val="0"/>
                    <w:rPr>
                      <w:rFonts w:hint="eastAsia"/>
                      <w:color w:val="auto"/>
                    </w:rPr>
                  </w:pPr>
                  <w:r>
                    <w:rPr>
                      <w:rFonts w:hint="eastAsia"/>
                      <w:color w:val="auto"/>
                    </w:rPr>
                    <w:t>废包装袋、废水性漆桶</w:t>
                  </w:r>
                </w:p>
              </w:tc>
            </w:tr>
            <w:tr w14:paraId="4A9E4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07" w:type="dxa"/>
                  <w:vMerge w:val="continue"/>
                  <w:noWrap w:val="0"/>
                  <w:vAlign w:val="center"/>
                </w:tcPr>
                <w:p w14:paraId="720C976C">
                  <w:pPr>
                    <w:pStyle w:val="5"/>
                    <w:bidi w:val="0"/>
                    <w:rPr>
                      <w:color w:val="auto"/>
                    </w:rPr>
                  </w:pPr>
                </w:p>
              </w:tc>
              <w:tc>
                <w:tcPr>
                  <w:tcW w:w="698" w:type="dxa"/>
                  <w:vMerge w:val="continue"/>
                  <w:noWrap w:val="0"/>
                  <w:vAlign w:val="center"/>
                </w:tcPr>
                <w:p w14:paraId="3201B9A6">
                  <w:pPr>
                    <w:pStyle w:val="5"/>
                    <w:bidi w:val="0"/>
                    <w:rPr>
                      <w:color w:val="auto"/>
                    </w:rPr>
                  </w:pPr>
                </w:p>
              </w:tc>
              <w:tc>
                <w:tcPr>
                  <w:tcW w:w="2243" w:type="dxa"/>
                  <w:vMerge w:val="continue"/>
                  <w:noWrap w:val="0"/>
                  <w:vAlign w:val="center"/>
                </w:tcPr>
                <w:p w14:paraId="217121C8">
                  <w:pPr>
                    <w:pStyle w:val="5"/>
                    <w:bidi w:val="0"/>
                    <w:rPr>
                      <w:color w:val="auto"/>
                    </w:rPr>
                  </w:pPr>
                </w:p>
              </w:tc>
              <w:tc>
                <w:tcPr>
                  <w:tcW w:w="2134" w:type="dxa"/>
                  <w:noWrap w:val="0"/>
                  <w:vAlign w:val="center"/>
                </w:tcPr>
                <w:p w14:paraId="3F750C9D">
                  <w:pPr>
                    <w:pStyle w:val="5"/>
                    <w:bidi w:val="0"/>
                    <w:rPr>
                      <w:color w:val="auto"/>
                    </w:rPr>
                  </w:pPr>
                  <w:r>
                    <w:rPr>
                      <w:rFonts w:hint="eastAsia"/>
                      <w:color w:val="auto"/>
                    </w:rPr>
                    <w:t>机加工</w:t>
                  </w:r>
                </w:p>
              </w:tc>
              <w:tc>
                <w:tcPr>
                  <w:tcW w:w="2756" w:type="dxa"/>
                  <w:noWrap w:val="0"/>
                  <w:vAlign w:val="center"/>
                </w:tcPr>
                <w:p w14:paraId="564674BF">
                  <w:pPr>
                    <w:pStyle w:val="5"/>
                    <w:bidi w:val="0"/>
                    <w:rPr>
                      <w:rFonts w:hint="eastAsia"/>
                      <w:color w:val="auto"/>
                    </w:rPr>
                  </w:pPr>
                  <w:r>
                    <w:rPr>
                      <w:rFonts w:hint="eastAsia"/>
                      <w:color w:val="auto"/>
                    </w:rPr>
                    <w:t>边角料</w:t>
                  </w:r>
                </w:p>
              </w:tc>
            </w:tr>
            <w:tr w14:paraId="3A19B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07" w:type="dxa"/>
                  <w:vMerge w:val="continue"/>
                  <w:noWrap w:val="0"/>
                  <w:vAlign w:val="center"/>
                </w:tcPr>
                <w:p w14:paraId="4F98CC55">
                  <w:pPr>
                    <w:pStyle w:val="5"/>
                    <w:bidi w:val="0"/>
                    <w:rPr>
                      <w:color w:val="auto"/>
                    </w:rPr>
                  </w:pPr>
                </w:p>
              </w:tc>
              <w:tc>
                <w:tcPr>
                  <w:tcW w:w="698" w:type="dxa"/>
                  <w:vMerge w:val="continue"/>
                  <w:noWrap w:val="0"/>
                  <w:vAlign w:val="center"/>
                </w:tcPr>
                <w:p w14:paraId="0DA89668">
                  <w:pPr>
                    <w:pStyle w:val="5"/>
                    <w:bidi w:val="0"/>
                    <w:rPr>
                      <w:color w:val="auto"/>
                    </w:rPr>
                  </w:pPr>
                </w:p>
              </w:tc>
              <w:tc>
                <w:tcPr>
                  <w:tcW w:w="2243" w:type="dxa"/>
                  <w:vMerge w:val="continue"/>
                  <w:noWrap w:val="0"/>
                  <w:vAlign w:val="center"/>
                </w:tcPr>
                <w:p w14:paraId="470385A0">
                  <w:pPr>
                    <w:pStyle w:val="5"/>
                    <w:bidi w:val="0"/>
                    <w:rPr>
                      <w:color w:val="auto"/>
                    </w:rPr>
                  </w:pPr>
                </w:p>
              </w:tc>
              <w:tc>
                <w:tcPr>
                  <w:tcW w:w="2134" w:type="dxa"/>
                  <w:noWrap w:val="0"/>
                  <w:vAlign w:val="center"/>
                </w:tcPr>
                <w:p w14:paraId="2DED7C78">
                  <w:pPr>
                    <w:pStyle w:val="5"/>
                    <w:bidi w:val="0"/>
                    <w:rPr>
                      <w:rFonts w:hint="eastAsia"/>
                      <w:color w:val="auto"/>
                    </w:rPr>
                  </w:pPr>
                  <w:r>
                    <w:rPr>
                      <w:rFonts w:hint="eastAsia"/>
                      <w:color w:val="auto"/>
                    </w:rPr>
                    <w:t>焊接</w:t>
                  </w:r>
                </w:p>
              </w:tc>
              <w:tc>
                <w:tcPr>
                  <w:tcW w:w="2756" w:type="dxa"/>
                  <w:noWrap w:val="0"/>
                  <w:vAlign w:val="center"/>
                </w:tcPr>
                <w:p w14:paraId="188E695F">
                  <w:pPr>
                    <w:pStyle w:val="5"/>
                    <w:bidi w:val="0"/>
                    <w:rPr>
                      <w:rFonts w:hint="eastAsia"/>
                      <w:color w:val="auto"/>
                    </w:rPr>
                  </w:pPr>
                  <w:r>
                    <w:rPr>
                      <w:rFonts w:hint="eastAsia"/>
                      <w:color w:val="auto"/>
                    </w:rPr>
                    <w:t>焊渣</w:t>
                  </w:r>
                </w:p>
              </w:tc>
            </w:tr>
            <w:tr w14:paraId="410C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07" w:type="dxa"/>
                  <w:vMerge w:val="continue"/>
                  <w:noWrap w:val="0"/>
                  <w:vAlign w:val="center"/>
                </w:tcPr>
                <w:p w14:paraId="29CDF7E4">
                  <w:pPr>
                    <w:pStyle w:val="5"/>
                    <w:bidi w:val="0"/>
                    <w:rPr>
                      <w:color w:val="auto"/>
                    </w:rPr>
                  </w:pPr>
                </w:p>
              </w:tc>
              <w:tc>
                <w:tcPr>
                  <w:tcW w:w="698" w:type="dxa"/>
                  <w:vMerge w:val="continue"/>
                  <w:noWrap w:val="0"/>
                  <w:vAlign w:val="center"/>
                </w:tcPr>
                <w:p w14:paraId="2E4B9E18">
                  <w:pPr>
                    <w:pStyle w:val="5"/>
                    <w:bidi w:val="0"/>
                    <w:rPr>
                      <w:color w:val="auto"/>
                    </w:rPr>
                  </w:pPr>
                </w:p>
              </w:tc>
              <w:tc>
                <w:tcPr>
                  <w:tcW w:w="2243" w:type="dxa"/>
                  <w:vMerge w:val="continue"/>
                  <w:noWrap w:val="0"/>
                  <w:vAlign w:val="center"/>
                </w:tcPr>
                <w:p w14:paraId="46A70730">
                  <w:pPr>
                    <w:pStyle w:val="5"/>
                    <w:bidi w:val="0"/>
                    <w:rPr>
                      <w:color w:val="auto"/>
                    </w:rPr>
                  </w:pPr>
                </w:p>
              </w:tc>
              <w:tc>
                <w:tcPr>
                  <w:tcW w:w="2134" w:type="dxa"/>
                  <w:noWrap w:val="0"/>
                  <w:vAlign w:val="center"/>
                </w:tcPr>
                <w:p w14:paraId="28F6CD5D">
                  <w:pPr>
                    <w:pStyle w:val="5"/>
                    <w:bidi w:val="0"/>
                    <w:rPr>
                      <w:rFonts w:hint="eastAsia"/>
                      <w:color w:val="auto"/>
                    </w:rPr>
                  </w:pPr>
                  <w:r>
                    <w:rPr>
                      <w:rFonts w:hint="eastAsia"/>
                      <w:color w:val="auto"/>
                    </w:rPr>
                    <w:t>布袋除尘器收集粉尘</w:t>
                  </w:r>
                </w:p>
              </w:tc>
              <w:tc>
                <w:tcPr>
                  <w:tcW w:w="2756" w:type="dxa"/>
                  <w:noWrap w:val="0"/>
                  <w:vAlign w:val="center"/>
                </w:tcPr>
                <w:p w14:paraId="3066FF87">
                  <w:pPr>
                    <w:pStyle w:val="5"/>
                    <w:bidi w:val="0"/>
                    <w:rPr>
                      <w:rFonts w:hint="eastAsia"/>
                      <w:color w:val="auto"/>
                    </w:rPr>
                  </w:pPr>
                  <w:r>
                    <w:rPr>
                      <w:rFonts w:hint="eastAsia"/>
                      <w:color w:val="auto"/>
                    </w:rPr>
                    <w:t>颗粒物</w:t>
                  </w:r>
                </w:p>
              </w:tc>
            </w:tr>
            <w:tr w14:paraId="70FBF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07" w:type="dxa"/>
                  <w:vMerge w:val="continue"/>
                  <w:noWrap w:val="0"/>
                  <w:vAlign w:val="center"/>
                </w:tcPr>
                <w:p w14:paraId="6709D366">
                  <w:pPr>
                    <w:pStyle w:val="5"/>
                    <w:bidi w:val="0"/>
                    <w:rPr>
                      <w:color w:val="auto"/>
                    </w:rPr>
                  </w:pPr>
                </w:p>
              </w:tc>
              <w:tc>
                <w:tcPr>
                  <w:tcW w:w="698" w:type="dxa"/>
                  <w:vMerge w:val="continue"/>
                  <w:noWrap w:val="0"/>
                  <w:vAlign w:val="center"/>
                </w:tcPr>
                <w:p w14:paraId="330A936A">
                  <w:pPr>
                    <w:pStyle w:val="5"/>
                    <w:bidi w:val="0"/>
                    <w:rPr>
                      <w:color w:val="auto"/>
                    </w:rPr>
                  </w:pPr>
                </w:p>
              </w:tc>
              <w:tc>
                <w:tcPr>
                  <w:tcW w:w="2243" w:type="dxa"/>
                  <w:vMerge w:val="restart"/>
                  <w:noWrap w:val="0"/>
                  <w:vAlign w:val="center"/>
                </w:tcPr>
                <w:p w14:paraId="2326B985">
                  <w:pPr>
                    <w:pStyle w:val="5"/>
                    <w:bidi w:val="0"/>
                    <w:rPr>
                      <w:color w:val="auto"/>
                    </w:rPr>
                  </w:pPr>
                  <w:r>
                    <w:rPr>
                      <w:color w:val="auto"/>
                    </w:rPr>
                    <w:t>危险废物</w:t>
                  </w:r>
                </w:p>
              </w:tc>
              <w:tc>
                <w:tcPr>
                  <w:tcW w:w="2134" w:type="dxa"/>
                  <w:noWrap w:val="0"/>
                  <w:vAlign w:val="center"/>
                </w:tcPr>
                <w:p w14:paraId="4272B6BD">
                  <w:pPr>
                    <w:pStyle w:val="5"/>
                    <w:bidi w:val="0"/>
                    <w:rPr>
                      <w:rFonts w:hint="eastAsia"/>
                      <w:color w:val="auto"/>
                    </w:rPr>
                  </w:pPr>
                  <w:r>
                    <w:rPr>
                      <w:rFonts w:hint="eastAsia"/>
                      <w:color w:val="auto"/>
                    </w:rPr>
                    <w:t>生产车间</w:t>
                  </w:r>
                </w:p>
              </w:tc>
              <w:tc>
                <w:tcPr>
                  <w:tcW w:w="2756" w:type="dxa"/>
                  <w:noWrap w:val="0"/>
                  <w:vAlign w:val="center"/>
                </w:tcPr>
                <w:p w14:paraId="78555A6E">
                  <w:pPr>
                    <w:pStyle w:val="5"/>
                    <w:bidi w:val="0"/>
                    <w:rPr>
                      <w:rFonts w:hint="eastAsia"/>
                      <w:color w:val="auto"/>
                    </w:rPr>
                  </w:pPr>
                  <w:r>
                    <w:rPr>
                      <w:rFonts w:hint="eastAsia"/>
                      <w:color w:val="auto"/>
                      <w:lang w:eastAsia="zh-CN"/>
                    </w:rPr>
                    <w:t>废槽液、</w:t>
                  </w:r>
                  <w:r>
                    <w:rPr>
                      <w:rFonts w:hint="eastAsia"/>
                      <w:color w:val="auto"/>
                    </w:rPr>
                    <w:t>废槽渣</w:t>
                  </w:r>
                </w:p>
              </w:tc>
            </w:tr>
            <w:tr w14:paraId="1470D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07" w:type="dxa"/>
                  <w:vMerge w:val="continue"/>
                  <w:noWrap w:val="0"/>
                  <w:vAlign w:val="center"/>
                </w:tcPr>
                <w:p w14:paraId="28740BBC">
                  <w:pPr>
                    <w:pStyle w:val="5"/>
                    <w:bidi w:val="0"/>
                    <w:rPr>
                      <w:color w:val="auto"/>
                    </w:rPr>
                  </w:pPr>
                </w:p>
              </w:tc>
              <w:tc>
                <w:tcPr>
                  <w:tcW w:w="698" w:type="dxa"/>
                  <w:vMerge w:val="continue"/>
                  <w:noWrap w:val="0"/>
                  <w:vAlign w:val="center"/>
                </w:tcPr>
                <w:p w14:paraId="68A23898">
                  <w:pPr>
                    <w:pStyle w:val="5"/>
                    <w:bidi w:val="0"/>
                    <w:rPr>
                      <w:color w:val="auto"/>
                    </w:rPr>
                  </w:pPr>
                </w:p>
              </w:tc>
              <w:tc>
                <w:tcPr>
                  <w:tcW w:w="2243" w:type="dxa"/>
                  <w:vMerge w:val="continue"/>
                  <w:noWrap w:val="0"/>
                  <w:vAlign w:val="center"/>
                </w:tcPr>
                <w:p w14:paraId="604F3C8A">
                  <w:pPr>
                    <w:pStyle w:val="5"/>
                    <w:bidi w:val="0"/>
                    <w:rPr>
                      <w:color w:val="auto"/>
                    </w:rPr>
                  </w:pPr>
                </w:p>
              </w:tc>
              <w:tc>
                <w:tcPr>
                  <w:tcW w:w="2134" w:type="dxa"/>
                  <w:noWrap w:val="0"/>
                  <w:vAlign w:val="center"/>
                </w:tcPr>
                <w:p w14:paraId="188B7497">
                  <w:pPr>
                    <w:pStyle w:val="5"/>
                    <w:bidi w:val="0"/>
                    <w:rPr>
                      <w:color w:val="auto"/>
                    </w:rPr>
                  </w:pPr>
                  <w:r>
                    <w:rPr>
                      <w:color w:val="auto"/>
                    </w:rPr>
                    <w:t>废气处理</w:t>
                  </w:r>
                </w:p>
              </w:tc>
              <w:tc>
                <w:tcPr>
                  <w:tcW w:w="2756" w:type="dxa"/>
                  <w:noWrap w:val="0"/>
                  <w:vAlign w:val="center"/>
                </w:tcPr>
                <w:p w14:paraId="282A2C79">
                  <w:pPr>
                    <w:pStyle w:val="5"/>
                    <w:bidi w:val="0"/>
                    <w:rPr>
                      <w:rFonts w:hint="eastAsia"/>
                      <w:color w:val="auto"/>
                    </w:rPr>
                  </w:pPr>
                  <w:r>
                    <w:rPr>
                      <w:color w:val="auto"/>
                    </w:rPr>
                    <w:t>废活性炭</w:t>
                  </w:r>
                  <w:r>
                    <w:rPr>
                      <w:rFonts w:hint="eastAsia"/>
                      <w:color w:val="auto"/>
                    </w:rPr>
                    <w:t>、废过滤棉</w:t>
                  </w:r>
                </w:p>
              </w:tc>
            </w:tr>
            <w:tr w14:paraId="7BE50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07" w:type="dxa"/>
                  <w:vMerge w:val="continue"/>
                  <w:noWrap w:val="0"/>
                  <w:vAlign w:val="center"/>
                </w:tcPr>
                <w:p w14:paraId="46604160">
                  <w:pPr>
                    <w:pStyle w:val="5"/>
                    <w:bidi w:val="0"/>
                    <w:rPr>
                      <w:color w:val="auto"/>
                    </w:rPr>
                  </w:pPr>
                </w:p>
              </w:tc>
              <w:tc>
                <w:tcPr>
                  <w:tcW w:w="698" w:type="dxa"/>
                  <w:vMerge w:val="continue"/>
                  <w:noWrap w:val="0"/>
                  <w:vAlign w:val="center"/>
                </w:tcPr>
                <w:p w14:paraId="1347EF65">
                  <w:pPr>
                    <w:pStyle w:val="5"/>
                    <w:bidi w:val="0"/>
                    <w:rPr>
                      <w:color w:val="auto"/>
                    </w:rPr>
                  </w:pPr>
                </w:p>
              </w:tc>
              <w:tc>
                <w:tcPr>
                  <w:tcW w:w="2243" w:type="dxa"/>
                  <w:vMerge w:val="continue"/>
                  <w:noWrap w:val="0"/>
                  <w:vAlign w:val="center"/>
                </w:tcPr>
                <w:p w14:paraId="7EFC2BB0">
                  <w:pPr>
                    <w:pStyle w:val="5"/>
                    <w:bidi w:val="0"/>
                    <w:rPr>
                      <w:color w:val="auto"/>
                    </w:rPr>
                  </w:pPr>
                </w:p>
              </w:tc>
              <w:tc>
                <w:tcPr>
                  <w:tcW w:w="2134" w:type="dxa"/>
                  <w:noWrap w:val="0"/>
                  <w:vAlign w:val="center"/>
                </w:tcPr>
                <w:p w14:paraId="2E61CB3E">
                  <w:pPr>
                    <w:pStyle w:val="5"/>
                    <w:bidi w:val="0"/>
                    <w:rPr>
                      <w:rFonts w:hint="eastAsia"/>
                      <w:color w:val="auto"/>
                    </w:rPr>
                  </w:pPr>
                  <w:r>
                    <w:rPr>
                      <w:rFonts w:hint="eastAsia"/>
                      <w:color w:val="auto"/>
                    </w:rPr>
                    <w:t>喷漆</w:t>
                  </w:r>
                </w:p>
              </w:tc>
              <w:tc>
                <w:tcPr>
                  <w:tcW w:w="2756" w:type="dxa"/>
                  <w:noWrap w:val="0"/>
                  <w:vAlign w:val="center"/>
                </w:tcPr>
                <w:p w14:paraId="2C4FB3D7">
                  <w:pPr>
                    <w:pStyle w:val="5"/>
                    <w:bidi w:val="0"/>
                    <w:rPr>
                      <w:rFonts w:hint="eastAsia"/>
                      <w:color w:val="auto"/>
                    </w:rPr>
                  </w:pPr>
                  <w:r>
                    <w:rPr>
                      <w:rFonts w:hint="eastAsia"/>
                      <w:color w:val="auto"/>
                    </w:rPr>
                    <w:t>漆渣</w:t>
                  </w:r>
                </w:p>
              </w:tc>
            </w:tr>
            <w:tr w14:paraId="3DCC7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807" w:type="dxa"/>
                  <w:vMerge w:val="continue"/>
                  <w:noWrap w:val="0"/>
                  <w:vAlign w:val="center"/>
                </w:tcPr>
                <w:p w14:paraId="1D48993A">
                  <w:pPr>
                    <w:pStyle w:val="5"/>
                    <w:bidi w:val="0"/>
                    <w:rPr>
                      <w:color w:val="auto"/>
                    </w:rPr>
                  </w:pPr>
                </w:p>
              </w:tc>
              <w:tc>
                <w:tcPr>
                  <w:tcW w:w="698" w:type="dxa"/>
                  <w:vMerge w:val="continue"/>
                  <w:noWrap w:val="0"/>
                  <w:vAlign w:val="center"/>
                </w:tcPr>
                <w:p w14:paraId="7115B41E">
                  <w:pPr>
                    <w:pStyle w:val="5"/>
                    <w:bidi w:val="0"/>
                    <w:rPr>
                      <w:color w:val="auto"/>
                    </w:rPr>
                  </w:pPr>
                </w:p>
              </w:tc>
              <w:tc>
                <w:tcPr>
                  <w:tcW w:w="2243" w:type="dxa"/>
                  <w:vMerge w:val="continue"/>
                  <w:noWrap w:val="0"/>
                  <w:vAlign w:val="center"/>
                </w:tcPr>
                <w:p w14:paraId="47947005">
                  <w:pPr>
                    <w:pStyle w:val="5"/>
                    <w:bidi w:val="0"/>
                    <w:rPr>
                      <w:color w:val="auto"/>
                    </w:rPr>
                  </w:pPr>
                </w:p>
              </w:tc>
              <w:tc>
                <w:tcPr>
                  <w:tcW w:w="2134" w:type="dxa"/>
                  <w:noWrap w:val="0"/>
                  <w:vAlign w:val="center"/>
                </w:tcPr>
                <w:p w14:paraId="562B95B6">
                  <w:pPr>
                    <w:pStyle w:val="5"/>
                    <w:bidi w:val="0"/>
                    <w:rPr>
                      <w:rFonts w:hint="eastAsia"/>
                      <w:color w:val="auto"/>
                    </w:rPr>
                  </w:pPr>
                  <w:r>
                    <w:rPr>
                      <w:rFonts w:hint="eastAsia"/>
                      <w:color w:val="auto"/>
                    </w:rPr>
                    <w:t>设备维修</w:t>
                  </w:r>
                </w:p>
              </w:tc>
              <w:tc>
                <w:tcPr>
                  <w:tcW w:w="2756" w:type="dxa"/>
                  <w:noWrap w:val="0"/>
                  <w:vAlign w:val="center"/>
                </w:tcPr>
                <w:p w14:paraId="16AA9A73">
                  <w:pPr>
                    <w:pStyle w:val="5"/>
                    <w:bidi w:val="0"/>
                    <w:rPr>
                      <w:rFonts w:hint="eastAsia"/>
                      <w:color w:val="auto"/>
                    </w:rPr>
                  </w:pPr>
                  <w:r>
                    <w:rPr>
                      <w:rFonts w:hint="eastAsia"/>
                      <w:color w:val="auto"/>
                    </w:rPr>
                    <w:t>废润滑油、废润滑油桶</w:t>
                  </w:r>
                </w:p>
              </w:tc>
            </w:tr>
          </w:tbl>
          <w:p w14:paraId="20363E63">
            <w:pPr>
              <w:rPr>
                <w:rFonts w:hint="default"/>
                <w:color w:val="auto"/>
                <w:lang w:val="en-US" w:eastAsia="zh-CN"/>
              </w:rPr>
            </w:pPr>
          </w:p>
        </w:tc>
      </w:tr>
    </w:tbl>
    <w:p w14:paraId="5CCF3CBF">
      <w:pPr>
        <w:rPr>
          <w:rFonts w:hint="default"/>
          <w:color w:val="auto"/>
        </w:rPr>
      </w:pPr>
      <w:r>
        <w:rPr>
          <w:rFonts w:hint="default"/>
          <w:color w:val="auto"/>
        </w:rPr>
        <w:br w:type="page"/>
      </w:r>
    </w:p>
    <w:p w14:paraId="2353A611">
      <w:pPr>
        <w:spacing w:line="360" w:lineRule="auto"/>
        <w:rPr>
          <w:rFonts w:hint="eastAsia"/>
          <w:color w:val="auto"/>
          <w:lang w:val="en-US" w:eastAsia="zh-CN"/>
        </w:rPr>
      </w:pPr>
      <w:r>
        <w:rPr>
          <w:rFonts w:hint="eastAsia"/>
          <w:color w:val="auto"/>
          <w:lang w:val="en-US" w:eastAsia="zh-CN"/>
        </w:rPr>
        <w:t xml:space="preserve"> 表三</w:t>
      </w:r>
    </w:p>
    <w:tbl>
      <w:tblPr>
        <w:tblStyle w:val="20"/>
        <w:tblW w:w="8659"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28DC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2" w:hRule="atLeast"/>
        </w:trPr>
        <w:tc>
          <w:tcPr>
            <w:tcW w:w="8659" w:type="dxa"/>
          </w:tcPr>
          <w:p w14:paraId="120D022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主要污染源、污染物处理和排放</w:t>
            </w:r>
            <w:r>
              <w:rPr>
                <w:rFonts w:hint="eastAsia" w:ascii="Times New Roman" w:hAnsi="Times New Roman" w:eastAsia="宋体" w:cs="Times New Roman"/>
                <w:b/>
                <w:bCs/>
                <w:color w:val="auto"/>
                <w:sz w:val="24"/>
                <w:szCs w:val="24"/>
                <w:lang w:eastAsia="zh-CN"/>
              </w:rPr>
              <w:t>情况</w:t>
            </w:r>
          </w:p>
          <w:p w14:paraId="3067BACC">
            <w:pPr>
              <w:widowControl w:val="0"/>
              <w:spacing w:line="360" w:lineRule="auto"/>
              <w:jc w:val="left"/>
              <w:rPr>
                <w:rFonts w:hint="default" w:ascii="Times New Roman" w:hAnsi="Times New Roman" w:eastAsia="宋体" w:cs="Times New Roman"/>
                <w:b/>
                <w:color w:val="auto"/>
                <w:sz w:val="24"/>
              </w:rPr>
            </w:pPr>
            <w:r>
              <w:rPr>
                <w:rFonts w:hint="eastAsia" w:ascii="Times New Roman" w:hAnsi="Times New Roman" w:eastAsia="宋体" w:cs="Times New Roman"/>
                <w:b/>
                <w:color w:val="auto"/>
                <w:sz w:val="24"/>
                <w:lang w:val="en-US" w:eastAsia="zh-CN"/>
              </w:rPr>
              <w:t>1</w:t>
            </w:r>
            <w:r>
              <w:rPr>
                <w:rFonts w:hint="eastAsia" w:ascii="Times New Roman" w:hAnsi="Times New Roman" w:eastAsia="宋体" w:cs="Times New Roman"/>
                <w:b/>
                <w:color w:val="auto"/>
                <w:sz w:val="24"/>
                <w:lang w:eastAsia="zh-CN"/>
              </w:rPr>
              <w:t>、环境保护设施</w:t>
            </w:r>
          </w:p>
          <w:p w14:paraId="73BB8C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hAnsi="宋体"/>
                <w:b/>
                <w:bCs/>
                <w:color w:val="auto"/>
                <w:sz w:val="24"/>
              </w:rPr>
            </w:pPr>
            <w:r>
              <w:rPr>
                <w:rFonts w:hint="eastAsia" w:ascii="Times New Roman" w:hAnsi="Times New Roman" w:eastAsia="宋体" w:cs="Times New Roman"/>
                <w:b/>
                <w:bCs/>
                <w:color w:val="auto"/>
                <w:sz w:val="24"/>
                <w:szCs w:val="24"/>
                <w:highlight w:val="none"/>
                <w:lang w:val="en-US" w:eastAsia="zh-CN"/>
              </w:rPr>
              <w:t>（1）</w:t>
            </w:r>
            <w:r>
              <w:rPr>
                <w:rFonts w:hint="eastAsia" w:hAnsi="宋体"/>
                <w:b/>
                <w:bCs/>
                <w:color w:val="auto"/>
                <w:sz w:val="24"/>
              </w:rPr>
              <w:t>废水污染物</w:t>
            </w:r>
            <w:r>
              <w:rPr>
                <w:rFonts w:hint="eastAsia" w:hAnsi="宋体"/>
                <w:b/>
                <w:bCs/>
                <w:color w:val="auto"/>
                <w:sz w:val="24"/>
                <w:lang w:eastAsia="zh-CN"/>
              </w:rPr>
              <w:t>治理</w:t>
            </w:r>
            <w:r>
              <w:rPr>
                <w:rFonts w:hint="eastAsia" w:hAnsi="宋体"/>
                <w:b/>
                <w:bCs/>
                <w:color w:val="auto"/>
                <w:sz w:val="24"/>
                <w:lang w:val="en-US" w:eastAsia="zh-CN"/>
              </w:rPr>
              <w:t>/处置设施</w:t>
            </w:r>
            <w:r>
              <w:rPr>
                <w:rFonts w:hint="eastAsia" w:hAnsi="宋体"/>
                <w:b/>
                <w:bCs/>
                <w:color w:val="auto"/>
                <w:sz w:val="24"/>
              </w:rPr>
              <w:t>分析</w:t>
            </w:r>
          </w:p>
          <w:p w14:paraId="4C8F4B8E">
            <w:pPr>
              <w:widowControl w:val="0"/>
              <w:bidi w:val="0"/>
              <w:ind w:firstLine="480" w:firstLineChars="200"/>
              <w:jc w:val="both"/>
              <w:rPr>
                <w:rFonts w:hint="eastAsia"/>
                <w:color w:val="auto"/>
                <w:lang w:val="en-US" w:eastAsia="zh-CN"/>
              </w:rPr>
            </w:pPr>
            <w:r>
              <w:rPr>
                <w:rFonts w:hint="eastAsia"/>
                <w:color w:val="auto"/>
                <w:lang w:val="en-US" w:eastAsia="zh-CN"/>
              </w:rPr>
              <w:t>本项目主要废水为职工生活废水，脱脂、磷化水洗废水和水帘废水等生产废水。</w:t>
            </w:r>
          </w:p>
          <w:p w14:paraId="445FFB22">
            <w:pPr>
              <w:widowControl w:val="0"/>
              <w:bidi w:val="0"/>
              <w:ind w:firstLine="480" w:firstLineChars="200"/>
              <w:jc w:val="both"/>
              <w:rPr>
                <w:rFonts w:hint="eastAsia"/>
                <w:color w:val="auto"/>
                <w:lang w:val="en-US" w:eastAsia="zh-CN"/>
              </w:rPr>
            </w:pPr>
            <w:r>
              <w:rPr>
                <w:rFonts w:hint="eastAsia"/>
                <w:color w:val="auto"/>
                <w:lang w:val="en-US" w:eastAsia="zh-CN"/>
              </w:rPr>
              <w:t>①职工生活废水</w:t>
            </w:r>
          </w:p>
          <w:p w14:paraId="4E3F32CE">
            <w:pPr>
              <w:keepNext w:val="0"/>
              <w:keepLines w:val="0"/>
              <w:pageBreakBefore w:val="0"/>
              <w:widowControl w:val="0"/>
              <w:kinsoku/>
              <w:wordWrap/>
              <w:overflowPunct/>
              <w:topLinePunct w:val="0"/>
              <w:bidi w:val="0"/>
              <w:snapToGrid w:val="0"/>
              <w:spacing w:line="360" w:lineRule="auto"/>
              <w:ind w:firstLine="480" w:firstLineChars="200"/>
              <w:jc w:val="left"/>
              <w:textAlignment w:val="auto"/>
              <w:rPr>
                <w:color w:val="auto"/>
                <w:sz w:val="24"/>
              </w:rPr>
            </w:pPr>
            <w:r>
              <w:rPr>
                <w:rFonts w:hint="eastAsia"/>
                <w:color w:val="auto"/>
                <w:sz w:val="24"/>
                <w:lang w:eastAsia="zh-CN"/>
              </w:rPr>
              <w:t>本项目</w:t>
            </w:r>
            <w:r>
              <w:rPr>
                <w:color w:val="auto"/>
                <w:sz w:val="24"/>
              </w:rPr>
              <w:t>员工16人，厂区设置食堂，不设置住宿。日用水量为1.6t/d，480t/a。生活废水产生量为1.28t/d，384t/a。其中食堂用水约0.64t/d，192t/a，食堂废水量约0.512t/d，153.6t/a。</w:t>
            </w:r>
          </w:p>
          <w:p w14:paraId="01DA591F">
            <w:pPr>
              <w:widowControl w:val="0"/>
              <w:bidi w:val="0"/>
              <w:ind w:firstLine="480" w:firstLineChars="200"/>
              <w:jc w:val="both"/>
              <w:rPr>
                <w:rFonts w:hint="eastAsia"/>
                <w:color w:val="auto"/>
                <w:sz w:val="24"/>
                <w:lang w:eastAsia="zh-CN"/>
              </w:rPr>
            </w:pPr>
            <w:r>
              <w:rPr>
                <w:rFonts w:hint="eastAsia"/>
                <w:color w:val="auto"/>
                <w:lang w:val="en-US" w:eastAsia="zh-CN"/>
              </w:rPr>
              <w:t>生活废水经“隔油池+化粪池”处理后</w:t>
            </w:r>
            <w:r>
              <w:rPr>
                <w:rFonts w:hint="eastAsia"/>
                <w:color w:val="auto"/>
                <w:sz w:val="24"/>
              </w:rPr>
              <w:t>汇入厂区总排口接入市政污水管网排污舒城经济开发区工业污水处理厂</w:t>
            </w:r>
            <w:r>
              <w:rPr>
                <w:rFonts w:hint="eastAsia"/>
                <w:color w:val="auto"/>
                <w:sz w:val="24"/>
                <w:lang w:eastAsia="zh-CN"/>
              </w:rPr>
              <w:t>。</w:t>
            </w:r>
          </w:p>
          <w:p w14:paraId="6ABF1FE8">
            <w:pPr>
              <w:widowControl w:val="0"/>
              <w:bidi w:val="0"/>
              <w:ind w:firstLine="480" w:firstLineChars="200"/>
              <w:jc w:val="both"/>
              <w:rPr>
                <w:rFonts w:hint="eastAsia"/>
                <w:color w:val="auto"/>
                <w:sz w:val="24"/>
                <w:lang w:val="en-US" w:eastAsia="zh-CN"/>
              </w:rPr>
            </w:pPr>
            <w:r>
              <w:rPr>
                <w:rFonts w:hint="eastAsia"/>
                <w:color w:val="auto"/>
                <w:sz w:val="24"/>
                <w:lang w:eastAsia="zh-CN"/>
              </w:rPr>
              <w:t>②生产废水</w:t>
            </w:r>
          </w:p>
          <w:p w14:paraId="0C9BD30C">
            <w:pPr>
              <w:widowControl w:val="0"/>
              <w:autoSpaceDE w:val="0"/>
              <w:autoSpaceDN w:val="0"/>
              <w:spacing w:line="360" w:lineRule="auto"/>
              <w:ind w:firstLine="480" w:firstLineChars="200"/>
              <w:jc w:val="left"/>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生产废水主要为磷化水洗废水、脱脂水洗废水、水帘废水等。水帘废水经絮凝沉淀后回用，磷化、脱脂水洗废水采用工艺为“pH调节+混凝沉淀”的污水处理站处理后回用于清洗：</w:t>
            </w:r>
          </w:p>
          <w:p w14:paraId="435852AE">
            <w:pPr>
              <w:pStyle w:val="10"/>
              <w:widowControl w:val="0"/>
              <w:jc w:val="center"/>
              <w:rPr>
                <w:rFonts w:hint="eastAsia" w:eastAsia="宋体"/>
                <w:color w:val="auto"/>
                <w:lang w:eastAsia="zh-CN"/>
              </w:rPr>
            </w:pP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3258820</wp:posOffset>
                      </wp:positionH>
                      <wp:positionV relativeFrom="paragraph">
                        <wp:posOffset>368300</wp:posOffset>
                      </wp:positionV>
                      <wp:extent cx="1811655" cy="645160"/>
                      <wp:effectExtent l="0" t="0" r="17145" b="2540"/>
                      <wp:wrapNone/>
                      <wp:docPr id="5" name="矩形 5"/>
                      <wp:cNvGraphicFramePr/>
                      <a:graphic xmlns:a="http://schemas.openxmlformats.org/drawingml/2006/main">
                        <a:graphicData uri="http://schemas.microsoft.com/office/word/2010/wordprocessingShape">
                          <wps:wsp>
                            <wps:cNvSpPr/>
                            <wps:spPr>
                              <a:xfrm>
                                <a:off x="3860165" y="6045835"/>
                                <a:ext cx="1811655" cy="64516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6.6pt;margin-top:29pt;height:50.8pt;width:142.65pt;z-index:251659264;v-text-anchor:middle;mso-width-relative:page;mso-height-relative:page;" fillcolor="#FFFFFF [3212]" filled="t" stroked="f" coordsize="21600,21600" o:gfxdata="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LvMGB9oAAAAKAQAADwAAAAAAAAABACAAAAAiAAAA&#10;ZHJzL2Rvd25yZXYueG1sUEsBAhQAFAAAAAgAh07iQGdslpd3AgAA1wQAAA4AAAAAAAAAAQAgAAAA&#10;KQEAAGRycy9lMm9Eb2MueG1sUEsFBgAAAAAGAAYAWQEAABIGAAAAAA==&#10;">
                      <v:fill on="t" focussize="0,0"/>
                      <v:stroke on="f" weight="1pt" miterlimit="8" joinstyle="miter"/>
                      <v:imagedata o:title=""/>
                      <o:lock v:ext="edit" aspectratio="f"/>
                    </v:rect>
                  </w:pict>
                </mc:Fallback>
              </mc:AlternateContent>
            </w:r>
            <w:r>
              <w:rPr>
                <w:rFonts w:hint="eastAsia" w:eastAsia="宋体"/>
                <w:color w:val="auto"/>
                <w:lang w:eastAsia="zh-CN"/>
              </w:rPr>
              <w:drawing>
                <wp:inline distT="0" distB="0" distL="114300" distR="114300">
                  <wp:extent cx="3756025" cy="978535"/>
                  <wp:effectExtent l="0" t="0" r="0" b="0"/>
                  <wp:docPr id="2" name="图片 2" descr="润昇水平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润昇水平衡"/>
                          <pic:cNvPicPr>
                            <a:picLocks noChangeAspect="1"/>
                          </pic:cNvPicPr>
                        </pic:nvPicPr>
                        <pic:blipFill>
                          <a:blip r:embed="rId12"/>
                          <a:srcRect r="22355"/>
                          <a:stretch>
                            <a:fillRect/>
                          </a:stretch>
                        </pic:blipFill>
                        <pic:spPr>
                          <a:xfrm>
                            <a:off x="0" y="0"/>
                            <a:ext cx="3756025" cy="978535"/>
                          </a:xfrm>
                          <a:prstGeom prst="rect">
                            <a:avLst/>
                          </a:prstGeom>
                        </pic:spPr>
                      </pic:pic>
                    </a:graphicData>
                  </a:graphic>
                </wp:inline>
              </w:drawing>
            </w:r>
          </w:p>
          <w:p w14:paraId="3BDED70E">
            <w:pPr>
              <w:widowControl w:val="0"/>
              <w:spacing w:line="360" w:lineRule="auto"/>
              <w:jc w:val="center"/>
              <w:rPr>
                <w:rFonts w:hint="default"/>
                <w:b/>
                <w:bCs/>
                <w:color w:val="auto"/>
                <w:lang w:val="en-US" w:eastAsia="zh-CN"/>
              </w:rPr>
            </w:pPr>
            <w:r>
              <w:rPr>
                <w:rFonts w:hint="eastAsia"/>
                <w:b/>
                <w:bCs/>
                <w:color w:val="auto"/>
                <w:lang w:val="en-US" w:eastAsia="zh-CN"/>
              </w:rPr>
              <w:t>图3-1  废水处理工艺流程图</w:t>
            </w:r>
          </w:p>
          <w:p w14:paraId="5097B7F3">
            <w:pPr>
              <w:widowControl w:val="0"/>
              <w:spacing w:line="360" w:lineRule="auto"/>
              <w:ind w:firstLine="480" w:firstLineChars="200"/>
              <w:jc w:val="both"/>
              <w:rPr>
                <w:rFonts w:hint="eastAsia"/>
                <w:color w:val="FF0000"/>
                <w:lang w:val="en-US" w:eastAsia="zh-CN"/>
              </w:rPr>
            </w:pPr>
            <w:r>
              <w:rPr>
                <w:rFonts w:hint="eastAsia"/>
                <w:color w:val="auto"/>
                <w:lang w:val="en-US" w:eastAsia="zh-CN"/>
              </w:rPr>
              <w:t>根据本项目水平衡情况</w:t>
            </w:r>
            <w:r>
              <w:rPr>
                <w:color w:val="auto"/>
                <w:sz w:val="24"/>
              </w:rPr>
              <w:t>废水排放水量</w:t>
            </w:r>
            <w:r>
              <w:rPr>
                <w:rFonts w:hint="eastAsia"/>
                <w:color w:val="auto"/>
                <w:sz w:val="24"/>
                <w:lang w:eastAsia="zh-CN"/>
              </w:rPr>
              <w:t>为</w:t>
            </w:r>
            <w:r>
              <w:rPr>
                <w:rFonts w:hint="eastAsia"/>
                <w:color w:val="auto"/>
                <w:sz w:val="24"/>
                <w:lang w:val="en-US" w:eastAsia="zh-CN"/>
              </w:rPr>
              <w:t>1.28</w:t>
            </w:r>
            <w:r>
              <w:rPr>
                <w:color w:val="auto"/>
                <w:sz w:val="24"/>
              </w:rPr>
              <w:t>t/d，废水排放量很小，舒城经济开发区污水处理厂污水处理量为1.0万t/d，其水量已考虑到项目区收水范围，不会对其处理能力造成较大的冲击，因在其设计考虑处理范围内，因此接管水量是可行的。外排废水经预处理后，其水质能够达到《污水综合排放标准》（GB8978-1996）中三级标准</w:t>
            </w:r>
            <w:r>
              <w:rPr>
                <w:rFonts w:hint="eastAsia"/>
                <w:color w:val="auto"/>
                <w:sz w:val="24"/>
              </w:rPr>
              <w:t>及接管标准</w:t>
            </w:r>
            <w:r>
              <w:rPr>
                <w:color w:val="auto"/>
                <w:sz w:val="24"/>
              </w:rPr>
              <w:t>，满足污水管网接管标准，且污水中不存在影响处理工艺的有毒有害物质，不会对污水处理厂的正常运行造成冲击。</w:t>
            </w:r>
          </w:p>
          <w:p w14:paraId="69906427">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2" w:firstLineChars="200"/>
              <w:jc w:val="left"/>
              <w:textAlignment w:val="auto"/>
              <w:rPr>
                <w:rFonts w:hint="eastAsia" w:hAnsi="宋体"/>
                <w:b/>
                <w:bCs/>
                <w:color w:val="auto"/>
                <w:sz w:val="24"/>
              </w:rPr>
            </w:pPr>
            <w:r>
              <w:rPr>
                <w:rFonts w:hint="eastAsia" w:hAnsi="宋体"/>
                <w:b/>
                <w:bCs/>
                <w:color w:val="auto"/>
                <w:sz w:val="24"/>
              </w:rPr>
              <w:t>废</w:t>
            </w:r>
            <w:r>
              <w:rPr>
                <w:rFonts w:hint="eastAsia" w:hAnsi="宋体"/>
                <w:b/>
                <w:bCs/>
                <w:color w:val="auto"/>
                <w:sz w:val="24"/>
                <w:lang w:eastAsia="zh-CN"/>
              </w:rPr>
              <w:t>气</w:t>
            </w:r>
            <w:r>
              <w:rPr>
                <w:rFonts w:hint="eastAsia" w:hAnsi="宋体"/>
                <w:b/>
                <w:bCs/>
                <w:color w:val="auto"/>
                <w:sz w:val="24"/>
              </w:rPr>
              <w:t>污染物</w:t>
            </w:r>
            <w:r>
              <w:rPr>
                <w:rFonts w:hint="eastAsia" w:hAnsi="宋体"/>
                <w:b/>
                <w:bCs/>
                <w:color w:val="auto"/>
                <w:sz w:val="24"/>
                <w:lang w:eastAsia="zh-CN"/>
              </w:rPr>
              <w:t>治理</w:t>
            </w:r>
            <w:r>
              <w:rPr>
                <w:rFonts w:hint="eastAsia" w:hAnsi="宋体"/>
                <w:b/>
                <w:bCs/>
                <w:color w:val="auto"/>
                <w:sz w:val="24"/>
                <w:lang w:val="en-US" w:eastAsia="zh-CN"/>
              </w:rPr>
              <w:t>/处置设施</w:t>
            </w:r>
            <w:r>
              <w:rPr>
                <w:rFonts w:hint="eastAsia" w:hAnsi="宋体"/>
                <w:b/>
                <w:bCs/>
                <w:color w:val="auto"/>
                <w:sz w:val="24"/>
              </w:rPr>
              <w:t>分析</w:t>
            </w:r>
          </w:p>
          <w:p w14:paraId="022C852D">
            <w:pPr>
              <w:widowControl w:val="0"/>
              <w:spacing w:line="360" w:lineRule="auto"/>
              <w:ind w:firstLine="480" w:firstLineChars="200"/>
              <w:jc w:val="both"/>
              <w:rPr>
                <w:rFonts w:hint="eastAsia"/>
                <w:bCs/>
                <w:color w:val="auto"/>
                <w:sz w:val="24"/>
                <w:szCs w:val="24"/>
              </w:rPr>
            </w:pPr>
            <w:r>
              <w:rPr>
                <w:rFonts w:hint="eastAsia"/>
                <w:bCs/>
                <w:color w:val="auto"/>
                <w:sz w:val="24"/>
                <w:szCs w:val="24"/>
                <w:lang w:eastAsia="zh-CN"/>
              </w:rPr>
              <w:t>本项目</w:t>
            </w:r>
            <w:r>
              <w:rPr>
                <w:rFonts w:hint="eastAsia"/>
                <w:bCs/>
                <w:color w:val="auto"/>
                <w:sz w:val="24"/>
                <w:szCs w:val="24"/>
              </w:rPr>
              <w:t>产生的废气污染物主要为胶合工段产生的胶合废气、焊接工段产生的焊接烟尘、喷塑工段产生的粉尘、固化工段产生的固化废气、喷漆工段产生的喷漆废气、烘干工段产生的烘干废气以及天然气燃烧废气。</w:t>
            </w:r>
          </w:p>
          <w:p w14:paraId="649EFA2C">
            <w:pPr>
              <w:pStyle w:val="17"/>
              <w:widowControl w:val="0"/>
              <w:spacing w:after="0" w:line="360" w:lineRule="auto"/>
              <w:ind w:firstLine="480" w:firstLineChars="200"/>
              <w:jc w:val="both"/>
              <w:rPr>
                <w:rFonts w:hint="default"/>
                <w:color w:val="auto"/>
                <w:sz w:val="24"/>
                <w:szCs w:val="24"/>
                <w:lang w:eastAsia="zh-CN"/>
              </w:rPr>
            </w:pPr>
            <w:r>
              <w:rPr>
                <w:rFonts w:hint="eastAsia"/>
                <w:color w:val="auto"/>
                <w:sz w:val="24"/>
                <w:szCs w:val="24"/>
                <w:lang w:val="en-US" w:eastAsia="zh-CN"/>
              </w:rPr>
              <w:t>胶合废气</w:t>
            </w:r>
            <w:r>
              <w:rPr>
                <w:rFonts w:hint="eastAsia"/>
                <w:color w:val="auto"/>
                <w:sz w:val="24"/>
                <w:szCs w:val="24"/>
                <w:lang w:eastAsia="zh-CN"/>
              </w:rPr>
              <w:t>作业量少，废气产生量少，且实际胶粘过程区域分散、无固定工位收集排放，实际为无组织排放，做好厂区内除臭工作</w:t>
            </w:r>
            <w:r>
              <w:rPr>
                <w:rFonts w:hint="default"/>
                <w:color w:val="auto"/>
                <w:sz w:val="24"/>
                <w:szCs w:val="24"/>
                <w:lang w:eastAsia="zh-CN"/>
              </w:rPr>
              <w:t>；</w:t>
            </w:r>
          </w:p>
          <w:p w14:paraId="4CD2B377">
            <w:pPr>
              <w:pStyle w:val="17"/>
              <w:widowControl w:val="0"/>
              <w:spacing w:after="0" w:line="360" w:lineRule="auto"/>
              <w:ind w:firstLine="480" w:firstLineChars="200"/>
              <w:jc w:val="both"/>
              <w:rPr>
                <w:rFonts w:hint="eastAsia"/>
                <w:color w:val="auto"/>
                <w:sz w:val="24"/>
                <w:szCs w:val="24"/>
                <w:lang w:eastAsia="zh-CN"/>
              </w:rPr>
            </w:pPr>
            <w:r>
              <w:rPr>
                <w:rFonts w:hint="eastAsia"/>
                <w:bCs/>
                <w:color w:val="auto"/>
                <w:sz w:val="24"/>
                <w:szCs w:val="24"/>
              </w:rPr>
              <w:t>焊接工段产生的焊接烟尘</w:t>
            </w:r>
            <w:r>
              <w:rPr>
                <w:rFonts w:hint="eastAsia"/>
                <w:color w:val="auto"/>
                <w:sz w:val="24"/>
                <w:szCs w:val="24"/>
                <w:lang w:eastAsia="zh-CN"/>
              </w:rPr>
              <w:t>因</w:t>
            </w:r>
            <w:r>
              <w:rPr>
                <w:rFonts w:hint="eastAsia"/>
                <w:color w:val="auto"/>
                <w:sz w:val="24"/>
                <w:szCs w:val="24"/>
              </w:rPr>
              <w:t>焊接件较大且焊接点较为分散，</w:t>
            </w:r>
            <w:r>
              <w:rPr>
                <w:rFonts w:hint="eastAsia"/>
                <w:color w:val="auto"/>
                <w:sz w:val="24"/>
                <w:szCs w:val="24"/>
                <w:lang w:eastAsia="zh-CN"/>
              </w:rPr>
              <w:t>焊接废气</w:t>
            </w:r>
            <w:r>
              <w:rPr>
                <w:rFonts w:hint="eastAsia"/>
                <w:color w:val="auto"/>
                <w:sz w:val="24"/>
                <w:szCs w:val="24"/>
              </w:rPr>
              <w:t>移动式焊接净化器</w:t>
            </w:r>
            <w:r>
              <w:rPr>
                <w:rFonts w:hint="eastAsia"/>
                <w:color w:val="auto"/>
                <w:sz w:val="24"/>
                <w:szCs w:val="24"/>
                <w:lang w:eastAsia="zh-CN"/>
              </w:rPr>
              <w:t>收集</w:t>
            </w:r>
            <w:r>
              <w:rPr>
                <w:rFonts w:hint="eastAsia"/>
                <w:color w:val="auto"/>
                <w:sz w:val="24"/>
                <w:szCs w:val="24"/>
              </w:rPr>
              <w:t>处理</w:t>
            </w:r>
            <w:r>
              <w:rPr>
                <w:rFonts w:hint="eastAsia"/>
                <w:color w:val="auto"/>
                <w:sz w:val="24"/>
                <w:szCs w:val="24"/>
                <w:lang w:eastAsia="zh-CN"/>
              </w:rPr>
              <w:t>后连接到车间外排放；</w:t>
            </w:r>
          </w:p>
          <w:p w14:paraId="3B88354E">
            <w:pPr>
              <w:pStyle w:val="17"/>
              <w:widowControl w:val="0"/>
              <w:spacing w:after="0" w:line="360" w:lineRule="auto"/>
              <w:ind w:firstLine="480" w:firstLineChars="200"/>
              <w:jc w:val="both"/>
              <w:rPr>
                <w:rFonts w:hint="eastAsia"/>
                <w:color w:val="auto"/>
                <w:sz w:val="24"/>
                <w:szCs w:val="24"/>
                <w:lang w:eastAsia="zh-CN"/>
              </w:rPr>
            </w:pPr>
            <w:r>
              <w:rPr>
                <w:rFonts w:hint="eastAsia"/>
                <w:bCs/>
                <w:color w:val="auto"/>
                <w:sz w:val="24"/>
                <w:szCs w:val="24"/>
              </w:rPr>
              <w:t>喷塑工段产生的粉尘</w:t>
            </w:r>
            <w:r>
              <w:rPr>
                <w:color w:val="auto"/>
                <w:sz w:val="24"/>
                <w:szCs w:val="24"/>
              </w:rPr>
              <w:t>采用封闭处理，配套负压收集系统对未附着的塑粉进行收集</w:t>
            </w:r>
            <w:r>
              <w:rPr>
                <w:rFonts w:hint="eastAsia"/>
                <w:color w:val="auto"/>
                <w:sz w:val="24"/>
                <w:szCs w:val="24"/>
              </w:rPr>
              <w:t>（收集效率95%）后经1套反向脉冲式滤芯回收系统</w:t>
            </w:r>
            <w:r>
              <w:rPr>
                <w:rFonts w:hint="eastAsia"/>
                <w:color w:val="auto"/>
                <w:sz w:val="24"/>
                <w:szCs w:val="24"/>
                <w:lang w:val="en-US" w:eastAsia="zh-CN"/>
              </w:rPr>
              <w:t>+布袋除尘器</w:t>
            </w:r>
            <w:r>
              <w:rPr>
                <w:rFonts w:hint="eastAsia"/>
                <w:color w:val="auto"/>
                <w:sz w:val="24"/>
                <w:szCs w:val="24"/>
              </w:rPr>
              <w:t>（处理效率99%）后通过1根15m高的排气筒（DA002）排放</w:t>
            </w:r>
            <w:r>
              <w:rPr>
                <w:rFonts w:hint="eastAsia"/>
                <w:color w:val="auto"/>
                <w:sz w:val="24"/>
                <w:szCs w:val="24"/>
                <w:lang w:eastAsia="zh-CN"/>
              </w:rPr>
              <w:t>；</w:t>
            </w:r>
          </w:p>
          <w:p w14:paraId="61D69C0D">
            <w:pPr>
              <w:pStyle w:val="17"/>
              <w:widowControl w:val="0"/>
              <w:spacing w:after="0" w:line="360" w:lineRule="auto"/>
              <w:ind w:firstLine="480" w:firstLineChars="200"/>
              <w:jc w:val="both"/>
              <w:rPr>
                <w:rFonts w:hint="eastAsia"/>
                <w:color w:val="auto"/>
                <w:sz w:val="24"/>
                <w:szCs w:val="24"/>
                <w:lang w:eastAsia="zh-CN"/>
              </w:rPr>
            </w:pPr>
            <w:r>
              <w:rPr>
                <w:rFonts w:hint="eastAsia"/>
                <w:color w:val="auto"/>
                <w:sz w:val="24"/>
                <w:szCs w:val="24"/>
                <w:lang w:eastAsia="zh-CN"/>
              </w:rPr>
              <w:t>喷漆工段、</w:t>
            </w:r>
            <w:r>
              <w:rPr>
                <w:rFonts w:hint="eastAsia"/>
                <w:color w:val="auto"/>
                <w:sz w:val="24"/>
                <w:szCs w:val="24"/>
              </w:rPr>
              <w:t>固化</w:t>
            </w:r>
            <w:r>
              <w:rPr>
                <w:rFonts w:hint="eastAsia"/>
                <w:color w:val="auto"/>
                <w:sz w:val="24"/>
                <w:szCs w:val="24"/>
                <w:lang w:eastAsia="zh-CN"/>
              </w:rPr>
              <w:t>工段</w:t>
            </w:r>
            <w:r>
              <w:rPr>
                <w:rFonts w:hint="eastAsia"/>
                <w:color w:val="auto"/>
                <w:sz w:val="24"/>
                <w:szCs w:val="24"/>
              </w:rPr>
              <w:t>、烘干</w:t>
            </w:r>
            <w:r>
              <w:rPr>
                <w:rFonts w:hint="eastAsia"/>
                <w:color w:val="auto"/>
                <w:sz w:val="24"/>
                <w:szCs w:val="24"/>
                <w:lang w:eastAsia="zh-CN"/>
              </w:rPr>
              <w:t>工段</w:t>
            </w:r>
            <w:r>
              <w:rPr>
                <w:rFonts w:hint="eastAsia"/>
                <w:color w:val="auto"/>
                <w:sz w:val="24"/>
                <w:szCs w:val="24"/>
              </w:rPr>
              <w:t>废气</w:t>
            </w:r>
            <w:r>
              <w:rPr>
                <w:rFonts w:hint="eastAsia"/>
                <w:color w:val="auto"/>
                <w:sz w:val="24"/>
                <w:szCs w:val="24"/>
                <w:lang w:eastAsia="zh-CN"/>
              </w:rPr>
              <w:t>、</w:t>
            </w:r>
            <w:r>
              <w:rPr>
                <w:rFonts w:hint="eastAsia"/>
                <w:bCs/>
                <w:color w:val="auto"/>
                <w:sz w:val="24"/>
                <w:szCs w:val="24"/>
              </w:rPr>
              <w:t>天然气燃烧废气</w:t>
            </w:r>
            <w:r>
              <w:rPr>
                <w:rFonts w:hint="eastAsia"/>
                <w:color w:val="auto"/>
                <w:sz w:val="24"/>
                <w:szCs w:val="24"/>
                <w:lang w:eastAsia="zh-CN"/>
              </w:rPr>
              <w:t>经负压集气系统收集，</w:t>
            </w:r>
            <w:r>
              <w:rPr>
                <w:rFonts w:hint="eastAsia"/>
                <w:color w:val="auto"/>
                <w:sz w:val="24"/>
                <w:szCs w:val="24"/>
              </w:rPr>
              <w:t>经过</w:t>
            </w:r>
            <w:r>
              <w:rPr>
                <w:rFonts w:hint="eastAsia"/>
                <w:color w:val="auto"/>
                <w:sz w:val="24"/>
                <w:szCs w:val="24"/>
                <w:lang w:val="en-US" w:eastAsia="zh-CN"/>
              </w:rPr>
              <w:t>1套二级活性炭吸附装置处理</w:t>
            </w:r>
            <w:r>
              <w:rPr>
                <w:rFonts w:hint="eastAsia"/>
                <w:color w:val="auto"/>
                <w:sz w:val="24"/>
                <w:szCs w:val="24"/>
              </w:rPr>
              <w:t>后通过1根15m高排气筒排放</w:t>
            </w:r>
            <w:r>
              <w:rPr>
                <w:rFonts w:hint="eastAsia"/>
                <w:color w:val="auto"/>
                <w:sz w:val="24"/>
                <w:szCs w:val="24"/>
                <w:lang w:eastAsia="zh-CN"/>
              </w:rPr>
              <w:t>；</w:t>
            </w:r>
          </w:p>
          <w:p w14:paraId="3DB18D03">
            <w:pPr>
              <w:pStyle w:val="17"/>
              <w:widowControl w:val="0"/>
              <w:spacing w:after="0" w:line="360" w:lineRule="auto"/>
              <w:ind w:firstLine="480" w:firstLineChars="200"/>
              <w:jc w:val="both"/>
              <w:rPr>
                <w:rFonts w:hint="eastAsia"/>
                <w:bCs/>
                <w:color w:val="auto"/>
                <w:sz w:val="24"/>
                <w:szCs w:val="24"/>
                <w:lang w:eastAsia="zh-CN"/>
              </w:rPr>
            </w:pPr>
            <w:r>
              <w:rPr>
                <w:rFonts w:hint="eastAsia"/>
                <w:bCs/>
                <w:color w:val="auto"/>
                <w:sz w:val="24"/>
                <w:szCs w:val="24"/>
                <w:lang w:eastAsia="zh-CN"/>
              </w:rPr>
              <w:t>食堂油烟经油烟净化器净化后经管道连接至室外排放。</w:t>
            </w:r>
          </w:p>
          <w:p w14:paraId="625BDCEB">
            <w:pPr>
              <w:pStyle w:val="17"/>
              <w:widowControl w:val="0"/>
              <w:spacing w:after="0" w:line="360" w:lineRule="auto"/>
              <w:ind w:firstLine="480" w:firstLineChars="200"/>
              <w:jc w:val="both"/>
              <w:rPr>
                <w:rFonts w:hint="eastAsia"/>
                <w:color w:val="auto"/>
                <w:sz w:val="24"/>
                <w:szCs w:val="24"/>
              </w:rPr>
            </w:pPr>
            <w:r>
              <w:rPr>
                <w:rFonts w:hint="eastAsia"/>
                <w:bCs/>
                <w:color w:val="auto"/>
                <w:sz w:val="24"/>
                <w:szCs w:val="24"/>
                <w:lang w:eastAsia="zh-CN"/>
              </w:rPr>
              <w:t>本项目</w:t>
            </w:r>
            <w:r>
              <w:rPr>
                <w:rFonts w:hint="eastAsia"/>
                <w:color w:val="auto"/>
                <w:sz w:val="24"/>
                <w:szCs w:val="24"/>
              </w:rPr>
              <w:t>废气产生源废气污染物排放量均较小，且配备了技术可行的废气处理装置，有机废气产生工段均为密闭空间，废气捕集效率高，废气经收集处理后通过</w:t>
            </w:r>
            <w:r>
              <w:rPr>
                <w:rFonts w:hint="eastAsia"/>
                <w:color w:val="auto"/>
                <w:sz w:val="24"/>
                <w:szCs w:val="24"/>
                <w:lang w:eastAsia="zh-CN"/>
              </w:rPr>
              <w:t>规范化</w:t>
            </w:r>
            <w:r>
              <w:rPr>
                <w:rFonts w:hint="eastAsia"/>
                <w:color w:val="auto"/>
                <w:sz w:val="24"/>
                <w:szCs w:val="24"/>
              </w:rPr>
              <w:t>排气筒排放；在正常工况下，各废气污染物均可达标排放。</w:t>
            </w:r>
          </w:p>
          <w:p w14:paraId="2F861A37">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2" w:firstLineChars="200"/>
              <w:jc w:val="left"/>
              <w:textAlignment w:val="auto"/>
              <w:rPr>
                <w:rFonts w:hint="eastAsia" w:hAnsi="宋体"/>
                <w:b/>
                <w:bCs/>
                <w:color w:val="auto"/>
                <w:sz w:val="24"/>
              </w:rPr>
            </w:pPr>
            <w:r>
              <w:rPr>
                <w:rFonts w:hint="eastAsia" w:hAnsi="宋体" w:eastAsia="宋体"/>
                <w:b/>
                <w:bCs/>
                <w:color w:val="auto"/>
                <w:sz w:val="24"/>
                <w:lang w:eastAsia="zh-CN"/>
              </w:rPr>
              <w:t>噪声</w:t>
            </w:r>
            <w:r>
              <w:rPr>
                <w:rFonts w:hint="eastAsia" w:hAnsi="宋体"/>
                <w:b/>
                <w:bCs/>
                <w:color w:val="auto"/>
                <w:sz w:val="24"/>
              </w:rPr>
              <w:t>污染物</w:t>
            </w:r>
            <w:r>
              <w:rPr>
                <w:rFonts w:hint="eastAsia" w:hAnsi="宋体"/>
                <w:b/>
                <w:bCs/>
                <w:color w:val="auto"/>
                <w:sz w:val="24"/>
                <w:lang w:eastAsia="zh-CN"/>
              </w:rPr>
              <w:t>治理</w:t>
            </w:r>
            <w:r>
              <w:rPr>
                <w:rFonts w:hint="eastAsia" w:hAnsi="宋体"/>
                <w:b/>
                <w:bCs/>
                <w:color w:val="auto"/>
                <w:sz w:val="24"/>
                <w:lang w:val="en-US" w:eastAsia="zh-CN"/>
              </w:rPr>
              <w:t>/处置设施</w:t>
            </w:r>
            <w:r>
              <w:rPr>
                <w:rFonts w:hint="eastAsia" w:hAnsi="宋体"/>
                <w:b/>
                <w:bCs/>
                <w:color w:val="auto"/>
                <w:sz w:val="24"/>
              </w:rPr>
              <w:t>分析</w:t>
            </w:r>
          </w:p>
          <w:p w14:paraId="7C4EC6BA">
            <w:pPr>
              <w:widowControl w:val="0"/>
              <w:adjustRightInd w:val="0"/>
              <w:snapToGrid w:val="0"/>
              <w:spacing w:line="360" w:lineRule="auto"/>
              <w:ind w:firstLine="480" w:firstLineChars="200"/>
              <w:jc w:val="both"/>
              <w:rPr>
                <w:color w:val="auto"/>
                <w:sz w:val="24"/>
              </w:rPr>
            </w:pPr>
            <w:r>
              <w:rPr>
                <w:color w:val="auto"/>
                <w:sz w:val="24"/>
              </w:rPr>
              <w:t>噪声源主要为</w:t>
            </w:r>
            <w:r>
              <w:rPr>
                <w:rFonts w:hint="eastAsia"/>
                <w:color w:val="auto"/>
                <w:sz w:val="24"/>
              </w:rPr>
              <w:t>剪板机</w:t>
            </w:r>
            <w:r>
              <w:rPr>
                <w:color w:val="auto"/>
                <w:sz w:val="24"/>
              </w:rPr>
              <w:t>、</w:t>
            </w:r>
            <w:r>
              <w:rPr>
                <w:rFonts w:hint="eastAsia"/>
                <w:color w:val="auto"/>
                <w:sz w:val="24"/>
              </w:rPr>
              <w:t>折边机、折弯机、冲床</w:t>
            </w:r>
            <w:r>
              <w:rPr>
                <w:color w:val="auto"/>
                <w:sz w:val="24"/>
              </w:rPr>
              <w:t>等设备运行时产生的噪声</w:t>
            </w:r>
            <w:r>
              <w:rPr>
                <w:rFonts w:hint="eastAsia"/>
                <w:color w:val="auto"/>
                <w:sz w:val="24"/>
              </w:rPr>
              <w:t>，其声级为75-90dB（A），生产设备全部在厂房内设置，产噪设备采取隔震垫、隔声等方法处理</w:t>
            </w:r>
            <w:r>
              <w:rPr>
                <w:rFonts w:hint="eastAsia"/>
                <w:color w:val="auto"/>
                <w:sz w:val="24"/>
                <w:lang w:eastAsia="zh-CN"/>
              </w:rPr>
              <w:t>。</w:t>
            </w:r>
            <w:r>
              <w:rPr>
                <w:color w:val="auto"/>
                <w:sz w:val="24"/>
              </w:rPr>
              <w:t>为防止噪声对周边环境产生不利影响，</w:t>
            </w:r>
            <w:r>
              <w:rPr>
                <w:rFonts w:hint="eastAsia"/>
                <w:color w:val="auto"/>
                <w:sz w:val="24"/>
                <w:lang w:eastAsia="zh-CN"/>
              </w:rPr>
              <w:t>本项目进一步</w:t>
            </w:r>
            <w:r>
              <w:rPr>
                <w:color w:val="auto"/>
                <w:sz w:val="24"/>
              </w:rPr>
              <w:t>采取如下噪声防护措施：</w:t>
            </w:r>
          </w:p>
          <w:p w14:paraId="3B9DF962">
            <w:pPr>
              <w:widowControl w:val="0"/>
              <w:spacing w:line="360" w:lineRule="auto"/>
              <w:ind w:firstLine="480" w:firstLineChars="200"/>
              <w:jc w:val="both"/>
              <w:rPr>
                <w:bCs/>
                <w:color w:val="auto"/>
                <w:sz w:val="24"/>
              </w:rPr>
            </w:pPr>
            <w:r>
              <w:rPr>
                <w:rFonts w:hint="eastAsia" w:ascii="宋体" w:hAnsi="宋体" w:cs="宋体"/>
                <w:color w:val="auto"/>
                <w:sz w:val="24"/>
              </w:rPr>
              <w:t>①</w:t>
            </w:r>
            <w:r>
              <w:rPr>
                <w:color w:val="auto"/>
                <w:sz w:val="24"/>
              </w:rPr>
              <w:t>合理安排强噪声设备位置，大大降低噪声对环境的影响，避免噪声改变区域声环境现状。</w:t>
            </w:r>
          </w:p>
          <w:p w14:paraId="251904BD">
            <w:pPr>
              <w:widowControl w:val="0"/>
              <w:spacing w:line="360" w:lineRule="auto"/>
              <w:ind w:firstLine="480" w:firstLineChars="200"/>
              <w:jc w:val="both"/>
              <w:rPr>
                <w:color w:val="auto"/>
                <w:sz w:val="24"/>
              </w:rPr>
            </w:pPr>
            <w:r>
              <w:rPr>
                <w:rFonts w:hint="eastAsia" w:ascii="宋体" w:hAnsi="宋体" w:cs="宋体"/>
                <w:color w:val="auto"/>
                <w:sz w:val="24"/>
              </w:rPr>
              <w:t>②</w:t>
            </w:r>
            <w:r>
              <w:rPr>
                <w:color w:val="auto"/>
                <w:sz w:val="24"/>
              </w:rPr>
              <w:t>选用低噪声设备，同时安装隔声、消声、减震装置，加上合理布局、厂房隔声、距离衰减、加强绿化等措施。</w:t>
            </w:r>
          </w:p>
          <w:p w14:paraId="4954A4DC">
            <w:pPr>
              <w:widowControl w:val="0"/>
              <w:spacing w:line="360" w:lineRule="auto"/>
              <w:ind w:firstLine="480" w:firstLineChars="200"/>
              <w:jc w:val="left"/>
              <w:rPr>
                <w:color w:val="auto"/>
                <w:sz w:val="24"/>
              </w:rPr>
            </w:pPr>
            <w:r>
              <w:rPr>
                <w:rFonts w:hint="eastAsia" w:ascii="宋体" w:hAnsi="宋体" w:cs="宋体"/>
                <w:color w:val="auto"/>
                <w:sz w:val="24"/>
              </w:rPr>
              <w:t>③</w:t>
            </w:r>
            <w:r>
              <w:rPr>
                <w:color w:val="auto"/>
                <w:sz w:val="24"/>
              </w:rPr>
              <w:t>合理布置风机机组位置，尽量远离项目区边界，风机机组等设置单独的设备房，适当采取吸声、隔声及消声措施。</w:t>
            </w:r>
          </w:p>
          <w:p w14:paraId="4924DDB2">
            <w:pPr>
              <w:widowControl w:val="0"/>
              <w:spacing w:line="360" w:lineRule="auto"/>
              <w:ind w:firstLine="480" w:firstLineChars="200"/>
              <w:jc w:val="left"/>
              <w:rPr>
                <w:rFonts w:hint="eastAsia" w:eastAsia="宋体"/>
                <w:color w:val="auto"/>
                <w:lang w:val="en-US" w:eastAsia="zh-CN"/>
              </w:rPr>
            </w:pPr>
            <w:r>
              <w:rPr>
                <w:color w:val="auto"/>
                <w:sz w:val="24"/>
              </w:rPr>
              <w:t>采取上述噪声控制措施后，项目噪声排放对周围环境影响在可接受范围内，噪声防治措施可行。项目的厂界噪声值能够到达《工业企业厂界环境噪声排放标准》（GB12348-2008）中</w:t>
            </w:r>
            <w:r>
              <w:rPr>
                <w:rFonts w:hint="eastAsia"/>
                <w:color w:val="auto"/>
                <w:sz w:val="24"/>
              </w:rPr>
              <w:t>3</w:t>
            </w:r>
            <w:r>
              <w:rPr>
                <w:color w:val="auto"/>
                <w:sz w:val="24"/>
              </w:rPr>
              <w:t>类区标准。</w:t>
            </w:r>
          </w:p>
          <w:p w14:paraId="79478B27">
            <w:pPr>
              <w:widowControl w:val="0"/>
              <w:bidi w:val="0"/>
              <w:ind w:firstLine="482" w:firstLineChars="200"/>
              <w:jc w:val="both"/>
              <w:rPr>
                <w:rStyle w:val="21"/>
                <w:rFonts w:hint="eastAsia"/>
                <w:color w:val="auto"/>
                <w:lang w:val="en-US" w:eastAsia="zh-CN"/>
              </w:rPr>
            </w:pPr>
            <w:r>
              <w:rPr>
                <w:rFonts w:hint="eastAsia" w:ascii="Times New Roman" w:hAnsi="Times New Roman" w:eastAsia="宋体" w:cs="Times New Roman"/>
                <w:b/>
                <w:bCs/>
                <w:color w:val="auto"/>
                <w:sz w:val="24"/>
                <w:szCs w:val="24"/>
                <w:highlight w:val="none"/>
                <w:lang w:val="en-US" w:eastAsia="zh-CN"/>
              </w:rPr>
              <w:t>（4）</w:t>
            </w:r>
            <w:r>
              <w:rPr>
                <w:rFonts w:hint="eastAsia" w:hAnsi="宋体"/>
                <w:b/>
                <w:bCs/>
                <w:color w:val="auto"/>
                <w:sz w:val="24"/>
                <w:lang w:eastAsia="zh-CN"/>
              </w:rPr>
              <w:t>地下水</w:t>
            </w:r>
            <w:r>
              <w:rPr>
                <w:rFonts w:hint="eastAsia" w:hAnsi="宋体"/>
                <w:b/>
                <w:bCs/>
                <w:color w:val="auto"/>
                <w:sz w:val="24"/>
              </w:rPr>
              <w:t>污染物</w:t>
            </w:r>
            <w:r>
              <w:rPr>
                <w:rFonts w:hint="eastAsia" w:hAnsi="宋体"/>
                <w:b/>
                <w:bCs/>
                <w:color w:val="auto"/>
                <w:sz w:val="24"/>
                <w:lang w:eastAsia="zh-CN"/>
              </w:rPr>
              <w:t>治理</w:t>
            </w:r>
            <w:r>
              <w:rPr>
                <w:rFonts w:hint="eastAsia" w:hAnsi="宋体"/>
                <w:b/>
                <w:bCs/>
                <w:color w:val="auto"/>
                <w:sz w:val="24"/>
                <w:lang w:val="en-US" w:eastAsia="zh-CN"/>
              </w:rPr>
              <w:t>/处置施</w:t>
            </w:r>
            <w:r>
              <w:rPr>
                <w:rFonts w:hint="eastAsia" w:hAnsi="宋体"/>
                <w:b/>
                <w:bCs/>
                <w:color w:val="auto"/>
                <w:sz w:val="24"/>
              </w:rPr>
              <w:t>分析</w:t>
            </w:r>
          </w:p>
          <w:p w14:paraId="5EC825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color w:val="auto"/>
                <w:sz w:val="24"/>
                <w:lang w:val="zh-CN"/>
              </w:rPr>
            </w:pPr>
            <w:r>
              <w:rPr>
                <w:color w:val="auto"/>
                <w:sz w:val="24"/>
                <w:lang w:val="zh-CN"/>
              </w:rPr>
              <w:t>使用液体原辅料均为桶装，密闭存放于化学品仓库，喷漆相关工艺均在喷漆间进行，产生的液体危险废物桶装后密闭存放于危废暂存间，项目建成后危废暂存间、化学品仓库、喷漆间均采取严格的防泄漏、防渗措施</w:t>
            </w:r>
            <w:r>
              <w:rPr>
                <w:rFonts w:hint="eastAsia"/>
                <w:color w:val="auto"/>
                <w:sz w:val="24"/>
                <w:lang w:val="zh-CN"/>
              </w:rPr>
              <w:t>，</w:t>
            </w:r>
            <w:r>
              <w:rPr>
                <w:rFonts w:hint="eastAsia"/>
                <w:color w:val="auto"/>
                <w:sz w:val="24"/>
              </w:rPr>
              <w:t>因此基本可以排除</w:t>
            </w:r>
            <w:r>
              <w:rPr>
                <w:color w:val="auto"/>
                <w:sz w:val="24"/>
                <w:lang w:val="zh-CN"/>
              </w:rPr>
              <w:t>地下水和土壤污染途径。</w:t>
            </w:r>
          </w:p>
          <w:p w14:paraId="2E144A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color w:val="auto"/>
                <w:sz w:val="24"/>
                <w:szCs w:val="24"/>
                <w:highlight w:val="none"/>
                <w:lang w:val="en-US" w:eastAsia="zh-CN"/>
              </w:rPr>
            </w:pPr>
            <w:r>
              <w:rPr>
                <w:rFonts w:hint="eastAsia" w:hAnsi="宋体" w:eastAsia="宋体"/>
                <w:b/>
                <w:bCs/>
                <w:color w:val="auto"/>
                <w:sz w:val="24"/>
                <w:lang w:eastAsia="zh-CN"/>
              </w:rPr>
              <w:t>（</w:t>
            </w:r>
            <w:r>
              <w:rPr>
                <w:rFonts w:hint="eastAsia" w:hAnsi="宋体" w:eastAsia="宋体"/>
                <w:b/>
                <w:bCs/>
                <w:color w:val="auto"/>
                <w:sz w:val="24"/>
                <w:lang w:val="en-US" w:eastAsia="zh-CN"/>
              </w:rPr>
              <w:t>5</w:t>
            </w:r>
            <w:r>
              <w:rPr>
                <w:rFonts w:hint="eastAsia" w:hAnsi="宋体" w:eastAsia="宋体"/>
                <w:b/>
                <w:bCs/>
                <w:color w:val="auto"/>
                <w:sz w:val="24"/>
                <w:lang w:eastAsia="zh-CN"/>
              </w:rPr>
              <w:t>）固体废物</w:t>
            </w:r>
            <w:r>
              <w:rPr>
                <w:rFonts w:hint="eastAsia" w:hAnsi="宋体"/>
                <w:b/>
                <w:bCs/>
                <w:color w:val="auto"/>
                <w:sz w:val="24"/>
              </w:rPr>
              <w:t>污染物</w:t>
            </w:r>
            <w:r>
              <w:rPr>
                <w:rFonts w:hint="eastAsia" w:hAnsi="宋体"/>
                <w:b/>
                <w:bCs/>
                <w:color w:val="auto"/>
                <w:sz w:val="24"/>
                <w:lang w:eastAsia="zh-CN"/>
              </w:rPr>
              <w:t>治理</w:t>
            </w:r>
            <w:r>
              <w:rPr>
                <w:rFonts w:hint="eastAsia" w:hAnsi="宋体"/>
                <w:b/>
                <w:bCs/>
                <w:color w:val="auto"/>
                <w:sz w:val="24"/>
                <w:lang w:val="en-US" w:eastAsia="zh-CN"/>
              </w:rPr>
              <w:t>/处置施</w:t>
            </w:r>
            <w:r>
              <w:rPr>
                <w:rFonts w:hint="eastAsia" w:hAnsi="宋体"/>
                <w:b/>
                <w:bCs/>
                <w:color w:val="auto"/>
                <w:sz w:val="24"/>
              </w:rPr>
              <w:t>分析</w:t>
            </w:r>
          </w:p>
          <w:p w14:paraId="4569585E">
            <w:pPr>
              <w:widowControl w:val="0"/>
              <w:spacing w:line="360" w:lineRule="auto"/>
              <w:ind w:firstLine="480" w:firstLineChars="200"/>
              <w:jc w:val="both"/>
              <w:rPr>
                <w:color w:val="auto"/>
                <w:kern w:val="0"/>
                <w:sz w:val="24"/>
              </w:rPr>
            </w:pPr>
            <w:r>
              <w:rPr>
                <w:color w:val="auto"/>
                <w:kern w:val="0"/>
                <w:sz w:val="24"/>
              </w:rPr>
              <w:t>固废主要包括</w:t>
            </w:r>
            <w:r>
              <w:rPr>
                <w:rFonts w:hint="eastAsia"/>
                <w:color w:val="auto"/>
                <w:kern w:val="0"/>
                <w:sz w:val="24"/>
              </w:rPr>
              <w:t>一般工业固体废物（边角料、废焊渣、废滤芯、废包装材料），危险废物（废槽渣、废润滑油、废润滑油桶、废漆桶、废发泡剂桶、废过滤棉、漆渣、废活性炭）以及</w:t>
            </w:r>
            <w:r>
              <w:rPr>
                <w:color w:val="auto"/>
                <w:kern w:val="0"/>
                <w:sz w:val="24"/>
              </w:rPr>
              <w:t>生活垃圾。</w:t>
            </w:r>
          </w:p>
          <w:p w14:paraId="4BA9C81D">
            <w:pPr>
              <w:widowControl w:val="0"/>
              <w:spacing w:line="360" w:lineRule="auto"/>
              <w:ind w:firstLine="480" w:firstLineChars="200"/>
              <w:jc w:val="both"/>
              <w:rPr>
                <w:rFonts w:hint="eastAsia"/>
                <w:b/>
                <w:color w:val="auto"/>
                <w:sz w:val="24"/>
              </w:rPr>
            </w:pPr>
            <w:r>
              <w:rPr>
                <w:color w:val="auto"/>
                <w:sz w:val="24"/>
              </w:rPr>
              <w:t>固体废物的产生量及处理措施见</w:t>
            </w:r>
            <w:r>
              <w:rPr>
                <w:rFonts w:hint="eastAsia"/>
                <w:color w:val="auto"/>
                <w:sz w:val="24"/>
              </w:rPr>
              <w:t>下</w:t>
            </w:r>
            <w:r>
              <w:rPr>
                <w:color w:val="auto"/>
                <w:sz w:val="24"/>
              </w:rPr>
              <w:t>表。</w:t>
            </w:r>
          </w:p>
          <w:p w14:paraId="17B643D7">
            <w:pPr>
              <w:widowControl w:val="0"/>
              <w:bidi w:val="0"/>
              <w:spacing w:line="480" w:lineRule="auto"/>
              <w:ind w:firstLine="720" w:firstLineChars="200"/>
              <w:jc w:val="both"/>
              <w:rPr>
                <w:rFonts w:hint="default"/>
                <w:color w:val="auto"/>
                <w:sz w:val="36"/>
                <w:szCs w:val="36"/>
                <w:lang w:val="en-US" w:eastAsia="zh-CN"/>
              </w:rPr>
            </w:pPr>
          </w:p>
          <w:p w14:paraId="5B5A2692">
            <w:pPr>
              <w:widowControl w:val="0"/>
              <w:jc w:val="both"/>
              <w:rPr>
                <w:rFonts w:hint="default"/>
                <w:color w:val="auto"/>
                <w:sz w:val="28"/>
                <w:szCs w:val="28"/>
                <w:lang w:val="en-US" w:eastAsia="zh-CN"/>
              </w:rPr>
            </w:pPr>
          </w:p>
        </w:tc>
      </w:tr>
    </w:tbl>
    <w:p w14:paraId="67298192">
      <w:pPr>
        <w:rPr>
          <w:rFonts w:hint="eastAsia"/>
          <w:color w:val="auto"/>
          <w:lang w:val="en-US" w:eastAsia="zh-CN"/>
        </w:rPr>
        <w:sectPr>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p>
    <w:tbl>
      <w:tblPr>
        <w:tblStyle w:val="20"/>
        <w:tblW w:w="14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0"/>
      </w:tblGrid>
      <w:tr w14:paraId="4E68C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1" w:hRule="atLeast"/>
        </w:trPr>
        <w:tc>
          <w:tcPr>
            <w:tcW w:w="14200" w:type="dxa"/>
          </w:tcPr>
          <w:p w14:paraId="06F5B557">
            <w:pPr>
              <w:pStyle w:val="5"/>
              <w:widowControl w:val="0"/>
              <w:bidi w:val="0"/>
              <w:spacing w:line="240" w:lineRule="auto"/>
              <w:rPr>
                <w:rFonts w:hint="eastAsia"/>
                <w:b/>
                <w:bCs/>
                <w:color w:val="auto"/>
                <w:sz w:val="24"/>
                <w:szCs w:val="32"/>
              </w:rPr>
            </w:pPr>
            <w:r>
              <w:rPr>
                <w:rFonts w:hint="eastAsia"/>
                <w:b/>
                <w:bCs/>
                <w:color w:val="auto"/>
                <w:sz w:val="24"/>
                <w:szCs w:val="32"/>
              </w:rPr>
              <w:t>表</w:t>
            </w:r>
            <w:r>
              <w:rPr>
                <w:rFonts w:hint="eastAsia"/>
                <w:b/>
                <w:bCs/>
                <w:color w:val="auto"/>
                <w:sz w:val="24"/>
                <w:szCs w:val="32"/>
                <w:lang w:val="en-US" w:eastAsia="zh-CN"/>
              </w:rPr>
              <w:t xml:space="preserve">3-1 </w:t>
            </w:r>
            <w:r>
              <w:rPr>
                <w:rFonts w:hint="eastAsia"/>
                <w:b/>
                <w:bCs/>
                <w:color w:val="auto"/>
                <w:sz w:val="24"/>
                <w:szCs w:val="32"/>
              </w:rPr>
              <w:t xml:space="preserve"> 固体废物产生及处置情况</w:t>
            </w:r>
          </w:p>
          <w:tbl>
            <w:tblPr>
              <w:tblStyle w:val="19"/>
              <w:tblW w:w="49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681"/>
              <w:gridCol w:w="1793"/>
              <w:gridCol w:w="2024"/>
              <w:gridCol w:w="1346"/>
              <w:gridCol w:w="846"/>
              <w:gridCol w:w="900"/>
              <w:gridCol w:w="1107"/>
              <w:gridCol w:w="1140"/>
              <w:gridCol w:w="1356"/>
              <w:gridCol w:w="1076"/>
              <w:gridCol w:w="985"/>
            </w:tblGrid>
            <w:tr w14:paraId="3790E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244" w:type="pct"/>
                  <w:noWrap w:val="0"/>
                  <w:vAlign w:val="center"/>
                </w:tcPr>
                <w:p w14:paraId="65C15AB1">
                  <w:pPr>
                    <w:pStyle w:val="5"/>
                    <w:bidi w:val="0"/>
                    <w:rPr>
                      <w:rFonts w:hint="default" w:ascii="Times New Roman" w:hAnsi="Times New Roman" w:eastAsia="宋体" w:cs="Times New Roman"/>
                      <w:b/>
                      <w:bCs/>
                      <w:color w:val="auto"/>
                      <w:lang w:val="en-GB"/>
                    </w:rPr>
                  </w:pPr>
                  <w:r>
                    <w:rPr>
                      <w:rFonts w:hint="default" w:ascii="Times New Roman" w:hAnsi="Times New Roman" w:eastAsia="宋体" w:cs="Times New Roman"/>
                      <w:b/>
                      <w:bCs/>
                      <w:color w:val="auto"/>
                      <w:lang w:val="en-GB"/>
                    </w:rPr>
                    <w:t>序号</w:t>
                  </w:r>
                </w:p>
              </w:tc>
              <w:tc>
                <w:tcPr>
                  <w:tcW w:w="244" w:type="pct"/>
                  <w:noWrap w:val="0"/>
                  <w:vAlign w:val="center"/>
                </w:tcPr>
                <w:p w14:paraId="1662FE2C">
                  <w:pPr>
                    <w:pStyle w:val="5"/>
                    <w:bidi w:val="0"/>
                    <w:rPr>
                      <w:rFonts w:hint="default" w:ascii="Times New Roman" w:hAnsi="Times New Roman" w:eastAsia="宋体" w:cs="Times New Roman"/>
                      <w:b/>
                      <w:bCs/>
                      <w:color w:val="auto"/>
                      <w:lang w:val="en-GB"/>
                    </w:rPr>
                  </w:pPr>
                  <w:r>
                    <w:rPr>
                      <w:rFonts w:hint="default" w:ascii="Times New Roman" w:hAnsi="Times New Roman" w:eastAsia="宋体" w:cs="Times New Roman"/>
                      <w:b/>
                      <w:bCs/>
                      <w:color w:val="auto"/>
                      <w:lang w:val="en-GB"/>
                    </w:rPr>
                    <w:t>产生环节</w:t>
                  </w:r>
                </w:p>
              </w:tc>
              <w:tc>
                <w:tcPr>
                  <w:tcW w:w="643" w:type="pct"/>
                  <w:noWrap w:val="0"/>
                  <w:vAlign w:val="center"/>
                </w:tcPr>
                <w:p w14:paraId="10734050">
                  <w:pPr>
                    <w:pStyle w:val="5"/>
                    <w:bidi w:val="0"/>
                    <w:rPr>
                      <w:rFonts w:hint="default" w:ascii="Times New Roman" w:hAnsi="Times New Roman" w:eastAsia="宋体" w:cs="Times New Roman"/>
                      <w:b/>
                      <w:bCs/>
                      <w:color w:val="auto"/>
                      <w:lang w:val="en-GB"/>
                    </w:rPr>
                  </w:pPr>
                  <w:r>
                    <w:rPr>
                      <w:rFonts w:hint="default" w:ascii="Times New Roman" w:hAnsi="Times New Roman" w:eastAsia="宋体" w:cs="Times New Roman"/>
                      <w:b/>
                      <w:bCs/>
                      <w:color w:val="auto"/>
                      <w:lang w:val="en-GB"/>
                    </w:rPr>
                    <w:t>废物名称</w:t>
                  </w:r>
                </w:p>
              </w:tc>
              <w:tc>
                <w:tcPr>
                  <w:tcW w:w="726" w:type="pct"/>
                  <w:noWrap w:val="0"/>
                  <w:vAlign w:val="center"/>
                </w:tcPr>
                <w:p w14:paraId="26115F24">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属性</w:t>
                  </w:r>
                </w:p>
              </w:tc>
              <w:tc>
                <w:tcPr>
                  <w:tcW w:w="482" w:type="pct"/>
                  <w:noWrap w:val="0"/>
                  <w:vAlign w:val="center"/>
                </w:tcPr>
                <w:p w14:paraId="7AAC8E7C">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主要有毒有害物质名称</w:t>
                  </w:r>
                </w:p>
              </w:tc>
              <w:tc>
                <w:tcPr>
                  <w:tcW w:w="303" w:type="pct"/>
                  <w:noWrap w:val="0"/>
                  <w:vAlign w:val="center"/>
                </w:tcPr>
                <w:p w14:paraId="0265E7AB">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物理性状</w:t>
                  </w:r>
                </w:p>
              </w:tc>
              <w:tc>
                <w:tcPr>
                  <w:tcW w:w="322" w:type="pct"/>
                  <w:noWrap w:val="0"/>
                  <w:vAlign w:val="center"/>
                </w:tcPr>
                <w:p w14:paraId="5CA614AE">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环境危险特性</w:t>
                  </w:r>
                </w:p>
              </w:tc>
              <w:tc>
                <w:tcPr>
                  <w:tcW w:w="397" w:type="pct"/>
                  <w:noWrap w:val="0"/>
                  <w:vAlign w:val="center"/>
                </w:tcPr>
                <w:p w14:paraId="51F4B497">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产生量</w:t>
                  </w:r>
                </w:p>
                <w:p w14:paraId="1FC4B267">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（t/a）</w:t>
                  </w:r>
                </w:p>
              </w:tc>
              <w:tc>
                <w:tcPr>
                  <w:tcW w:w="409" w:type="pct"/>
                  <w:noWrap w:val="0"/>
                  <w:vAlign w:val="center"/>
                </w:tcPr>
                <w:p w14:paraId="26E2D216">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贮存</w:t>
                  </w:r>
                </w:p>
                <w:p w14:paraId="02039DDF">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方式</w:t>
                  </w:r>
                </w:p>
              </w:tc>
              <w:tc>
                <w:tcPr>
                  <w:tcW w:w="486" w:type="pct"/>
                  <w:noWrap w:val="0"/>
                  <w:vAlign w:val="center"/>
                </w:tcPr>
                <w:p w14:paraId="71B88145">
                  <w:pPr>
                    <w:pStyle w:val="5"/>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利用处置方式和去向</w:t>
                  </w:r>
                </w:p>
              </w:tc>
              <w:tc>
                <w:tcPr>
                  <w:tcW w:w="386" w:type="pct"/>
                  <w:noWrap w:val="0"/>
                  <w:vAlign w:val="center"/>
                </w:tcPr>
                <w:p w14:paraId="4214AE3C">
                  <w:pPr>
                    <w:pStyle w:val="5"/>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处置量</w:t>
                  </w:r>
                </w:p>
                <w:p w14:paraId="2F0D0A4C">
                  <w:pPr>
                    <w:pStyle w:val="5"/>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lang w:eastAsia="zh-CN"/>
                    </w:rPr>
                    <w:t>（</w:t>
                  </w:r>
                  <w:r>
                    <w:rPr>
                      <w:rFonts w:hint="default" w:ascii="Times New Roman" w:hAnsi="Times New Roman" w:eastAsia="宋体" w:cs="Times New Roman"/>
                      <w:b/>
                      <w:bCs/>
                      <w:color w:val="auto"/>
                    </w:rPr>
                    <w:t>t/a</w:t>
                  </w:r>
                  <w:r>
                    <w:rPr>
                      <w:rFonts w:hint="default" w:ascii="Times New Roman" w:hAnsi="Times New Roman" w:eastAsia="宋体" w:cs="Times New Roman"/>
                      <w:b/>
                      <w:bCs/>
                      <w:color w:val="auto"/>
                      <w:lang w:eastAsia="zh-CN"/>
                    </w:rPr>
                    <w:t>）</w:t>
                  </w:r>
                </w:p>
              </w:tc>
              <w:tc>
                <w:tcPr>
                  <w:tcW w:w="353" w:type="pct"/>
                  <w:noWrap w:val="0"/>
                  <w:vAlign w:val="center"/>
                </w:tcPr>
                <w:p w14:paraId="7175DB58">
                  <w:pPr>
                    <w:pStyle w:val="5"/>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GB"/>
                    </w:rPr>
                    <w:t>环境管理要求</w:t>
                  </w:r>
                </w:p>
              </w:tc>
            </w:tr>
            <w:tr w14:paraId="20B35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44" w:type="pct"/>
                  <w:noWrap w:val="0"/>
                  <w:vAlign w:val="center"/>
                </w:tcPr>
                <w:p w14:paraId="4FBDE792">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244" w:type="pct"/>
                  <w:vMerge w:val="restart"/>
                  <w:noWrap w:val="0"/>
                  <w:vAlign w:val="center"/>
                </w:tcPr>
                <w:p w14:paraId="66BE6856">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车间生产</w:t>
                  </w:r>
                </w:p>
              </w:tc>
              <w:tc>
                <w:tcPr>
                  <w:tcW w:w="643" w:type="pct"/>
                  <w:noWrap w:val="0"/>
                  <w:vAlign w:val="center"/>
                </w:tcPr>
                <w:p w14:paraId="77E41D0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废金属边角料</w:t>
                  </w:r>
                </w:p>
              </w:tc>
              <w:tc>
                <w:tcPr>
                  <w:tcW w:w="726" w:type="pct"/>
                  <w:noWrap w:val="0"/>
                  <w:vAlign w:val="center"/>
                </w:tcPr>
                <w:p w14:paraId="1A5D54A6">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w:t>
                  </w:r>
                </w:p>
                <w:p w14:paraId="7A582281">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331-001-10</w:t>
                  </w:r>
                </w:p>
              </w:tc>
              <w:tc>
                <w:tcPr>
                  <w:tcW w:w="482" w:type="pct"/>
                  <w:noWrap w:val="0"/>
                  <w:vAlign w:val="center"/>
                </w:tcPr>
                <w:p w14:paraId="6B27602A">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03" w:type="pct"/>
                  <w:noWrap w:val="0"/>
                  <w:vAlign w:val="center"/>
                </w:tcPr>
                <w:p w14:paraId="22919652">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020976C1">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97" w:type="pct"/>
                  <w:noWrap w:val="0"/>
                  <w:vAlign w:val="center"/>
                </w:tcPr>
                <w:p w14:paraId="21A12042">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0.05</w:t>
                  </w:r>
                </w:p>
              </w:tc>
              <w:tc>
                <w:tcPr>
                  <w:tcW w:w="409" w:type="pct"/>
                  <w:vMerge w:val="restart"/>
                  <w:noWrap w:val="0"/>
                  <w:vAlign w:val="center"/>
                </w:tcPr>
                <w:p w14:paraId="4510A6C7">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收集后</w:t>
                  </w:r>
                </w:p>
                <w:p w14:paraId="50E20939">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袋装</w:t>
                  </w:r>
                </w:p>
              </w:tc>
              <w:tc>
                <w:tcPr>
                  <w:tcW w:w="486" w:type="pct"/>
                  <w:vMerge w:val="restart"/>
                  <w:noWrap w:val="0"/>
                  <w:vAlign w:val="center"/>
                </w:tcPr>
                <w:p w14:paraId="4996533D">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外售</w:t>
                  </w:r>
                </w:p>
              </w:tc>
              <w:tc>
                <w:tcPr>
                  <w:tcW w:w="386" w:type="pct"/>
                  <w:noWrap w:val="0"/>
                  <w:vAlign w:val="center"/>
                </w:tcPr>
                <w:p w14:paraId="6C14A77F">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0.05</w:t>
                  </w:r>
                </w:p>
              </w:tc>
              <w:tc>
                <w:tcPr>
                  <w:tcW w:w="353" w:type="pct"/>
                  <w:vMerge w:val="restart"/>
                  <w:noWrap w:val="0"/>
                  <w:vAlign w:val="center"/>
                </w:tcPr>
                <w:p w14:paraId="2DFDAE3A">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做好相关转运数据记录，按照规定进行保存</w:t>
                  </w:r>
                </w:p>
              </w:tc>
            </w:tr>
            <w:tr w14:paraId="767BE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44" w:type="pct"/>
                  <w:noWrap w:val="0"/>
                  <w:vAlign w:val="center"/>
                </w:tcPr>
                <w:p w14:paraId="5804B25A">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2</w:t>
                  </w:r>
                </w:p>
              </w:tc>
              <w:tc>
                <w:tcPr>
                  <w:tcW w:w="244" w:type="pct"/>
                  <w:vMerge w:val="continue"/>
                  <w:noWrap w:val="0"/>
                  <w:vAlign w:val="center"/>
                </w:tcPr>
                <w:p w14:paraId="0775FDF5">
                  <w:pPr>
                    <w:pStyle w:val="5"/>
                    <w:bidi w:val="0"/>
                    <w:rPr>
                      <w:rFonts w:hint="default" w:ascii="Times New Roman" w:hAnsi="Times New Roman" w:eastAsia="宋体" w:cs="Times New Roman"/>
                      <w:color w:val="auto"/>
                    </w:rPr>
                  </w:pPr>
                </w:p>
              </w:tc>
              <w:tc>
                <w:tcPr>
                  <w:tcW w:w="643" w:type="pct"/>
                  <w:noWrap w:val="0"/>
                  <w:vAlign w:val="center"/>
                </w:tcPr>
                <w:p w14:paraId="509DC7C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废焊丝</w:t>
                  </w:r>
                </w:p>
              </w:tc>
              <w:tc>
                <w:tcPr>
                  <w:tcW w:w="726" w:type="pct"/>
                  <w:noWrap w:val="0"/>
                  <w:vAlign w:val="center"/>
                </w:tcPr>
                <w:p w14:paraId="1285D414">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w:t>
                  </w:r>
                </w:p>
                <w:p w14:paraId="1D715037">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331-002-99</w:t>
                  </w:r>
                </w:p>
              </w:tc>
              <w:tc>
                <w:tcPr>
                  <w:tcW w:w="482" w:type="pct"/>
                  <w:noWrap w:val="0"/>
                  <w:vAlign w:val="center"/>
                </w:tcPr>
                <w:p w14:paraId="1EC2A44E">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03" w:type="pct"/>
                  <w:noWrap w:val="0"/>
                  <w:vAlign w:val="center"/>
                </w:tcPr>
                <w:p w14:paraId="7419E8B8">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5C048A70">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97" w:type="pct"/>
                  <w:noWrap w:val="0"/>
                  <w:vAlign w:val="center"/>
                </w:tcPr>
                <w:p w14:paraId="72D2DCD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0.02</w:t>
                  </w:r>
                </w:p>
              </w:tc>
              <w:tc>
                <w:tcPr>
                  <w:tcW w:w="409" w:type="pct"/>
                  <w:vMerge w:val="continue"/>
                  <w:noWrap w:val="0"/>
                  <w:vAlign w:val="center"/>
                </w:tcPr>
                <w:p w14:paraId="3D7941FB">
                  <w:pPr>
                    <w:pStyle w:val="5"/>
                    <w:bidi w:val="0"/>
                    <w:rPr>
                      <w:rFonts w:hint="default" w:ascii="Times New Roman" w:hAnsi="Times New Roman" w:eastAsia="宋体" w:cs="Times New Roman"/>
                      <w:color w:val="auto"/>
                    </w:rPr>
                  </w:pPr>
                </w:p>
              </w:tc>
              <w:tc>
                <w:tcPr>
                  <w:tcW w:w="486" w:type="pct"/>
                  <w:vMerge w:val="continue"/>
                  <w:noWrap w:val="0"/>
                  <w:vAlign w:val="center"/>
                </w:tcPr>
                <w:p w14:paraId="329872B4">
                  <w:pPr>
                    <w:pStyle w:val="5"/>
                    <w:bidi w:val="0"/>
                    <w:rPr>
                      <w:rFonts w:hint="default" w:ascii="Times New Roman" w:hAnsi="Times New Roman" w:eastAsia="宋体" w:cs="Times New Roman"/>
                      <w:color w:val="auto"/>
                    </w:rPr>
                  </w:pPr>
                </w:p>
              </w:tc>
              <w:tc>
                <w:tcPr>
                  <w:tcW w:w="386" w:type="pct"/>
                  <w:noWrap w:val="0"/>
                  <w:vAlign w:val="center"/>
                </w:tcPr>
                <w:p w14:paraId="12D65505">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0.02</w:t>
                  </w:r>
                </w:p>
              </w:tc>
              <w:tc>
                <w:tcPr>
                  <w:tcW w:w="353" w:type="pct"/>
                  <w:vMerge w:val="continue"/>
                  <w:noWrap w:val="0"/>
                  <w:vAlign w:val="center"/>
                </w:tcPr>
                <w:p w14:paraId="476C92DF">
                  <w:pPr>
                    <w:pStyle w:val="5"/>
                    <w:bidi w:val="0"/>
                    <w:rPr>
                      <w:rFonts w:hint="default" w:ascii="Times New Roman" w:hAnsi="Times New Roman" w:eastAsia="宋体" w:cs="Times New Roman"/>
                      <w:color w:val="auto"/>
                    </w:rPr>
                  </w:pPr>
                </w:p>
              </w:tc>
            </w:tr>
            <w:tr w14:paraId="4246B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244" w:type="pct"/>
                  <w:noWrap w:val="0"/>
                  <w:vAlign w:val="center"/>
                </w:tcPr>
                <w:p w14:paraId="037019D0">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3</w:t>
                  </w:r>
                </w:p>
              </w:tc>
              <w:tc>
                <w:tcPr>
                  <w:tcW w:w="244" w:type="pct"/>
                  <w:vMerge w:val="continue"/>
                  <w:noWrap w:val="0"/>
                  <w:vAlign w:val="center"/>
                </w:tcPr>
                <w:p w14:paraId="652049A6">
                  <w:pPr>
                    <w:pStyle w:val="5"/>
                    <w:bidi w:val="0"/>
                    <w:rPr>
                      <w:rFonts w:hint="default" w:ascii="Times New Roman" w:hAnsi="Times New Roman" w:eastAsia="宋体" w:cs="Times New Roman"/>
                      <w:color w:val="auto"/>
                    </w:rPr>
                  </w:pPr>
                </w:p>
              </w:tc>
              <w:tc>
                <w:tcPr>
                  <w:tcW w:w="643" w:type="pct"/>
                  <w:noWrap w:val="0"/>
                  <w:vAlign w:val="center"/>
                </w:tcPr>
                <w:p w14:paraId="5A165D0E">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焊接净化器收集烟尘</w:t>
                  </w:r>
                </w:p>
              </w:tc>
              <w:tc>
                <w:tcPr>
                  <w:tcW w:w="726" w:type="pct"/>
                  <w:noWrap w:val="0"/>
                  <w:vAlign w:val="center"/>
                </w:tcPr>
                <w:p w14:paraId="5A5F683A">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w:t>
                  </w:r>
                </w:p>
                <w:p w14:paraId="63ABF0BE">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331-003-99</w:t>
                  </w:r>
                </w:p>
              </w:tc>
              <w:tc>
                <w:tcPr>
                  <w:tcW w:w="482" w:type="pct"/>
                  <w:noWrap w:val="0"/>
                  <w:vAlign w:val="center"/>
                </w:tcPr>
                <w:p w14:paraId="3297787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03" w:type="pct"/>
                  <w:noWrap w:val="0"/>
                  <w:vAlign w:val="center"/>
                </w:tcPr>
                <w:p w14:paraId="46916FF1">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18153162">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97" w:type="pct"/>
                  <w:noWrap w:val="0"/>
                  <w:vAlign w:val="center"/>
                </w:tcPr>
                <w:p w14:paraId="5690C0E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12.08kg/a</w:t>
                  </w:r>
                </w:p>
              </w:tc>
              <w:tc>
                <w:tcPr>
                  <w:tcW w:w="409" w:type="pct"/>
                  <w:vMerge w:val="continue"/>
                  <w:noWrap w:val="0"/>
                  <w:vAlign w:val="center"/>
                </w:tcPr>
                <w:p w14:paraId="0C241EEF">
                  <w:pPr>
                    <w:pStyle w:val="5"/>
                    <w:bidi w:val="0"/>
                    <w:rPr>
                      <w:rFonts w:hint="default" w:ascii="Times New Roman" w:hAnsi="Times New Roman" w:eastAsia="宋体" w:cs="Times New Roman"/>
                      <w:color w:val="auto"/>
                    </w:rPr>
                  </w:pPr>
                </w:p>
              </w:tc>
              <w:tc>
                <w:tcPr>
                  <w:tcW w:w="486" w:type="pct"/>
                  <w:vMerge w:val="continue"/>
                  <w:noWrap w:val="0"/>
                  <w:vAlign w:val="center"/>
                </w:tcPr>
                <w:p w14:paraId="3B10642F">
                  <w:pPr>
                    <w:pStyle w:val="5"/>
                    <w:bidi w:val="0"/>
                    <w:rPr>
                      <w:rFonts w:hint="default" w:ascii="Times New Roman" w:hAnsi="Times New Roman" w:eastAsia="宋体" w:cs="Times New Roman"/>
                      <w:color w:val="auto"/>
                    </w:rPr>
                  </w:pPr>
                </w:p>
              </w:tc>
              <w:tc>
                <w:tcPr>
                  <w:tcW w:w="386" w:type="pct"/>
                  <w:noWrap w:val="0"/>
                  <w:vAlign w:val="center"/>
                </w:tcPr>
                <w:p w14:paraId="2F3D4CE1">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12.08kg/a</w:t>
                  </w:r>
                </w:p>
              </w:tc>
              <w:tc>
                <w:tcPr>
                  <w:tcW w:w="353" w:type="pct"/>
                  <w:vMerge w:val="continue"/>
                  <w:noWrap w:val="0"/>
                  <w:vAlign w:val="center"/>
                </w:tcPr>
                <w:p w14:paraId="7953D4BD">
                  <w:pPr>
                    <w:pStyle w:val="5"/>
                    <w:bidi w:val="0"/>
                    <w:rPr>
                      <w:rFonts w:hint="default" w:ascii="Times New Roman" w:hAnsi="Times New Roman" w:eastAsia="宋体" w:cs="Times New Roman"/>
                      <w:color w:val="auto"/>
                    </w:rPr>
                  </w:pPr>
                </w:p>
              </w:tc>
            </w:tr>
            <w:tr w14:paraId="382C2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44" w:type="pct"/>
                  <w:noWrap w:val="0"/>
                  <w:vAlign w:val="center"/>
                </w:tcPr>
                <w:p w14:paraId="5D9AE8CC">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4</w:t>
                  </w:r>
                </w:p>
              </w:tc>
              <w:tc>
                <w:tcPr>
                  <w:tcW w:w="244" w:type="pct"/>
                  <w:vMerge w:val="restart"/>
                  <w:noWrap w:val="0"/>
                  <w:vAlign w:val="center"/>
                </w:tcPr>
                <w:p w14:paraId="1661D562">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废气治理</w:t>
                  </w:r>
                </w:p>
              </w:tc>
              <w:tc>
                <w:tcPr>
                  <w:tcW w:w="643" w:type="pct"/>
                  <w:noWrap w:val="0"/>
                  <w:vAlign w:val="center"/>
                </w:tcPr>
                <w:p w14:paraId="43D238FA">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废滤芯</w:t>
                  </w:r>
                </w:p>
              </w:tc>
              <w:tc>
                <w:tcPr>
                  <w:tcW w:w="726" w:type="pct"/>
                  <w:noWrap w:val="0"/>
                  <w:vAlign w:val="center"/>
                </w:tcPr>
                <w:p w14:paraId="19E124B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w:t>
                  </w:r>
                </w:p>
                <w:p w14:paraId="7A323334">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331-004-99</w:t>
                  </w:r>
                </w:p>
              </w:tc>
              <w:tc>
                <w:tcPr>
                  <w:tcW w:w="482" w:type="pct"/>
                  <w:noWrap w:val="0"/>
                  <w:vAlign w:val="center"/>
                </w:tcPr>
                <w:p w14:paraId="7E9228E0">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03" w:type="pct"/>
                  <w:noWrap w:val="0"/>
                  <w:vAlign w:val="center"/>
                </w:tcPr>
                <w:p w14:paraId="160B0EA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5B0FBCE7">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97" w:type="pct"/>
                  <w:noWrap w:val="0"/>
                  <w:vAlign w:val="center"/>
                </w:tcPr>
                <w:p w14:paraId="4A6EAB8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0.01</w:t>
                  </w:r>
                </w:p>
              </w:tc>
              <w:tc>
                <w:tcPr>
                  <w:tcW w:w="409" w:type="pct"/>
                  <w:vMerge w:val="continue"/>
                  <w:noWrap w:val="0"/>
                  <w:vAlign w:val="center"/>
                </w:tcPr>
                <w:p w14:paraId="1376B08E">
                  <w:pPr>
                    <w:pStyle w:val="5"/>
                    <w:bidi w:val="0"/>
                    <w:rPr>
                      <w:rFonts w:hint="default" w:ascii="Times New Roman" w:hAnsi="Times New Roman" w:eastAsia="宋体" w:cs="Times New Roman"/>
                      <w:color w:val="auto"/>
                    </w:rPr>
                  </w:pPr>
                </w:p>
              </w:tc>
              <w:tc>
                <w:tcPr>
                  <w:tcW w:w="486" w:type="pct"/>
                  <w:noWrap w:val="0"/>
                  <w:vAlign w:val="center"/>
                </w:tcPr>
                <w:p w14:paraId="0335A85A">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厂家回收</w:t>
                  </w:r>
                </w:p>
              </w:tc>
              <w:tc>
                <w:tcPr>
                  <w:tcW w:w="386" w:type="pct"/>
                  <w:noWrap w:val="0"/>
                  <w:vAlign w:val="center"/>
                </w:tcPr>
                <w:p w14:paraId="05D3BA7B">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0.01</w:t>
                  </w:r>
                </w:p>
              </w:tc>
              <w:tc>
                <w:tcPr>
                  <w:tcW w:w="353" w:type="pct"/>
                  <w:vMerge w:val="continue"/>
                  <w:noWrap w:val="0"/>
                  <w:vAlign w:val="center"/>
                </w:tcPr>
                <w:p w14:paraId="1DFED8D8">
                  <w:pPr>
                    <w:pStyle w:val="5"/>
                    <w:bidi w:val="0"/>
                    <w:rPr>
                      <w:rFonts w:hint="default" w:ascii="Times New Roman" w:hAnsi="Times New Roman" w:eastAsia="宋体" w:cs="Times New Roman"/>
                      <w:color w:val="auto"/>
                    </w:rPr>
                  </w:pPr>
                </w:p>
              </w:tc>
            </w:tr>
            <w:tr w14:paraId="5AE2E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44" w:type="pct"/>
                  <w:noWrap w:val="0"/>
                  <w:vAlign w:val="center"/>
                </w:tcPr>
                <w:p w14:paraId="2EACB793">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5</w:t>
                  </w:r>
                </w:p>
              </w:tc>
              <w:tc>
                <w:tcPr>
                  <w:tcW w:w="244" w:type="pct"/>
                  <w:vMerge w:val="continue"/>
                  <w:noWrap w:val="0"/>
                  <w:vAlign w:val="center"/>
                </w:tcPr>
                <w:p w14:paraId="3A5AB79C">
                  <w:pPr>
                    <w:pStyle w:val="5"/>
                    <w:bidi w:val="0"/>
                    <w:rPr>
                      <w:rFonts w:hint="default" w:ascii="Times New Roman" w:hAnsi="Times New Roman" w:eastAsia="宋体" w:cs="Times New Roman"/>
                      <w:color w:val="auto"/>
                    </w:rPr>
                  </w:pPr>
                </w:p>
              </w:tc>
              <w:tc>
                <w:tcPr>
                  <w:tcW w:w="643" w:type="pct"/>
                  <w:noWrap w:val="0"/>
                  <w:vAlign w:val="center"/>
                </w:tcPr>
                <w:p w14:paraId="7EC1D15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废包装袋</w:t>
                  </w:r>
                </w:p>
              </w:tc>
              <w:tc>
                <w:tcPr>
                  <w:tcW w:w="726" w:type="pct"/>
                  <w:noWrap w:val="0"/>
                  <w:vAlign w:val="center"/>
                </w:tcPr>
                <w:p w14:paraId="3A6E7FDF">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w:t>
                  </w:r>
                </w:p>
                <w:p w14:paraId="22E1053C">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331-005-99</w:t>
                  </w:r>
                </w:p>
              </w:tc>
              <w:tc>
                <w:tcPr>
                  <w:tcW w:w="482" w:type="pct"/>
                  <w:noWrap w:val="0"/>
                  <w:vAlign w:val="center"/>
                </w:tcPr>
                <w:p w14:paraId="03F7B1A2">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03" w:type="pct"/>
                  <w:noWrap w:val="0"/>
                  <w:vAlign w:val="center"/>
                </w:tcPr>
                <w:p w14:paraId="242F54B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299512F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97" w:type="pct"/>
                  <w:noWrap w:val="0"/>
                  <w:vAlign w:val="center"/>
                </w:tcPr>
                <w:p w14:paraId="12A0EC6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0.0422</w:t>
                  </w:r>
                </w:p>
              </w:tc>
              <w:tc>
                <w:tcPr>
                  <w:tcW w:w="409" w:type="pct"/>
                  <w:vMerge w:val="continue"/>
                  <w:noWrap w:val="0"/>
                  <w:vAlign w:val="center"/>
                </w:tcPr>
                <w:p w14:paraId="46158C7C">
                  <w:pPr>
                    <w:pStyle w:val="5"/>
                    <w:bidi w:val="0"/>
                    <w:rPr>
                      <w:rFonts w:hint="default" w:ascii="Times New Roman" w:hAnsi="Times New Roman" w:eastAsia="宋体" w:cs="Times New Roman"/>
                      <w:color w:val="auto"/>
                    </w:rPr>
                  </w:pPr>
                </w:p>
              </w:tc>
              <w:tc>
                <w:tcPr>
                  <w:tcW w:w="486" w:type="pct"/>
                  <w:noWrap w:val="0"/>
                  <w:vAlign w:val="center"/>
                </w:tcPr>
                <w:p w14:paraId="16E58EED">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外售</w:t>
                  </w:r>
                </w:p>
              </w:tc>
              <w:tc>
                <w:tcPr>
                  <w:tcW w:w="386" w:type="pct"/>
                  <w:noWrap w:val="0"/>
                  <w:vAlign w:val="center"/>
                </w:tcPr>
                <w:p w14:paraId="0C06D36F">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0.0422</w:t>
                  </w:r>
                </w:p>
              </w:tc>
              <w:tc>
                <w:tcPr>
                  <w:tcW w:w="353" w:type="pct"/>
                  <w:vMerge w:val="continue"/>
                  <w:noWrap w:val="0"/>
                  <w:vAlign w:val="center"/>
                </w:tcPr>
                <w:p w14:paraId="0884FF4A">
                  <w:pPr>
                    <w:pStyle w:val="5"/>
                    <w:bidi w:val="0"/>
                    <w:rPr>
                      <w:rFonts w:hint="default" w:ascii="Times New Roman" w:hAnsi="Times New Roman" w:eastAsia="宋体" w:cs="Times New Roman"/>
                      <w:color w:val="auto"/>
                    </w:rPr>
                  </w:pPr>
                </w:p>
              </w:tc>
            </w:tr>
            <w:tr w14:paraId="1100D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244" w:type="pct"/>
                  <w:noWrap w:val="0"/>
                  <w:vAlign w:val="center"/>
                </w:tcPr>
                <w:p w14:paraId="7D80ED00">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6</w:t>
                  </w:r>
                </w:p>
              </w:tc>
              <w:tc>
                <w:tcPr>
                  <w:tcW w:w="244" w:type="pct"/>
                  <w:vMerge w:val="restart"/>
                  <w:noWrap w:val="0"/>
                  <w:vAlign w:val="center"/>
                </w:tcPr>
                <w:p w14:paraId="2B1CB088">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喷漆</w:t>
                  </w:r>
                </w:p>
              </w:tc>
              <w:tc>
                <w:tcPr>
                  <w:tcW w:w="643" w:type="pct"/>
                  <w:noWrap w:val="0"/>
                  <w:vAlign w:val="center"/>
                </w:tcPr>
                <w:p w14:paraId="2358E416">
                  <w:pPr>
                    <w:pStyle w:val="5"/>
                    <w:bidi w:val="0"/>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空水性漆桶</w:t>
                  </w:r>
                </w:p>
              </w:tc>
              <w:tc>
                <w:tcPr>
                  <w:tcW w:w="726" w:type="pct"/>
                  <w:noWrap w:val="0"/>
                  <w:vAlign w:val="center"/>
                </w:tcPr>
                <w:p w14:paraId="23A2FCB8">
                  <w:pPr>
                    <w:pStyle w:val="5"/>
                    <w:bidi w:val="0"/>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一般工业固体废物</w:t>
                  </w:r>
                </w:p>
                <w:p w14:paraId="0C58CEF9">
                  <w:pPr>
                    <w:pStyle w:val="5"/>
                    <w:bidi w:val="0"/>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331-006-02</w:t>
                  </w:r>
                </w:p>
              </w:tc>
              <w:tc>
                <w:tcPr>
                  <w:tcW w:w="482" w:type="pct"/>
                  <w:noWrap w:val="0"/>
                  <w:vAlign w:val="center"/>
                </w:tcPr>
                <w:p w14:paraId="134565E4">
                  <w:pPr>
                    <w:pStyle w:val="5"/>
                    <w:bidi w:val="0"/>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w:t>
                  </w:r>
                </w:p>
              </w:tc>
              <w:tc>
                <w:tcPr>
                  <w:tcW w:w="303" w:type="pct"/>
                  <w:noWrap w:val="0"/>
                  <w:vAlign w:val="center"/>
                </w:tcPr>
                <w:p w14:paraId="22A51B30">
                  <w:pPr>
                    <w:pStyle w:val="5"/>
                    <w:bidi w:val="0"/>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固态</w:t>
                  </w:r>
                </w:p>
              </w:tc>
              <w:tc>
                <w:tcPr>
                  <w:tcW w:w="322" w:type="pct"/>
                  <w:noWrap w:val="0"/>
                  <w:vAlign w:val="center"/>
                </w:tcPr>
                <w:p w14:paraId="4D1C41FC">
                  <w:pPr>
                    <w:pStyle w:val="5"/>
                    <w:bidi w:val="0"/>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T/In</w:t>
                  </w:r>
                </w:p>
              </w:tc>
              <w:tc>
                <w:tcPr>
                  <w:tcW w:w="397" w:type="pct"/>
                  <w:noWrap w:val="0"/>
                  <w:vAlign w:val="center"/>
                </w:tcPr>
                <w:p w14:paraId="40FA5CFD">
                  <w:pPr>
                    <w:pStyle w:val="5"/>
                    <w:bidi w:val="0"/>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1.2</w:t>
                  </w:r>
                </w:p>
              </w:tc>
              <w:tc>
                <w:tcPr>
                  <w:tcW w:w="409" w:type="pct"/>
                  <w:noWrap w:val="0"/>
                  <w:vAlign w:val="center"/>
                </w:tcPr>
                <w:p w14:paraId="1F403672">
                  <w:pPr>
                    <w:pStyle w:val="5"/>
                    <w:bidi w:val="0"/>
                    <w:rPr>
                      <w:rFonts w:hint="eastAsia" w:ascii="Times New Roman" w:hAnsi="Times New Roman" w:eastAsia="宋体" w:cs="Times New Roman"/>
                      <w:color w:val="auto"/>
                      <w:highlight w:val="none"/>
                      <w:lang w:eastAsia="zh-CN"/>
                    </w:rPr>
                  </w:pPr>
                  <w:r>
                    <w:rPr>
                      <w:rFonts w:hint="eastAsia" w:cs="Times New Roman"/>
                      <w:color w:val="auto"/>
                      <w:highlight w:val="none"/>
                      <w:lang w:eastAsia="zh-CN"/>
                    </w:rPr>
                    <w:t>暂存于危废间</w:t>
                  </w:r>
                </w:p>
              </w:tc>
              <w:tc>
                <w:tcPr>
                  <w:tcW w:w="486" w:type="pct"/>
                  <w:noWrap w:val="0"/>
                  <w:vAlign w:val="center"/>
                </w:tcPr>
                <w:p w14:paraId="0C09D529">
                  <w:pPr>
                    <w:pStyle w:val="5"/>
                    <w:bidi w:val="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厂家回收</w:t>
                  </w:r>
                </w:p>
              </w:tc>
              <w:tc>
                <w:tcPr>
                  <w:tcW w:w="386" w:type="pct"/>
                  <w:noWrap w:val="0"/>
                  <w:vAlign w:val="center"/>
                </w:tcPr>
                <w:p w14:paraId="13F9251B">
                  <w:pPr>
                    <w:pStyle w:val="5"/>
                    <w:bidi w:val="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1.2</w:t>
                  </w:r>
                </w:p>
              </w:tc>
              <w:tc>
                <w:tcPr>
                  <w:tcW w:w="353" w:type="pct"/>
                  <w:vMerge w:val="continue"/>
                  <w:noWrap w:val="0"/>
                  <w:vAlign w:val="center"/>
                </w:tcPr>
                <w:p w14:paraId="102A0290">
                  <w:pPr>
                    <w:pStyle w:val="5"/>
                    <w:bidi w:val="0"/>
                    <w:rPr>
                      <w:rFonts w:hint="default" w:ascii="Times New Roman" w:hAnsi="Times New Roman" w:eastAsia="宋体" w:cs="Times New Roman"/>
                      <w:color w:val="auto"/>
                    </w:rPr>
                  </w:pPr>
                </w:p>
              </w:tc>
            </w:tr>
            <w:tr w14:paraId="713B9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44" w:type="pct"/>
                  <w:noWrap w:val="0"/>
                  <w:vAlign w:val="center"/>
                </w:tcPr>
                <w:p w14:paraId="083E406F">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7</w:t>
                  </w:r>
                </w:p>
              </w:tc>
              <w:tc>
                <w:tcPr>
                  <w:tcW w:w="244" w:type="pct"/>
                  <w:vMerge w:val="continue"/>
                  <w:noWrap w:val="0"/>
                  <w:vAlign w:val="center"/>
                </w:tcPr>
                <w:p w14:paraId="13D35C72">
                  <w:pPr>
                    <w:pStyle w:val="5"/>
                    <w:bidi w:val="0"/>
                    <w:rPr>
                      <w:rFonts w:hint="default" w:ascii="Times New Roman" w:hAnsi="Times New Roman" w:eastAsia="宋体" w:cs="Times New Roman"/>
                      <w:color w:val="auto"/>
                    </w:rPr>
                  </w:pPr>
                </w:p>
              </w:tc>
              <w:tc>
                <w:tcPr>
                  <w:tcW w:w="643" w:type="pct"/>
                  <w:noWrap w:val="0"/>
                  <w:vAlign w:val="center"/>
                </w:tcPr>
                <w:p w14:paraId="68D356DE">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漆渣</w:t>
                  </w:r>
                </w:p>
              </w:tc>
              <w:tc>
                <w:tcPr>
                  <w:tcW w:w="726" w:type="pct"/>
                  <w:noWrap w:val="0"/>
                  <w:vAlign w:val="center"/>
                </w:tcPr>
                <w:p w14:paraId="35504D0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482" w:type="pct"/>
                  <w:noWrap w:val="0"/>
                  <w:vAlign w:val="center"/>
                </w:tcPr>
                <w:p w14:paraId="2534F5FA">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03" w:type="pct"/>
                  <w:noWrap w:val="0"/>
                  <w:vAlign w:val="center"/>
                </w:tcPr>
                <w:p w14:paraId="5FCB7DD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5A261931">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T</w:t>
                  </w:r>
                </w:p>
              </w:tc>
              <w:tc>
                <w:tcPr>
                  <w:tcW w:w="397" w:type="pct"/>
                  <w:noWrap w:val="0"/>
                  <w:vAlign w:val="center"/>
                </w:tcPr>
                <w:p w14:paraId="3783CD68">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2.82</w:t>
                  </w:r>
                </w:p>
              </w:tc>
              <w:tc>
                <w:tcPr>
                  <w:tcW w:w="409" w:type="pct"/>
                  <w:vMerge w:val="restart"/>
                  <w:noWrap w:val="0"/>
                  <w:vAlign w:val="center"/>
                </w:tcPr>
                <w:p w14:paraId="226453CB">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收集后</w:t>
                  </w:r>
                  <w:r>
                    <w:rPr>
                      <w:rFonts w:hint="eastAsia" w:cs="Times New Roman"/>
                      <w:color w:val="auto"/>
                      <w:lang w:eastAsia="zh-CN"/>
                    </w:rPr>
                    <w:t>桶装</w:t>
                  </w:r>
                  <w:r>
                    <w:rPr>
                      <w:rFonts w:hint="default" w:ascii="Times New Roman" w:hAnsi="Times New Roman" w:eastAsia="宋体" w:cs="Times New Roman"/>
                      <w:color w:val="auto"/>
                    </w:rPr>
                    <w:t>，暂存于危废暂存间</w:t>
                  </w:r>
                </w:p>
              </w:tc>
              <w:tc>
                <w:tcPr>
                  <w:tcW w:w="486" w:type="pct"/>
                  <w:vMerge w:val="restart"/>
                  <w:noWrap w:val="0"/>
                  <w:vAlign w:val="center"/>
                </w:tcPr>
                <w:p w14:paraId="2E27907C">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交由有资质单位处置</w:t>
                  </w:r>
                </w:p>
              </w:tc>
              <w:tc>
                <w:tcPr>
                  <w:tcW w:w="386" w:type="pct"/>
                  <w:noWrap w:val="0"/>
                  <w:vAlign w:val="center"/>
                </w:tcPr>
                <w:p w14:paraId="205B2D61">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2.82</w:t>
                  </w:r>
                </w:p>
              </w:tc>
              <w:tc>
                <w:tcPr>
                  <w:tcW w:w="353" w:type="pct"/>
                  <w:vMerge w:val="continue"/>
                  <w:noWrap w:val="0"/>
                  <w:vAlign w:val="center"/>
                </w:tcPr>
                <w:p w14:paraId="5FFC7707">
                  <w:pPr>
                    <w:pStyle w:val="5"/>
                    <w:bidi w:val="0"/>
                    <w:rPr>
                      <w:rFonts w:hint="default" w:ascii="Times New Roman" w:hAnsi="Times New Roman" w:eastAsia="宋体" w:cs="Times New Roman"/>
                      <w:color w:val="auto"/>
                    </w:rPr>
                  </w:pPr>
                </w:p>
              </w:tc>
            </w:tr>
            <w:tr w14:paraId="41E7B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noWrap w:val="0"/>
                  <w:vAlign w:val="center"/>
                </w:tcPr>
                <w:p w14:paraId="1E61BBDB">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8</w:t>
                  </w:r>
                </w:p>
              </w:tc>
              <w:tc>
                <w:tcPr>
                  <w:tcW w:w="244" w:type="pct"/>
                  <w:vMerge w:val="restart"/>
                  <w:noWrap w:val="0"/>
                  <w:vAlign w:val="center"/>
                </w:tcPr>
                <w:p w14:paraId="0F88087E">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贮存</w:t>
                  </w:r>
                </w:p>
              </w:tc>
              <w:tc>
                <w:tcPr>
                  <w:tcW w:w="643" w:type="pct"/>
                  <w:vMerge w:val="restart"/>
                  <w:noWrap w:val="0"/>
                  <w:vAlign w:val="center"/>
                </w:tcPr>
                <w:p w14:paraId="0F0D926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废药剂桶</w:t>
                  </w:r>
                </w:p>
              </w:tc>
              <w:tc>
                <w:tcPr>
                  <w:tcW w:w="726" w:type="pct"/>
                  <w:vMerge w:val="restart"/>
                  <w:noWrap w:val="0"/>
                  <w:vAlign w:val="center"/>
                </w:tcPr>
                <w:p w14:paraId="2ADBCF44">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p w14:paraId="125E33FF">
                  <w:pPr>
                    <w:pStyle w:val="5"/>
                    <w:bidi w:val="0"/>
                    <w:spacing w:line="240" w:lineRule="auto"/>
                    <w:rPr>
                      <w:rFonts w:hint="eastAsia" w:ascii="Times New Roman" w:hAnsi="Times New Roman" w:eastAsia="宋体" w:cs="Times New Roman"/>
                      <w:color w:val="auto"/>
                      <w:lang w:eastAsia="zh-CN"/>
                    </w:rPr>
                  </w:pPr>
                  <w:r>
                    <w:rPr>
                      <w:rFonts w:hint="default" w:ascii="Times New Roman" w:hAnsi="Times New Roman" w:eastAsia="宋体" w:cs="Times New Roman"/>
                      <w:color w:val="auto"/>
                    </w:rPr>
                    <w:t xml:space="preserve">HW49 900-041-49 </w:t>
                  </w:r>
                </w:p>
              </w:tc>
              <w:tc>
                <w:tcPr>
                  <w:tcW w:w="482" w:type="pct"/>
                  <w:vMerge w:val="restart"/>
                  <w:noWrap w:val="0"/>
                  <w:vAlign w:val="center"/>
                </w:tcPr>
                <w:p w14:paraId="7B3D941B">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感染性危险废物</w:t>
                  </w:r>
                </w:p>
              </w:tc>
              <w:tc>
                <w:tcPr>
                  <w:tcW w:w="303" w:type="pct"/>
                  <w:vMerge w:val="restart"/>
                  <w:noWrap w:val="0"/>
                  <w:vAlign w:val="center"/>
                </w:tcPr>
                <w:p w14:paraId="2CCD5C02">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vMerge w:val="restart"/>
                  <w:noWrap w:val="0"/>
                  <w:vAlign w:val="center"/>
                </w:tcPr>
                <w:p w14:paraId="1736F3E7">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T/In</w:t>
                  </w:r>
                </w:p>
              </w:tc>
              <w:tc>
                <w:tcPr>
                  <w:tcW w:w="397" w:type="pct"/>
                  <w:vMerge w:val="restart"/>
                  <w:noWrap w:val="0"/>
                  <w:vAlign w:val="center"/>
                </w:tcPr>
                <w:p w14:paraId="2785C34A">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0.25</w:t>
                  </w:r>
                </w:p>
              </w:tc>
              <w:tc>
                <w:tcPr>
                  <w:tcW w:w="409" w:type="pct"/>
                  <w:vMerge w:val="continue"/>
                  <w:noWrap w:val="0"/>
                  <w:vAlign w:val="center"/>
                </w:tcPr>
                <w:p w14:paraId="6F901480">
                  <w:pPr>
                    <w:pStyle w:val="5"/>
                    <w:bidi w:val="0"/>
                    <w:rPr>
                      <w:rFonts w:hint="default" w:ascii="Times New Roman" w:hAnsi="Times New Roman" w:eastAsia="宋体" w:cs="Times New Roman"/>
                      <w:color w:val="auto"/>
                    </w:rPr>
                  </w:pPr>
                </w:p>
              </w:tc>
              <w:tc>
                <w:tcPr>
                  <w:tcW w:w="486" w:type="pct"/>
                  <w:vMerge w:val="continue"/>
                  <w:noWrap w:val="0"/>
                  <w:vAlign w:val="center"/>
                </w:tcPr>
                <w:p w14:paraId="10F9DF8B">
                  <w:pPr>
                    <w:pStyle w:val="5"/>
                    <w:bidi w:val="0"/>
                    <w:rPr>
                      <w:rFonts w:hint="default" w:ascii="Times New Roman" w:hAnsi="Times New Roman" w:eastAsia="宋体" w:cs="Times New Roman"/>
                      <w:color w:val="auto"/>
                    </w:rPr>
                  </w:pPr>
                </w:p>
              </w:tc>
              <w:tc>
                <w:tcPr>
                  <w:tcW w:w="386" w:type="pct"/>
                  <w:vMerge w:val="restart"/>
                  <w:noWrap w:val="0"/>
                  <w:vAlign w:val="center"/>
                </w:tcPr>
                <w:p w14:paraId="22DCE4AD">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0.25</w:t>
                  </w:r>
                </w:p>
              </w:tc>
              <w:tc>
                <w:tcPr>
                  <w:tcW w:w="353" w:type="pct"/>
                  <w:vMerge w:val="continue"/>
                  <w:noWrap w:val="0"/>
                  <w:vAlign w:val="center"/>
                </w:tcPr>
                <w:p w14:paraId="60F8EE7D">
                  <w:pPr>
                    <w:pStyle w:val="5"/>
                    <w:bidi w:val="0"/>
                    <w:rPr>
                      <w:rFonts w:hint="default" w:ascii="Times New Roman" w:hAnsi="Times New Roman" w:eastAsia="宋体" w:cs="Times New Roman"/>
                      <w:color w:val="auto"/>
                    </w:rPr>
                  </w:pPr>
                </w:p>
              </w:tc>
            </w:tr>
            <w:tr w14:paraId="4D5F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noWrap w:val="0"/>
                  <w:vAlign w:val="center"/>
                </w:tcPr>
                <w:p w14:paraId="25DFC4CE">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244" w:type="pct"/>
                  <w:vMerge w:val="continue"/>
                  <w:noWrap w:val="0"/>
                  <w:vAlign w:val="center"/>
                </w:tcPr>
                <w:p w14:paraId="54AD4D02">
                  <w:pPr>
                    <w:pStyle w:val="5"/>
                    <w:bidi w:val="0"/>
                    <w:rPr>
                      <w:rFonts w:hint="default" w:ascii="Times New Roman" w:hAnsi="Times New Roman" w:eastAsia="宋体" w:cs="Times New Roman"/>
                      <w:color w:val="auto"/>
                    </w:rPr>
                  </w:pPr>
                </w:p>
              </w:tc>
              <w:tc>
                <w:tcPr>
                  <w:tcW w:w="643" w:type="pct"/>
                  <w:vMerge w:val="continue"/>
                  <w:noWrap w:val="0"/>
                  <w:vAlign w:val="center"/>
                </w:tcPr>
                <w:p w14:paraId="0A3A1F0A">
                  <w:pPr>
                    <w:pStyle w:val="5"/>
                    <w:bidi w:val="0"/>
                    <w:spacing w:line="240" w:lineRule="auto"/>
                    <w:rPr>
                      <w:rFonts w:hint="default" w:ascii="Times New Roman" w:hAnsi="Times New Roman" w:eastAsia="宋体" w:cs="Times New Roman"/>
                      <w:color w:val="auto"/>
                    </w:rPr>
                  </w:pPr>
                </w:p>
              </w:tc>
              <w:tc>
                <w:tcPr>
                  <w:tcW w:w="726" w:type="pct"/>
                  <w:vMerge w:val="continue"/>
                  <w:noWrap w:val="0"/>
                  <w:vAlign w:val="center"/>
                </w:tcPr>
                <w:p w14:paraId="3BCA333C">
                  <w:pPr>
                    <w:pStyle w:val="5"/>
                    <w:bidi w:val="0"/>
                    <w:spacing w:line="240" w:lineRule="auto"/>
                    <w:rPr>
                      <w:rFonts w:hint="default" w:ascii="Times New Roman" w:hAnsi="Times New Roman" w:eastAsia="宋体" w:cs="Times New Roman"/>
                      <w:color w:val="auto"/>
                    </w:rPr>
                  </w:pPr>
                </w:p>
              </w:tc>
              <w:tc>
                <w:tcPr>
                  <w:tcW w:w="482" w:type="pct"/>
                  <w:vMerge w:val="continue"/>
                  <w:noWrap w:val="0"/>
                  <w:vAlign w:val="center"/>
                </w:tcPr>
                <w:p w14:paraId="0D8814C1">
                  <w:pPr>
                    <w:pStyle w:val="5"/>
                    <w:bidi w:val="0"/>
                    <w:spacing w:line="240" w:lineRule="auto"/>
                    <w:rPr>
                      <w:rFonts w:hint="default" w:ascii="Times New Roman" w:hAnsi="Times New Roman" w:eastAsia="宋体" w:cs="Times New Roman"/>
                      <w:color w:val="auto"/>
                    </w:rPr>
                  </w:pPr>
                </w:p>
              </w:tc>
              <w:tc>
                <w:tcPr>
                  <w:tcW w:w="303" w:type="pct"/>
                  <w:vMerge w:val="continue"/>
                  <w:noWrap w:val="0"/>
                  <w:vAlign w:val="center"/>
                </w:tcPr>
                <w:p w14:paraId="22D67BB4">
                  <w:pPr>
                    <w:pStyle w:val="5"/>
                    <w:bidi w:val="0"/>
                    <w:spacing w:line="240" w:lineRule="auto"/>
                    <w:rPr>
                      <w:rFonts w:hint="default" w:ascii="Times New Roman" w:hAnsi="Times New Roman" w:eastAsia="宋体" w:cs="Times New Roman"/>
                      <w:color w:val="auto"/>
                    </w:rPr>
                  </w:pPr>
                </w:p>
              </w:tc>
              <w:tc>
                <w:tcPr>
                  <w:tcW w:w="322" w:type="pct"/>
                  <w:vMerge w:val="continue"/>
                  <w:noWrap w:val="0"/>
                  <w:vAlign w:val="center"/>
                </w:tcPr>
                <w:p w14:paraId="67E972CD">
                  <w:pPr>
                    <w:pStyle w:val="5"/>
                    <w:bidi w:val="0"/>
                    <w:spacing w:line="240" w:lineRule="auto"/>
                    <w:rPr>
                      <w:rFonts w:hint="default" w:ascii="Times New Roman" w:hAnsi="Times New Roman" w:eastAsia="宋体" w:cs="Times New Roman"/>
                      <w:color w:val="auto"/>
                    </w:rPr>
                  </w:pPr>
                </w:p>
              </w:tc>
              <w:tc>
                <w:tcPr>
                  <w:tcW w:w="397" w:type="pct"/>
                  <w:vMerge w:val="continue"/>
                  <w:noWrap w:val="0"/>
                  <w:vAlign w:val="center"/>
                </w:tcPr>
                <w:p w14:paraId="0D4B47B7">
                  <w:pPr>
                    <w:pStyle w:val="5"/>
                    <w:bidi w:val="0"/>
                    <w:spacing w:line="240" w:lineRule="auto"/>
                    <w:rPr>
                      <w:rFonts w:hint="default" w:ascii="Times New Roman" w:hAnsi="Times New Roman" w:eastAsia="宋体" w:cs="Times New Roman"/>
                      <w:color w:val="auto"/>
                    </w:rPr>
                  </w:pPr>
                </w:p>
              </w:tc>
              <w:tc>
                <w:tcPr>
                  <w:tcW w:w="409" w:type="pct"/>
                  <w:vMerge w:val="continue"/>
                  <w:noWrap w:val="0"/>
                  <w:vAlign w:val="center"/>
                </w:tcPr>
                <w:p w14:paraId="16030BC8">
                  <w:pPr>
                    <w:pStyle w:val="5"/>
                    <w:bidi w:val="0"/>
                    <w:rPr>
                      <w:rFonts w:hint="default" w:ascii="Times New Roman" w:hAnsi="Times New Roman" w:eastAsia="宋体" w:cs="Times New Roman"/>
                      <w:color w:val="auto"/>
                    </w:rPr>
                  </w:pPr>
                </w:p>
              </w:tc>
              <w:tc>
                <w:tcPr>
                  <w:tcW w:w="486" w:type="pct"/>
                  <w:vMerge w:val="continue"/>
                  <w:noWrap w:val="0"/>
                  <w:vAlign w:val="center"/>
                </w:tcPr>
                <w:p w14:paraId="3A0C066B">
                  <w:pPr>
                    <w:pStyle w:val="5"/>
                    <w:bidi w:val="0"/>
                    <w:rPr>
                      <w:rFonts w:hint="default" w:ascii="Times New Roman" w:hAnsi="Times New Roman" w:eastAsia="宋体" w:cs="Times New Roman"/>
                      <w:color w:val="auto"/>
                    </w:rPr>
                  </w:pPr>
                </w:p>
              </w:tc>
              <w:tc>
                <w:tcPr>
                  <w:tcW w:w="386" w:type="pct"/>
                  <w:vMerge w:val="continue"/>
                  <w:noWrap w:val="0"/>
                  <w:vAlign w:val="center"/>
                </w:tcPr>
                <w:p w14:paraId="55A1711D">
                  <w:pPr>
                    <w:pStyle w:val="5"/>
                    <w:bidi w:val="0"/>
                    <w:rPr>
                      <w:rFonts w:hint="default" w:ascii="Times New Roman" w:hAnsi="Times New Roman" w:eastAsia="宋体" w:cs="Times New Roman"/>
                      <w:color w:val="auto"/>
                    </w:rPr>
                  </w:pPr>
                </w:p>
              </w:tc>
              <w:tc>
                <w:tcPr>
                  <w:tcW w:w="353" w:type="pct"/>
                  <w:vMerge w:val="continue"/>
                  <w:noWrap w:val="0"/>
                  <w:vAlign w:val="center"/>
                </w:tcPr>
                <w:p w14:paraId="07B5DD13">
                  <w:pPr>
                    <w:pStyle w:val="5"/>
                    <w:bidi w:val="0"/>
                    <w:rPr>
                      <w:rFonts w:hint="default" w:ascii="Times New Roman" w:hAnsi="Times New Roman" w:eastAsia="宋体" w:cs="Times New Roman"/>
                      <w:color w:val="auto"/>
                    </w:rPr>
                  </w:pPr>
                </w:p>
              </w:tc>
            </w:tr>
            <w:tr w14:paraId="3F760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44" w:type="pct"/>
                  <w:noWrap w:val="0"/>
                  <w:vAlign w:val="center"/>
                </w:tcPr>
                <w:p w14:paraId="775412C4">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10</w:t>
                  </w:r>
                </w:p>
              </w:tc>
              <w:tc>
                <w:tcPr>
                  <w:tcW w:w="244" w:type="pct"/>
                  <w:vMerge w:val="restart"/>
                  <w:noWrap w:val="0"/>
                  <w:vAlign w:val="center"/>
                </w:tcPr>
                <w:p w14:paraId="374FC3A0">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废气处理</w:t>
                  </w:r>
                </w:p>
              </w:tc>
              <w:tc>
                <w:tcPr>
                  <w:tcW w:w="643" w:type="pct"/>
                  <w:noWrap w:val="0"/>
                  <w:vAlign w:val="center"/>
                </w:tcPr>
                <w:p w14:paraId="5173D42E">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废活性炭</w:t>
                  </w:r>
                </w:p>
              </w:tc>
              <w:tc>
                <w:tcPr>
                  <w:tcW w:w="726" w:type="pct"/>
                  <w:noWrap w:val="0"/>
                  <w:vAlign w:val="center"/>
                </w:tcPr>
                <w:p w14:paraId="5CF013DF">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p w14:paraId="40F465F7">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HW49 900-039-49</w:t>
                  </w:r>
                </w:p>
              </w:tc>
              <w:tc>
                <w:tcPr>
                  <w:tcW w:w="482" w:type="pct"/>
                  <w:noWrap w:val="0"/>
                  <w:vAlign w:val="center"/>
                </w:tcPr>
                <w:p w14:paraId="573287A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有机废气</w:t>
                  </w:r>
                </w:p>
              </w:tc>
              <w:tc>
                <w:tcPr>
                  <w:tcW w:w="303" w:type="pct"/>
                  <w:noWrap w:val="0"/>
                  <w:vAlign w:val="center"/>
                </w:tcPr>
                <w:p w14:paraId="0A54DB5D">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00E980E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T/In</w:t>
                  </w:r>
                </w:p>
              </w:tc>
              <w:tc>
                <w:tcPr>
                  <w:tcW w:w="397" w:type="pct"/>
                  <w:noWrap w:val="0"/>
                  <w:vAlign w:val="center"/>
                </w:tcPr>
                <w:p w14:paraId="73209E46">
                  <w:pPr>
                    <w:pStyle w:val="5"/>
                    <w:bidi w:val="0"/>
                    <w:spacing w:line="240" w:lineRule="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4.445</w:t>
                  </w:r>
                </w:p>
              </w:tc>
              <w:tc>
                <w:tcPr>
                  <w:tcW w:w="409" w:type="pct"/>
                  <w:vMerge w:val="continue"/>
                  <w:noWrap w:val="0"/>
                  <w:vAlign w:val="center"/>
                </w:tcPr>
                <w:p w14:paraId="6AB68841">
                  <w:pPr>
                    <w:pStyle w:val="5"/>
                    <w:bidi w:val="0"/>
                    <w:rPr>
                      <w:rFonts w:hint="default" w:ascii="Times New Roman" w:hAnsi="Times New Roman" w:eastAsia="宋体" w:cs="Times New Roman"/>
                      <w:color w:val="auto"/>
                    </w:rPr>
                  </w:pPr>
                </w:p>
              </w:tc>
              <w:tc>
                <w:tcPr>
                  <w:tcW w:w="486" w:type="pct"/>
                  <w:vMerge w:val="continue"/>
                  <w:noWrap w:val="0"/>
                  <w:vAlign w:val="center"/>
                </w:tcPr>
                <w:p w14:paraId="416357B3">
                  <w:pPr>
                    <w:pStyle w:val="5"/>
                    <w:bidi w:val="0"/>
                    <w:rPr>
                      <w:rFonts w:hint="default" w:ascii="Times New Roman" w:hAnsi="Times New Roman" w:eastAsia="宋体" w:cs="Times New Roman"/>
                      <w:color w:val="auto"/>
                    </w:rPr>
                  </w:pPr>
                </w:p>
              </w:tc>
              <w:tc>
                <w:tcPr>
                  <w:tcW w:w="386" w:type="pct"/>
                  <w:noWrap w:val="0"/>
                  <w:vAlign w:val="center"/>
                </w:tcPr>
                <w:p w14:paraId="3B7BCBCD">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4.445</w:t>
                  </w:r>
                </w:p>
              </w:tc>
              <w:tc>
                <w:tcPr>
                  <w:tcW w:w="353" w:type="pct"/>
                  <w:vMerge w:val="continue"/>
                  <w:noWrap w:val="0"/>
                  <w:vAlign w:val="center"/>
                </w:tcPr>
                <w:p w14:paraId="3FB5F8A9">
                  <w:pPr>
                    <w:pStyle w:val="5"/>
                    <w:bidi w:val="0"/>
                    <w:rPr>
                      <w:rFonts w:hint="default" w:ascii="Times New Roman" w:hAnsi="Times New Roman" w:eastAsia="宋体" w:cs="Times New Roman"/>
                      <w:color w:val="auto"/>
                    </w:rPr>
                  </w:pPr>
                </w:p>
              </w:tc>
            </w:tr>
            <w:tr w14:paraId="58C8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44" w:type="pct"/>
                  <w:noWrap w:val="0"/>
                  <w:vAlign w:val="center"/>
                </w:tcPr>
                <w:p w14:paraId="5EFE0089">
                  <w:pPr>
                    <w:pStyle w:val="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w:t>
                  </w:r>
                </w:p>
              </w:tc>
              <w:tc>
                <w:tcPr>
                  <w:tcW w:w="244" w:type="pct"/>
                  <w:vMerge w:val="continue"/>
                  <w:noWrap w:val="0"/>
                  <w:vAlign w:val="center"/>
                </w:tcPr>
                <w:p w14:paraId="66B99A59">
                  <w:pPr>
                    <w:pStyle w:val="5"/>
                    <w:bidi w:val="0"/>
                    <w:rPr>
                      <w:rFonts w:hint="default" w:ascii="Times New Roman" w:hAnsi="Times New Roman" w:eastAsia="宋体" w:cs="Times New Roman"/>
                      <w:color w:val="auto"/>
                    </w:rPr>
                  </w:pPr>
                </w:p>
              </w:tc>
              <w:tc>
                <w:tcPr>
                  <w:tcW w:w="643" w:type="pct"/>
                  <w:noWrap w:val="0"/>
                  <w:vAlign w:val="center"/>
                </w:tcPr>
                <w:p w14:paraId="7C59737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废过滤棉</w:t>
                  </w:r>
                </w:p>
              </w:tc>
              <w:tc>
                <w:tcPr>
                  <w:tcW w:w="726" w:type="pct"/>
                  <w:noWrap w:val="0"/>
                  <w:vAlign w:val="center"/>
                </w:tcPr>
                <w:p w14:paraId="121C5EB1">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p w14:paraId="1DF973FF">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HW49 900-041-49 </w:t>
                  </w:r>
                </w:p>
              </w:tc>
              <w:tc>
                <w:tcPr>
                  <w:tcW w:w="482" w:type="pct"/>
                  <w:noWrap w:val="0"/>
                  <w:vAlign w:val="center"/>
                </w:tcPr>
                <w:p w14:paraId="4FBA9E41">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有机废气</w:t>
                  </w:r>
                </w:p>
              </w:tc>
              <w:tc>
                <w:tcPr>
                  <w:tcW w:w="303" w:type="pct"/>
                  <w:noWrap w:val="0"/>
                  <w:vAlign w:val="center"/>
                </w:tcPr>
                <w:p w14:paraId="3A9BD7AD">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329EE28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T/In</w:t>
                  </w:r>
                </w:p>
              </w:tc>
              <w:tc>
                <w:tcPr>
                  <w:tcW w:w="397" w:type="pct"/>
                  <w:noWrap w:val="0"/>
                  <w:vAlign w:val="center"/>
                </w:tcPr>
                <w:p w14:paraId="146C1F1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0.1</w:t>
                  </w:r>
                </w:p>
              </w:tc>
              <w:tc>
                <w:tcPr>
                  <w:tcW w:w="409" w:type="pct"/>
                  <w:vMerge w:val="continue"/>
                  <w:noWrap w:val="0"/>
                  <w:vAlign w:val="center"/>
                </w:tcPr>
                <w:p w14:paraId="5341A1C5">
                  <w:pPr>
                    <w:pStyle w:val="5"/>
                    <w:bidi w:val="0"/>
                    <w:rPr>
                      <w:rFonts w:hint="default" w:ascii="Times New Roman" w:hAnsi="Times New Roman" w:eastAsia="宋体" w:cs="Times New Roman"/>
                      <w:color w:val="auto"/>
                    </w:rPr>
                  </w:pPr>
                </w:p>
              </w:tc>
              <w:tc>
                <w:tcPr>
                  <w:tcW w:w="486" w:type="pct"/>
                  <w:vMerge w:val="continue"/>
                  <w:noWrap w:val="0"/>
                  <w:vAlign w:val="center"/>
                </w:tcPr>
                <w:p w14:paraId="3449F57F">
                  <w:pPr>
                    <w:pStyle w:val="5"/>
                    <w:bidi w:val="0"/>
                    <w:rPr>
                      <w:rFonts w:hint="default" w:ascii="Times New Roman" w:hAnsi="Times New Roman" w:eastAsia="宋体" w:cs="Times New Roman"/>
                      <w:color w:val="auto"/>
                    </w:rPr>
                  </w:pPr>
                </w:p>
              </w:tc>
              <w:tc>
                <w:tcPr>
                  <w:tcW w:w="386" w:type="pct"/>
                  <w:noWrap w:val="0"/>
                  <w:vAlign w:val="center"/>
                </w:tcPr>
                <w:p w14:paraId="75619610">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0.1</w:t>
                  </w:r>
                </w:p>
              </w:tc>
              <w:tc>
                <w:tcPr>
                  <w:tcW w:w="353" w:type="pct"/>
                  <w:vMerge w:val="continue"/>
                  <w:noWrap w:val="0"/>
                  <w:vAlign w:val="center"/>
                </w:tcPr>
                <w:p w14:paraId="4F307D4B">
                  <w:pPr>
                    <w:pStyle w:val="5"/>
                    <w:bidi w:val="0"/>
                    <w:rPr>
                      <w:rFonts w:hint="default" w:ascii="Times New Roman" w:hAnsi="Times New Roman" w:eastAsia="宋体" w:cs="Times New Roman"/>
                      <w:color w:val="auto"/>
                    </w:rPr>
                  </w:pPr>
                </w:p>
              </w:tc>
            </w:tr>
            <w:tr w14:paraId="7D0E2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44" w:type="pct"/>
                  <w:noWrap w:val="0"/>
                  <w:vAlign w:val="center"/>
                </w:tcPr>
                <w:p w14:paraId="1F261FC0">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12</w:t>
                  </w:r>
                </w:p>
              </w:tc>
              <w:tc>
                <w:tcPr>
                  <w:tcW w:w="244" w:type="pct"/>
                  <w:noWrap w:val="0"/>
                  <w:vAlign w:val="center"/>
                </w:tcPr>
                <w:p w14:paraId="03D9B8C3">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生产车间</w:t>
                  </w:r>
                </w:p>
              </w:tc>
              <w:tc>
                <w:tcPr>
                  <w:tcW w:w="643" w:type="pct"/>
                  <w:noWrap w:val="0"/>
                  <w:vAlign w:val="center"/>
                </w:tcPr>
                <w:p w14:paraId="0A37012E">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废槽液、</w:t>
                  </w:r>
                  <w:r>
                    <w:rPr>
                      <w:rFonts w:hint="default" w:ascii="Times New Roman" w:hAnsi="Times New Roman" w:eastAsia="宋体" w:cs="Times New Roman"/>
                      <w:color w:val="auto"/>
                    </w:rPr>
                    <w:t>废槽渣</w:t>
                  </w:r>
                </w:p>
              </w:tc>
              <w:tc>
                <w:tcPr>
                  <w:tcW w:w="726" w:type="pct"/>
                  <w:noWrap w:val="0"/>
                  <w:vAlign w:val="center"/>
                </w:tcPr>
                <w:p w14:paraId="58F5E1B7">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p w14:paraId="5F01490B">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HW17 336-064-17</w:t>
                  </w:r>
                </w:p>
              </w:tc>
              <w:tc>
                <w:tcPr>
                  <w:tcW w:w="482" w:type="pct"/>
                  <w:noWrap w:val="0"/>
                  <w:vAlign w:val="center"/>
                </w:tcPr>
                <w:p w14:paraId="70EC6333">
                  <w:pPr>
                    <w:pStyle w:val="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废槽液、</w:t>
                  </w:r>
                  <w:r>
                    <w:rPr>
                      <w:rFonts w:hint="default" w:ascii="Times New Roman" w:hAnsi="Times New Roman" w:eastAsia="宋体" w:cs="Times New Roman"/>
                      <w:color w:val="auto"/>
                    </w:rPr>
                    <w:t>废槽渣</w:t>
                  </w:r>
                </w:p>
              </w:tc>
              <w:tc>
                <w:tcPr>
                  <w:tcW w:w="303" w:type="pct"/>
                  <w:noWrap w:val="0"/>
                  <w:vAlign w:val="center"/>
                </w:tcPr>
                <w:p w14:paraId="0BAA1C6C">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液态、</w:t>
                  </w:r>
                  <w:r>
                    <w:rPr>
                      <w:rFonts w:hint="default" w:ascii="Times New Roman" w:hAnsi="Times New Roman" w:eastAsia="宋体" w:cs="Times New Roman"/>
                      <w:color w:val="auto"/>
                    </w:rPr>
                    <w:t>固态</w:t>
                  </w:r>
                </w:p>
              </w:tc>
              <w:tc>
                <w:tcPr>
                  <w:tcW w:w="322" w:type="pct"/>
                  <w:noWrap w:val="0"/>
                  <w:vAlign w:val="center"/>
                </w:tcPr>
                <w:p w14:paraId="3CCD9D06">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T/C</w:t>
                  </w:r>
                </w:p>
              </w:tc>
              <w:tc>
                <w:tcPr>
                  <w:tcW w:w="397" w:type="pct"/>
                  <w:noWrap w:val="0"/>
                  <w:vAlign w:val="center"/>
                </w:tcPr>
                <w:p w14:paraId="64EA07B8">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19.998</w:t>
                  </w:r>
                </w:p>
              </w:tc>
              <w:tc>
                <w:tcPr>
                  <w:tcW w:w="409" w:type="pct"/>
                  <w:vMerge w:val="continue"/>
                  <w:noWrap w:val="0"/>
                  <w:vAlign w:val="center"/>
                </w:tcPr>
                <w:p w14:paraId="50DAAAB5">
                  <w:pPr>
                    <w:pStyle w:val="5"/>
                    <w:bidi w:val="0"/>
                    <w:rPr>
                      <w:rFonts w:hint="default" w:ascii="Times New Roman" w:hAnsi="Times New Roman" w:eastAsia="宋体" w:cs="Times New Roman"/>
                      <w:color w:val="auto"/>
                    </w:rPr>
                  </w:pPr>
                </w:p>
              </w:tc>
              <w:tc>
                <w:tcPr>
                  <w:tcW w:w="486" w:type="pct"/>
                  <w:vMerge w:val="continue"/>
                  <w:noWrap w:val="0"/>
                  <w:vAlign w:val="center"/>
                </w:tcPr>
                <w:p w14:paraId="62CCC0D1">
                  <w:pPr>
                    <w:pStyle w:val="5"/>
                    <w:bidi w:val="0"/>
                    <w:rPr>
                      <w:rFonts w:hint="default" w:ascii="Times New Roman" w:hAnsi="Times New Roman" w:eastAsia="宋体" w:cs="Times New Roman"/>
                      <w:color w:val="auto"/>
                    </w:rPr>
                  </w:pPr>
                </w:p>
              </w:tc>
              <w:tc>
                <w:tcPr>
                  <w:tcW w:w="386" w:type="pct"/>
                  <w:noWrap w:val="0"/>
                  <w:vAlign w:val="center"/>
                </w:tcPr>
                <w:p w14:paraId="294A4B17">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19.998</w:t>
                  </w:r>
                </w:p>
              </w:tc>
              <w:tc>
                <w:tcPr>
                  <w:tcW w:w="353" w:type="pct"/>
                  <w:vMerge w:val="continue"/>
                  <w:noWrap w:val="0"/>
                  <w:vAlign w:val="center"/>
                </w:tcPr>
                <w:p w14:paraId="2AFAAEBD">
                  <w:pPr>
                    <w:pStyle w:val="5"/>
                    <w:bidi w:val="0"/>
                    <w:rPr>
                      <w:rFonts w:hint="default" w:ascii="Times New Roman" w:hAnsi="Times New Roman" w:eastAsia="宋体" w:cs="Times New Roman"/>
                      <w:color w:val="auto"/>
                    </w:rPr>
                  </w:pPr>
                </w:p>
              </w:tc>
            </w:tr>
            <w:tr w14:paraId="533A9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244" w:type="pct"/>
                  <w:noWrap w:val="0"/>
                  <w:vAlign w:val="center"/>
                </w:tcPr>
                <w:p w14:paraId="0B35822A">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13</w:t>
                  </w:r>
                </w:p>
              </w:tc>
              <w:tc>
                <w:tcPr>
                  <w:tcW w:w="244" w:type="pct"/>
                  <w:vMerge w:val="restart"/>
                  <w:noWrap w:val="0"/>
                  <w:vAlign w:val="center"/>
                </w:tcPr>
                <w:p w14:paraId="0BE3C826">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贮存</w:t>
                  </w:r>
                </w:p>
              </w:tc>
              <w:tc>
                <w:tcPr>
                  <w:tcW w:w="643" w:type="pct"/>
                  <w:noWrap w:val="0"/>
                  <w:vAlign w:val="center"/>
                </w:tcPr>
                <w:p w14:paraId="2DA81F9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废发泡剂桶</w:t>
                  </w:r>
                </w:p>
              </w:tc>
              <w:tc>
                <w:tcPr>
                  <w:tcW w:w="726" w:type="pct"/>
                  <w:noWrap w:val="0"/>
                  <w:vAlign w:val="center"/>
                </w:tcPr>
                <w:p w14:paraId="1E192B0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p w14:paraId="1E59B39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HW49 900-041-49</w:t>
                  </w:r>
                </w:p>
              </w:tc>
              <w:tc>
                <w:tcPr>
                  <w:tcW w:w="482" w:type="pct"/>
                  <w:noWrap w:val="0"/>
                  <w:vAlign w:val="center"/>
                </w:tcPr>
                <w:p w14:paraId="27F2967C">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感染性危险废物</w:t>
                  </w:r>
                </w:p>
              </w:tc>
              <w:tc>
                <w:tcPr>
                  <w:tcW w:w="303" w:type="pct"/>
                  <w:noWrap w:val="0"/>
                  <w:vAlign w:val="center"/>
                </w:tcPr>
                <w:p w14:paraId="56B35676">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5BBB0046">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T/In</w:t>
                  </w:r>
                </w:p>
              </w:tc>
              <w:tc>
                <w:tcPr>
                  <w:tcW w:w="397" w:type="pct"/>
                  <w:noWrap w:val="0"/>
                  <w:vAlign w:val="center"/>
                </w:tcPr>
                <w:p w14:paraId="70B81B93">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0.84</w:t>
                  </w:r>
                </w:p>
              </w:tc>
              <w:tc>
                <w:tcPr>
                  <w:tcW w:w="409" w:type="pct"/>
                  <w:vMerge w:val="continue"/>
                  <w:noWrap w:val="0"/>
                  <w:vAlign w:val="center"/>
                </w:tcPr>
                <w:p w14:paraId="4CD3A2AF">
                  <w:pPr>
                    <w:pStyle w:val="5"/>
                    <w:bidi w:val="0"/>
                    <w:rPr>
                      <w:rFonts w:hint="default" w:ascii="Times New Roman" w:hAnsi="Times New Roman" w:eastAsia="宋体" w:cs="Times New Roman"/>
                      <w:color w:val="auto"/>
                    </w:rPr>
                  </w:pPr>
                </w:p>
              </w:tc>
              <w:tc>
                <w:tcPr>
                  <w:tcW w:w="486" w:type="pct"/>
                  <w:vMerge w:val="continue"/>
                  <w:noWrap w:val="0"/>
                  <w:vAlign w:val="center"/>
                </w:tcPr>
                <w:p w14:paraId="77F188F1">
                  <w:pPr>
                    <w:pStyle w:val="5"/>
                    <w:bidi w:val="0"/>
                    <w:rPr>
                      <w:rFonts w:hint="default" w:ascii="Times New Roman" w:hAnsi="Times New Roman" w:eastAsia="宋体" w:cs="Times New Roman"/>
                      <w:color w:val="auto"/>
                    </w:rPr>
                  </w:pPr>
                </w:p>
              </w:tc>
              <w:tc>
                <w:tcPr>
                  <w:tcW w:w="386" w:type="pct"/>
                  <w:noWrap w:val="0"/>
                  <w:vAlign w:val="center"/>
                </w:tcPr>
                <w:p w14:paraId="5B87653F">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0.84</w:t>
                  </w:r>
                </w:p>
              </w:tc>
              <w:tc>
                <w:tcPr>
                  <w:tcW w:w="353" w:type="pct"/>
                  <w:vMerge w:val="continue"/>
                  <w:noWrap w:val="0"/>
                  <w:vAlign w:val="center"/>
                </w:tcPr>
                <w:p w14:paraId="13CA39FB">
                  <w:pPr>
                    <w:pStyle w:val="5"/>
                    <w:bidi w:val="0"/>
                    <w:rPr>
                      <w:rFonts w:hint="default" w:ascii="Times New Roman" w:hAnsi="Times New Roman" w:eastAsia="宋体" w:cs="Times New Roman"/>
                      <w:color w:val="auto"/>
                    </w:rPr>
                  </w:pPr>
                </w:p>
              </w:tc>
            </w:tr>
            <w:tr w14:paraId="4FA4F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noWrap w:val="0"/>
                  <w:vAlign w:val="center"/>
                </w:tcPr>
                <w:p w14:paraId="36425D6A">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14</w:t>
                  </w:r>
                </w:p>
              </w:tc>
              <w:tc>
                <w:tcPr>
                  <w:tcW w:w="244" w:type="pct"/>
                  <w:vMerge w:val="continue"/>
                  <w:noWrap w:val="0"/>
                  <w:vAlign w:val="center"/>
                </w:tcPr>
                <w:p w14:paraId="5D76A39A">
                  <w:pPr>
                    <w:pStyle w:val="5"/>
                    <w:bidi w:val="0"/>
                    <w:rPr>
                      <w:rFonts w:hint="default" w:ascii="Times New Roman" w:hAnsi="Times New Roman" w:eastAsia="宋体" w:cs="Times New Roman"/>
                      <w:color w:val="auto"/>
                    </w:rPr>
                  </w:pPr>
                </w:p>
              </w:tc>
              <w:tc>
                <w:tcPr>
                  <w:tcW w:w="643" w:type="pct"/>
                  <w:noWrap w:val="0"/>
                  <w:vAlign w:val="center"/>
                </w:tcPr>
                <w:p w14:paraId="5C1664D4">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废润滑油及其包装桶</w:t>
                  </w:r>
                </w:p>
              </w:tc>
              <w:tc>
                <w:tcPr>
                  <w:tcW w:w="726" w:type="pct"/>
                  <w:noWrap w:val="0"/>
                  <w:vAlign w:val="center"/>
                </w:tcPr>
                <w:p w14:paraId="3496D01A">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p w14:paraId="63C3C229">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HW08900-214-08</w:t>
                  </w:r>
                </w:p>
              </w:tc>
              <w:tc>
                <w:tcPr>
                  <w:tcW w:w="482" w:type="pct"/>
                  <w:noWrap w:val="0"/>
                  <w:vAlign w:val="center"/>
                </w:tcPr>
                <w:p w14:paraId="1904746C">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矿物油</w:t>
                  </w:r>
                </w:p>
              </w:tc>
              <w:tc>
                <w:tcPr>
                  <w:tcW w:w="303" w:type="pct"/>
                  <w:noWrap w:val="0"/>
                  <w:vAlign w:val="center"/>
                </w:tcPr>
                <w:p w14:paraId="361432D1">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液态</w:t>
                  </w:r>
                </w:p>
              </w:tc>
              <w:tc>
                <w:tcPr>
                  <w:tcW w:w="322" w:type="pct"/>
                  <w:noWrap w:val="0"/>
                  <w:vAlign w:val="center"/>
                </w:tcPr>
                <w:p w14:paraId="12A5E7F4">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T/I</w:t>
                  </w:r>
                </w:p>
              </w:tc>
              <w:tc>
                <w:tcPr>
                  <w:tcW w:w="397" w:type="pct"/>
                  <w:noWrap w:val="0"/>
                  <w:vAlign w:val="center"/>
                </w:tcPr>
                <w:p w14:paraId="42328F73">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0.262</w:t>
                  </w:r>
                </w:p>
              </w:tc>
              <w:tc>
                <w:tcPr>
                  <w:tcW w:w="409" w:type="pct"/>
                  <w:vMerge w:val="continue"/>
                  <w:noWrap w:val="0"/>
                  <w:vAlign w:val="center"/>
                </w:tcPr>
                <w:p w14:paraId="524393FC">
                  <w:pPr>
                    <w:pStyle w:val="5"/>
                    <w:bidi w:val="0"/>
                    <w:rPr>
                      <w:rFonts w:hint="default" w:ascii="Times New Roman" w:hAnsi="Times New Roman" w:eastAsia="宋体" w:cs="Times New Roman"/>
                      <w:color w:val="auto"/>
                    </w:rPr>
                  </w:pPr>
                </w:p>
              </w:tc>
              <w:tc>
                <w:tcPr>
                  <w:tcW w:w="486" w:type="pct"/>
                  <w:vMerge w:val="continue"/>
                  <w:noWrap w:val="0"/>
                  <w:vAlign w:val="center"/>
                </w:tcPr>
                <w:p w14:paraId="6029203F">
                  <w:pPr>
                    <w:pStyle w:val="5"/>
                    <w:bidi w:val="0"/>
                    <w:rPr>
                      <w:rFonts w:hint="default" w:ascii="Times New Roman" w:hAnsi="Times New Roman" w:eastAsia="宋体" w:cs="Times New Roman"/>
                      <w:color w:val="auto"/>
                    </w:rPr>
                  </w:pPr>
                </w:p>
              </w:tc>
              <w:tc>
                <w:tcPr>
                  <w:tcW w:w="386" w:type="pct"/>
                  <w:noWrap w:val="0"/>
                  <w:vAlign w:val="center"/>
                </w:tcPr>
                <w:p w14:paraId="7FB12FF9">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0.262</w:t>
                  </w:r>
                </w:p>
              </w:tc>
              <w:tc>
                <w:tcPr>
                  <w:tcW w:w="353" w:type="pct"/>
                  <w:vMerge w:val="continue"/>
                  <w:noWrap w:val="0"/>
                  <w:vAlign w:val="center"/>
                </w:tcPr>
                <w:p w14:paraId="7CC69826">
                  <w:pPr>
                    <w:pStyle w:val="5"/>
                    <w:bidi w:val="0"/>
                    <w:rPr>
                      <w:rFonts w:hint="default" w:ascii="Times New Roman" w:hAnsi="Times New Roman" w:eastAsia="宋体" w:cs="Times New Roman"/>
                      <w:color w:val="auto"/>
                    </w:rPr>
                  </w:pPr>
                </w:p>
              </w:tc>
            </w:tr>
            <w:tr w14:paraId="1BCE9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noWrap w:val="0"/>
                  <w:vAlign w:val="center"/>
                </w:tcPr>
                <w:p w14:paraId="5EF80B0C">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15</w:t>
                  </w:r>
                </w:p>
              </w:tc>
              <w:tc>
                <w:tcPr>
                  <w:tcW w:w="244" w:type="pct"/>
                  <w:noWrap w:val="0"/>
                  <w:vAlign w:val="center"/>
                </w:tcPr>
                <w:p w14:paraId="5EDF9EFD">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废水治理</w:t>
                  </w:r>
                </w:p>
              </w:tc>
              <w:tc>
                <w:tcPr>
                  <w:tcW w:w="643" w:type="pct"/>
                  <w:noWrap w:val="0"/>
                  <w:vAlign w:val="center"/>
                </w:tcPr>
                <w:p w14:paraId="4D2DF4E4">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污泥</w:t>
                  </w:r>
                </w:p>
              </w:tc>
              <w:tc>
                <w:tcPr>
                  <w:tcW w:w="726" w:type="pct"/>
                  <w:noWrap w:val="0"/>
                  <w:vAlign w:val="center"/>
                </w:tcPr>
                <w:p w14:paraId="285C9F55">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p w14:paraId="4B0062C3">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HW17</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336-064-17</w:t>
                  </w:r>
                </w:p>
              </w:tc>
              <w:tc>
                <w:tcPr>
                  <w:tcW w:w="482" w:type="pct"/>
                  <w:noWrap w:val="0"/>
                  <w:vAlign w:val="center"/>
                </w:tcPr>
                <w:p w14:paraId="7AD956D3">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污泥</w:t>
                  </w:r>
                </w:p>
              </w:tc>
              <w:tc>
                <w:tcPr>
                  <w:tcW w:w="303" w:type="pct"/>
                  <w:noWrap w:val="0"/>
                  <w:vAlign w:val="center"/>
                </w:tcPr>
                <w:p w14:paraId="3592EE57">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26393939">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T/In</w:t>
                  </w:r>
                </w:p>
              </w:tc>
              <w:tc>
                <w:tcPr>
                  <w:tcW w:w="397" w:type="pct"/>
                  <w:noWrap w:val="0"/>
                  <w:vAlign w:val="center"/>
                </w:tcPr>
                <w:p w14:paraId="4677AC59">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0.16</w:t>
                  </w:r>
                </w:p>
              </w:tc>
              <w:tc>
                <w:tcPr>
                  <w:tcW w:w="409" w:type="pct"/>
                  <w:vMerge w:val="continue"/>
                  <w:noWrap w:val="0"/>
                  <w:vAlign w:val="center"/>
                </w:tcPr>
                <w:p w14:paraId="585C8F32">
                  <w:pPr>
                    <w:pStyle w:val="5"/>
                    <w:bidi w:val="0"/>
                    <w:rPr>
                      <w:rFonts w:hint="default" w:ascii="Times New Roman" w:hAnsi="Times New Roman" w:eastAsia="宋体" w:cs="Times New Roman"/>
                      <w:color w:val="auto"/>
                    </w:rPr>
                  </w:pPr>
                </w:p>
              </w:tc>
              <w:tc>
                <w:tcPr>
                  <w:tcW w:w="486" w:type="pct"/>
                  <w:vMerge w:val="continue"/>
                  <w:noWrap w:val="0"/>
                  <w:vAlign w:val="center"/>
                </w:tcPr>
                <w:p w14:paraId="61731B95">
                  <w:pPr>
                    <w:pStyle w:val="5"/>
                    <w:bidi w:val="0"/>
                    <w:rPr>
                      <w:rFonts w:hint="default" w:ascii="Times New Roman" w:hAnsi="Times New Roman" w:eastAsia="宋体" w:cs="Times New Roman"/>
                      <w:color w:val="auto"/>
                    </w:rPr>
                  </w:pPr>
                </w:p>
              </w:tc>
              <w:tc>
                <w:tcPr>
                  <w:tcW w:w="386" w:type="pct"/>
                  <w:noWrap w:val="0"/>
                  <w:vAlign w:val="center"/>
                </w:tcPr>
                <w:p w14:paraId="61C73F15">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0.16</w:t>
                  </w:r>
                </w:p>
              </w:tc>
              <w:tc>
                <w:tcPr>
                  <w:tcW w:w="353" w:type="pct"/>
                  <w:vMerge w:val="continue"/>
                  <w:noWrap w:val="0"/>
                  <w:vAlign w:val="center"/>
                </w:tcPr>
                <w:p w14:paraId="39BFFF0C">
                  <w:pPr>
                    <w:pStyle w:val="5"/>
                    <w:bidi w:val="0"/>
                    <w:rPr>
                      <w:rFonts w:hint="default" w:ascii="Times New Roman" w:hAnsi="Times New Roman" w:eastAsia="宋体" w:cs="Times New Roman"/>
                      <w:color w:val="auto"/>
                    </w:rPr>
                  </w:pPr>
                </w:p>
              </w:tc>
            </w:tr>
            <w:tr w14:paraId="03119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244" w:type="pct"/>
                  <w:noWrap w:val="0"/>
                  <w:vAlign w:val="center"/>
                </w:tcPr>
                <w:p w14:paraId="091DE3FE">
                  <w:pPr>
                    <w:pStyle w:val="5"/>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16</w:t>
                  </w:r>
                </w:p>
              </w:tc>
              <w:tc>
                <w:tcPr>
                  <w:tcW w:w="244" w:type="pct"/>
                  <w:noWrap w:val="0"/>
                  <w:vAlign w:val="center"/>
                </w:tcPr>
                <w:p w14:paraId="3CDD9FAD">
                  <w:pPr>
                    <w:pStyle w:val="5"/>
                    <w:bidi w:val="0"/>
                    <w:spacing w:line="240" w:lineRule="auto"/>
                    <w:rPr>
                      <w:rFonts w:hint="default" w:ascii="Times New Roman" w:hAnsi="Times New Roman" w:eastAsia="宋体" w:cs="Times New Roman"/>
                      <w:color w:val="auto"/>
                    </w:rPr>
                  </w:pPr>
                  <w:r>
                    <w:rPr>
                      <w:rFonts w:hint="default" w:ascii="Times New Roman" w:hAnsi="Times New Roman" w:eastAsia="宋体" w:cs="Times New Roman"/>
                      <w:color w:val="auto"/>
                    </w:rPr>
                    <w:t>职工办公</w:t>
                  </w:r>
                </w:p>
              </w:tc>
              <w:tc>
                <w:tcPr>
                  <w:tcW w:w="643" w:type="pct"/>
                  <w:noWrap w:val="0"/>
                  <w:vAlign w:val="center"/>
                </w:tcPr>
                <w:p w14:paraId="06B2A643">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生活垃圾</w:t>
                  </w:r>
                </w:p>
              </w:tc>
              <w:tc>
                <w:tcPr>
                  <w:tcW w:w="726" w:type="pct"/>
                  <w:noWrap w:val="0"/>
                  <w:vAlign w:val="center"/>
                </w:tcPr>
                <w:p w14:paraId="1F74200A">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482" w:type="pct"/>
                  <w:noWrap w:val="0"/>
                  <w:vAlign w:val="center"/>
                </w:tcPr>
                <w:p w14:paraId="365C0D83">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03" w:type="pct"/>
                  <w:noWrap w:val="0"/>
                  <w:vAlign w:val="center"/>
                </w:tcPr>
                <w:p w14:paraId="5F4F4B01">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固态</w:t>
                  </w:r>
                </w:p>
              </w:tc>
              <w:tc>
                <w:tcPr>
                  <w:tcW w:w="322" w:type="pct"/>
                  <w:noWrap w:val="0"/>
                  <w:vAlign w:val="center"/>
                </w:tcPr>
                <w:p w14:paraId="4DABAD5A">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397" w:type="pct"/>
                  <w:noWrap w:val="0"/>
                  <w:vAlign w:val="center"/>
                </w:tcPr>
                <w:p w14:paraId="7BC95716">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2.4</w:t>
                  </w:r>
                </w:p>
              </w:tc>
              <w:tc>
                <w:tcPr>
                  <w:tcW w:w="409" w:type="pct"/>
                  <w:noWrap w:val="0"/>
                  <w:vAlign w:val="center"/>
                </w:tcPr>
                <w:p w14:paraId="7D9E3B47">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收集后</w:t>
                  </w:r>
                </w:p>
                <w:p w14:paraId="51C824A4">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袋装</w:t>
                  </w:r>
                </w:p>
              </w:tc>
              <w:tc>
                <w:tcPr>
                  <w:tcW w:w="486" w:type="pct"/>
                  <w:noWrap w:val="0"/>
                  <w:vAlign w:val="center"/>
                </w:tcPr>
                <w:p w14:paraId="123F28C1">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交由环卫部门统一清运</w:t>
                  </w:r>
                </w:p>
              </w:tc>
              <w:tc>
                <w:tcPr>
                  <w:tcW w:w="386" w:type="pct"/>
                  <w:noWrap w:val="0"/>
                  <w:vAlign w:val="center"/>
                </w:tcPr>
                <w:p w14:paraId="2258D665">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2.4</w:t>
                  </w:r>
                </w:p>
              </w:tc>
              <w:tc>
                <w:tcPr>
                  <w:tcW w:w="353" w:type="pct"/>
                  <w:noWrap w:val="0"/>
                  <w:vAlign w:val="center"/>
                </w:tcPr>
                <w:p w14:paraId="1DD59F1D">
                  <w:pPr>
                    <w:pStyle w:val="5"/>
                    <w:bidi w:val="0"/>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bl>
          <w:p w14:paraId="714CCC4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b w:val="0"/>
                <w:bCs w:val="0"/>
                <w:color w:val="auto"/>
                <w:sz w:val="24"/>
                <w:lang w:val="zh-CN"/>
              </w:rPr>
            </w:pPr>
            <w:r>
              <w:rPr>
                <w:color w:val="auto"/>
                <w:sz w:val="24"/>
                <w:lang w:val="zh-CN"/>
              </w:rPr>
              <w:t>项目设置垃圾桶，将生活垃圾及时扔进垃圾桶，由环卫部统一清运、处置，避免长时间堆置腐烂产生异味，处理后生</w:t>
            </w:r>
            <w:r>
              <w:rPr>
                <w:b w:val="0"/>
                <w:bCs w:val="0"/>
                <w:color w:val="auto"/>
                <w:sz w:val="24"/>
                <w:lang w:val="zh-CN"/>
              </w:rPr>
              <w:t>活垃圾对环境的影响较小。</w:t>
            </w:r>
            <w:r>
              <w:rPr>
                <w:rFonts w:hint="eastAsia"/>
                <w:b w:val="0"/>
                <w:bCs w:val="0"/>
                <w:color w:val="auto"/>
                <w:kern w:val="0"/>
                <w:sz w:val="24"/>
              </w:rPr>
              <w:t>废槽渣、废润滑油、废润滑油桶、废漆桶、废发泡剂桶、废过滤棉、漆渣、废活性炭</w:t>
            </w:r>
            <w:r>
              <w:rPr>
                <w:b w:val="0"/>
                <w:bCs w:val="0"/>
                <w:color w:val="auto"/>
                <w:sz w:val="24"/>
                <w:lang w:val="zh-CN"/>
              </w:rPr>
              <w:t>等均属于危险废物，委托有资质单位处置。</w:t>
            </w:r>
          </w:p>
          <w:p w14:paraId="169DB3F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color w:val="auto"/>
                <w:vertAlign w:val="baseline"/>
                <w:lang w:val="en-US" w:eastAsia="zh-CN"/>
              </w:rPr>
            </w:pPr>
            <w:r>
              <w:rPr>
                <w:b w:val="0"/>
                <w:bCs w:val="0"/>
                <w:color w:val="auto"/>
                <w:sz w:val="24"/>
                <w:lang w:val="zh-CN"/>
              </w:rPr>
              <w:t>依据危险废物处置管理的相关法律法规，对危险废物进行申报登记；对危险废物的容器和包装物以及收集、贮存、运输、处置危险废物的设施、场所，必须设置危险废物识别标志；运输危险废物采取防止污染环境的措施，遵守国家有关危险货物运输管理的规定。收集容器加盖密封以防挥发，并进行标示。</w:t>
            </w:r>
            <w:r>
              <w:rPr>
                <w:rFonts w:hint="eastAsia"/>
                <w:b w:val="0"/>
                <w:bCs w:val="0"/>
                <w:color w:val="auto"/>
                <w:sz w:val="24"/>
                <w:lang w:val="zh-CN"/>
              </w:rPr>
              <w:t>本项目产生的废槽液、</w:t>
            </w:r>
            <w:r>
              <w:rPr>
                <w:rFonts w:hint="eastAsia"/>
                <w:b w:val="0"/>
                <w:bCs w:val="0"/>
                <w:color w:val="auto"/>
                <w:kern w:val="0"/>
                <w:sz w:val="24"/>
              </w:rPr>
              <w:t>废槽渣、废润滑油、废润滑油桶、废漆桶、废发泡剂桶、废过滤棉、漆渣、废活性炭</w:t>
            </w:r>
            <w:r>
              <w:rPr>
                <w:b w:val="0"/>
                <w:bCs w:val="0"/>
                <w:color w:val="auto"/>
                <w:sz w:val="24"/>
                <w:lang w:val="zh-CN"/>
              </w:rPr>
              <w:t>等经收集后，暂存于危险废物暂存</w:t>
            </w:r>
            <w:r>
              <w:rPr>
                <w:rFonts w:hint="eastAsia"/>
                <w:b w:val="0"/>
                <w:bCs w:val="0"/>
                <w:color w:val="auto"/>
                <w:sz w:val="24"/>
                <w:lang w:val="zh-CN"/>
              </w:rPr>
              <w:t>间</w:t>
            </w:r>
            <w:r>
              <w:rPr>
                <w:b w:val="0"/>
                <w:bCs w:val="0"/>
                <w:color w:val="auto"/>
                <w:sz w:val="24"/>
                <w:lang w:val="zh-CN"/>
              </w:rPr>
              <w:t>内，并按危废库管理要求管理。</w:t>
            </w:r>
            <w:r>
              <w:rPr>
                <w:rFonts w:hint="eastAsia"/>
                <w:b w:val="0"/>
                <w:bCs w:val="0"/>
                <w:color w:val="auto"/>
                <w:sz w:val="24"/>
                <w:lang w:val="zh-CN"/>
              </w:rPr>
              <w:t>本项目</w:t>
            </w:r>
            <w:r>
              <w:rPr>
                <w:b w:val="0"/>
                <w:bCs w:val="0"/>
                <w:color w:val="auto"/>
                <w:sz w:val="24"/>
                <w:lang w:val="zh-CN"/>
              </w:rPr>
              <w:t>按照《危险废物贮存污染物控制标准》（</w:t>
            </w:r>
            <w:r>
              <w:rPr>
                <w:rFonts w:hint="eastAsia"/>
                <w:b w:val="0"/>
                <w:bCs w:val="0"/>
                <w:color w:val="auto"/>
                <w:sz w:val="24"/>
                <w:lang w:val="zh-CN"/>
              </w:rPr>
              <w:t>GB18597-2023</w:t>
            </w:r>
            <w:r>
              <w:rPr>
                <w:b w:val="0"/>
                <w:bCs w:val="0"/>
                <w:color w:val="auto"/>
                <w:sz w:val="24"/>
                <w:lang w:val="zh-CN"/>
              </w:rPr>
              <w:t>）的规定设置</w:t>
            </w:r>
            <w:r>
              <w:rPr>
                <w:rFonts w:hint="eastAsia"/>
                <w:b w:val="0"/>
                <w:bCs w:val="0"/>
                <w:color w:val="auto"/>
                <w:sz w:val="24"/>
                <w:lang w:val="zh-CN"/>
              </w:rPr>
              <w:t>危废暂存间，危废暂存间</w:t>
            </w:r>
            <w:r>
              <w:rPr>
                <w:b w:val="0"/>
                <w:bCs w:val="0"/>
                <w:color w:val="auto"/>
                <w:sz w:val="24"/>
                <w:lang w:val="zh-CN"/>
              </w:rPr>
              <w:t>位于</w:t>
            </w:r>
            <w:r>
              <w:rPr>
                <w:rFonts w:hint="eastAsia"/>
                <w:b w:val="0"/>
                <w:bCs w:val="0"/>
                <w:color w:val="auto"/>
                <w:sz w:val="24"/>
                <w:lang w:val="en-US" w:eastAsia="zh-CN"/>
              </w:rPr>
              <w:t>3#</w:t>
            </w:r>
            <w:r>
              <w:rPr>
                <w:b w:val="0"/>
                <w:bCs w:val="0"/>
                <w:color w:val="auto"/>
                <w:sz w:val="24"/>
                <w:lang w:val="zh-CN"/>
              </w:rPr>
              <w:t>厂房1F</w:t>
            </w:r>
            <w:r>
              <w:rPr>
                <w:rFonts w:hint="eastAsia"/>
                <w:b w:val="0"/>
                <w:bCs w:val="0"/>
                <w:color w:val="auto"/>
                <w:sz w:val="24"/>
                <w:lang w:val="zh-CN"/>
              </w:rPr>
              <w:t>西侧</w:t>
            </w:r>
            <w:r>
              <w:rPr>
                <w:b w:val="0"/>
                <w:bCs w:val="0"/>
                <w:color w:val="auto"/>
                <w:sz w:val="24"/>
                <w:lang w:val="zh-CN"/>
              </w:rPr>
              <w:t>，建筑面积</w:t>
            </w:r>
            <w:r>
              <w:rPr>
                <w:rFonts w:hint="eastAsia"/>
                <w:b w:val="0"/>
                <w:bCs w:val="0"/>
                <w:color w:val="auto"/>
                <w:sz w:val="24"/>
                <w:lang w:val="en-US" w:eastAsia="zh-CN"/>
              </w:rPr>
              <w:t>3</w:t>
            </w:r>
            <w:r>
              <w:rPr>
                <w:b w:val="0"/>
                <w:bCs w:val="0"/>
                <w:color w:val="auto"/>
                <w:sz w:val="24"/>
                <w:lang w:val="zh-CN"/>
              </w:rPr>
              <w:t>0m</w:t>
            </w:r>
            <w:r>
              <w:rPr>
                <w:b w:val="0"/>
                <w:bCs w:val="0"/>
                <w:color w:val="auto"/>
                <w:sz w:val="24"/>
                <w:vertAlign w:val="superscript"/>
                <w:lang w:val="zh-CN"/>
              </w:rPr>
              <w:t>2</w:t>
            </w:r>
            <w:r>
              <w:rPr>
                <w:b w:val="0"/>
                <w:bCs w:val="0"/>
                <w:color w:val="auto"/>
                <w:sz w:val="24"/>
                <w:lang w:val="zh-CN"/>
              </w:rPr>
              <w:t>，</w:t>
            </w:r>
            <w:r>
              <w:rPr>
                <w:rFonts w:hint="eastAsia"/>
                <w:b w:val="0"/>
                <w:bCs w:val="0"/>
                <w:color w:val="auto"/>
                <w:sz w:val="24"/>
                <w:lang w:val="zh-CN"/>
              </w:rPr>
              <w:t>用于</w:t>
            </w:r>
            <w:r>
              <w:rPr>
                <w:b w:val="0"/>
                <w:bCs w:val="0"/>
                <w:color w:val="auto"/>
                <w:sz w:val="24"/>
                <w:lang w:val="zh-CN"/>
              </w:rPr>
              <w:t>存放项目危险</w:t>
            </w:r>
            <w:r>
              <w:rPr>
                <w:rFonts w:hint="eastAsia"/>
                <w:b w:val="0"/>
                <w:bCs w:val="0"/>
                <w:color w:val="auto"/>
                <w:sz w:val="24"/>
                <w:lang w:val="zh-CN"/>
              </w:rPr>
              <w:t>废物</w:t>
            </w:r>
            <w:r>
              <w:rPr>
                <w:b w:val="0"/>
                <w:bCs w:val="0"/>
                <w:color w:val="auto"/>
                <w:sz w:val="24"/>
                <w:lang w:val="zh-CN"/>
              </w:rPr>
              <w:t>。危险废物从</w:t>
            </w:r>
            <w:r>
              <w:rPr>
                <w:rFonts w:hint="eastAsia"/>
                <w:b w:val="0"/>
                <w:bCs w:val="0"/>
                <w:color w:val="auto"/>
                <w:sz w:val="24"/>
                <w:lang w:val="zh-CN"/>
              </w:rPr>
              <w:t>危废暂存间</w:t>
            </w:r>
            <w:r>
              <w:rPr>
                <w:b w:val="0"/>
                <w:bCs w:val="0"/>
                <w:color w:val="auto"/>
                <w:sz w:val="24"/>
                <w:lang w:val="zh-CN"/>
              </w:rPr>
              <w:t>运输至有资质的处置单位过程中，将严格按照《危险废物收集贮存运输技术规范》（HJ2025-2012）要求，不会对环境产生不利影响。危险废物的转运严格执行联单管理制度，积极配合环保主管部门监管。通过采取以上措施，项目产</w:t>
            </w:r>
            <w:r>
              <w:rPr>
                <w:color w:val="auto"/>
                <w:sz w:val="24"/>
                <w:lang w:val="zh-CN"/>
              </w:rPr>
              <w:t>生的固体废物均得到合理处置，不对外环境产生影响。</w:t>
            </w:r>
          </w:p>
        </w:tc>
      </w:tr>
    </w:tbl>
    <w:p w14:paraId="6C14526B">
      <w:pPr>
        <w:pStyle w:val="24"/>
        <w:ind w:left="0" w:leftChars="0" w:firstLine="0" w:firstLineChars="0"/>
        <w:rPr>
          <w:rFonts w:hint="eastAsia"/>
          <w:color w:val="auto"/>
          <w:lang w:val="en-US" w:eastAsia="zh-CN"/>
        </w:rPr>
        <w:sectPr>
          <w:pgSz w:w="16838" w:h="11906" w:orient="landscape"/>
          <w:pgMar w:top="1440" w:right="1440" w:bottom="1440" w:left="1440" w:header="708" w:footer="709" w:gutter="0"/>
          <w:pgBorders>
            <w:top w:val="none" w:sz="0" w:space="0"/>
            <w:left w:val="none" w:sz="0" w:space="0"/>
            <w:bottom w:val="none" w:sz="0" w:space="0"/>
            <w:right w:val="none" w:sz="0" w:space="0"/>
          </w:pgBorders>
          <w:pgNumType w:fmt="decimal"/>
          <w:cols w:space="0" w:num="1"/>
          <w:rtlGutter w:val="0"/>
          <w:docGrid w:linePitch="360" w:charSpace="0"/>
        </w:sectPr>
      </w:pPr>
    </w:p>
    <w:p w14:paraId="070937F1">
      <w:pPr>
        <w:spacing w:line="360" w:lineRule="auto"/>
        <w:rPr>
          <w:rFonts w:hint="eastAsia" w:eastAsia="宋体"/>
          <w:color w:val="auto"/>
          <w:lang w:eastAsia="zh-CN"/>
        </w:rPr>
      </w:pPr>
      <w:r>
        <w:rPr>
          <w:rFonts w:hint="eastAsia"/>
          <w:color w:val="auto"/>
          <w:lang w:eastAsia="zh-CN"/>
        </w:rPr>
        <w:t>表四</w:t>
      </w:r>
    </w:p>
    <w:tbl>
      <w:tblPr>
        <w:tblStyle w:val="19"/>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0"/>
      </w:tblGrid>
      <w:tr w14:paraId="12EF4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8" w:hRule="atLeast"/>
          <w:jc w:val="center"/>
        </w:trPr>
        <w:tc>
          <w:tcPr>
            <w:tcW w:w="8740" w:type="dxa"/>
            <w:noWrap w:val="0"/>
            <w:vAlign w:val="top"/>
          </w:tcPr>
          <w:p w14:paraId="3E793CCA">
            <w:pPr>
              <w:keepNext w:val="0"/>
              <w:keepLines w:val="0"/>
              <w:pageBreakBefore w:val="0"/>
              <w:kinsoku/>
              <w:overflowPunct/>
              <w:autoSpaceDE/>
              <w:autoSpaceDN/>
              <w:bidi w:val="0"/>
              <w:snapToGrid w:val="0"/>
              <w:spacing w:before="48" w:beforeLines="20" w:line="360" w:lineRule="auto"/>
              <w:jc w:val="left"/>
              <w:textAlignment w:val="auto"/>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建设项目环境影响报告表主要结论及审批部门审批决定：</w:t>
            </w:r>
          </w:p>
          <w:p w14:paraId="4BB1F80A">
            <w:pPr>
              <w:keepNext w:val="0"/>
              <w:keepLines w:val="0"/>
              <w:pageBreakBefore w:val="0"/>
              <w:numPr>
                <w:ilvl w:val="0"/>
                <w:numId w:val="0"/>
              </w:numPr>
              <w:kinsoku/>
              <w:overflowPunct/>
              <w:autoSpaceDE/>
              <w:autoSpaceDN/>
              <w:bidi w:val="0"/>
              <w:snapToGrid w:val="0"/>
              <w:spacing w:line="360" w:lineRule="auto"/>
              <w:jc w:val="left"/>
              <w:textAlignment w:val="auto"/>
              <w:rPr>
                <w:b/>
                <w:bCs/>
                <w:color w:val="auto"/>
              </w:rPr>
            </w:pPr>
            <w:r>
              <w:rPr>
                <w:rFonts w:hint="eastAsia"/>
                <w:b/>
                <w:bCs/>
                <w:color w:val="auto"/>
                <w:lang w:val="en-US" w:eastAsia="zh-CN"/>
              </w:rPr>
              <w:t>1</w:t>
            </w:r>
            <w:r>
              <w:rPr>
                <w:rFonts w:hint="eastAsia"/>
                <w:b/>
                <w:bCs/>
                <w:color w:val="auto"/>
                <w:lang w:eastAsia="zh-CN"/>
              </w:rPr>
              <w:t>、</w:t>
            </w:r>
            <w:r>
              <w:rPr>
                <w:b/>
                <w:bCs/>
                <w:color w:val="auto"/>
              </w:rPr>
              <w:t>建设项目环境影响报告表主要结论</w:t>
            </w:r>
          </w:p>
          <w:p w14:paraId="12EE6A3E">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舒城润昇门业有限公司钢制非标门加工制造项目位于舒城经济开发区城关园区纬三路万德产业园3号楼D座，租赁建筑面积约4050m²，项目总投资1100万元。前处理主要生产工艺为</w:t>
            </w:r>
            <w:r>
              <w:rPr>
                <w:rFonts w:hint="eastAsia"/>
                <w:b w:val="0"/>
                <w:bCs w:val="0"/>
                <w:color w:val="auto"/>
                <w:sz w:val="24"/>
                <w:lang w:eastAsia="zh-CN"/>
              </w:rPr>
              <w:t>：</w:t>
            </w:r>
            <w:r>
              <w:rPr>
                <w:rFonts w:hint="eastAsia" w:ascii="Times New Roman" w:hAnsi="Times New Roman"/>
                <w:b w:val="0"/>
                <w:bCs w:val="0"/>
                <w:color w:val="auto"/>
                <w:sz w:val="24"/>
                <w:lang w:eastAsia="zh-CN"/>
              </w:rPr>
              <w:t>将钢带剪切冲孔、折弯成型、脱脂、水洗、表调、磷化、水洗、自然晾干、切角、焊接等工序加工，喷涂主要生产工艺为</w:t>
            </w:r>
            <w:r>
              <w:rPr>
                <w:rFonts w:hint="eastAsia"/>
                <w:b w:val="0"/>
                <w:bCs w:val="0"/>
                <w:color w:val="auto"/>
                <w:sz w:val="24"/>
                <w:lang w:eastAsia="zh-CN"/>
              </w:rPr>
              <w:t>：</w:t>
            </w:r>
            <w:r>
              <w:rPr>
                <w:rFonts w:hint="eastAsia" w:ascii="Times New Roman" w:hAnsi="Times New Roman"/>
                <w:b w:val="0"/>
                <w:bCs w:val="0"/>
                <w:color w:val="auto"/>
                <w:sz w:val="24"/>
                <w:lang w:eastAsia="zh-CN"/>
              </w:rPr>
              <w:t>将前处理工件喷塑、固化、喷漆、烘干、喷漆、烘干、人工组装等工序加工，可实现年产钢制非标门10000樘的生产能力。</w:t>
            </w:r>
          </w:p>
          <w:p w14:paraId="334138E0">
            <w:pPr>
              <w:keepNext w:val="0"/>
              <w:keepLines w:val="0"/>
              <w:pageBreakBefore w:val="0"/>
              <w:widowControl w:val="0"/>
              <w:kinsoku/>
              <w:wordWrap/>
              <w:overflowPunct/>
              <w:topLinePunct w:val="0"/>
              <w:autoSpaceDE/>
              <w:autoSpaceDN/>
              <w:bidi w:val="0"/>
              <w:snapToGrid w:val="0"/>
              <w:spacing w:line="360" w:lineRule="auto"/>
              <w:ind w:right="0" w:firstLine="482" w:firstLineChars="200"/>
              <w:jc w:val="both"/>
              <w:textAlignment w:val="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营运期环境影响分析</w:t>
            </w:r>
          </w:p>
          <w:p w14:paraId="635330CA">
            <w:pPr>
              <w:keepNext w:val="0"/>
              <w:keepLines w:val="0"/>
              <w:pageBreakBefore w:val="0"/>
              <w:numPr>
                <w:ilvl w:val="0"/>
                <w:numId w:val="0"/>
              </w:numPr>
              <w:kinsoku/>
              <w:overflowPunct/>
              <w:autoSpaceDE/>
              <w:autoSpaceDN/>
              <w:bidi w:val="0"/>
              <w:snapToGrid w:val="0"/>
              <w:spacing w:line="360" w:lineRule="auto"/>
              <w:ind w:firstLine="482" w:firstLineChars="200"/>
              <w:textAlignment w:val="auto"/>
              <w:rPr>
                <w:rFonts w:hint="eastAsia"/>
                <w:b/>
                <w:bCs/>
                <w:color w:val="auto"/>
                <w:lang w:val="en-US" w:eastAsia="zh-CN"/>
              </w:rPr>
            </w:pPr>
            <w:r>
              <w:rPr>
                <w:rFonts w:hint="eastAsia" w:ascii="Times New Roman" w:hAnsi="Times New Roman" w:eastAsia="宋体" w:cs="Times New Roman"/>
                <w:b/>
                <w:bCs/>
                <w:color w:val="auto"/>
                <w:sz w:val="24"/>
                <w:szCs w:val="24"/>
                <w:lang w:val="en-US" w:eastAsia="zh-CN" w:bidi="ar-SA"/>
              </w:rPr>
              <w:t>（1）</w:t>
            </w:r>
            <w:r>
              <w:rPr>
                <w:rFonts w:hint="eastAsia"/>
                <w:b/>
                <w:bCs/>
                <w:color w:val="auto"/>
                <w:lang w:val="en-US" w:eastAsia="zh-CN"/>
              </w:rPr>
              <w:t>废气</w:t>
            </w:r>
          </w:p>
          <w:p w14:paraId="03A441FA">
            <w:pPr>
              <w:keepNext w:val="0"/>
              <w:keepLines w:val="0"/>
              <w:pageBreakBefore w:val="0"/>
              <w:kinsoku/>
              <w:overflowPunct/>
              <w:autoSpaceDE/>
              <w:autoSpaceDN/>
              <w:bidi w:val="0"/>
              <w:snapToGrid w:val="0"/>
              <w:spacing w:line="360" w:lineRule="auto"/>
              <w:ind w:firstLine="480" w:firstLineChars="200"/>
              <w:textAlignment w:val="auto"/>
              <w:rPr>
                <w:rFonts w:hint="eastAsia"/>
                <w:bCs/>
                <w:color w:val="auto"/>
                <w:sz w:val="24"/>
                <w:szCs w:val="22"/>
              </w:rPr>
            </w:pPr>
            <w:r>
              <w:rPr>
                <w:rFonts w:hint="eastAsia"/>
                <w:bCs/>
                <w:color w:val="auto"/>
                <w:sz w:val="24"/>
                <w:szCs w:val="22"/>
              </w:rPr>
              <w:t>营运期产生的废气污染物主要为胶合工段产生的胶合废气、焊接工段产生的焊接烟尘、喷塑工段产生的粉尘、固化工段产生的固化废气、喷漆工段产生的喷漆废气、烘干工段产生的烘干废气以及天然气燃烧废气。</w:t>
            </w:r>
          </w:p>
          <w:p w14:paraId="0761E0DF">
            <w:pPr>
              <w:pStyle w:val="17"/>
              <w:keepNext w:val="0"/>
              <w:keepLines w:val="0"/>
              <w:pageBreakBefore w:val="0"/>
              <w:kinsoku/>
              <w:overflowPunct/>
              <w:autoSpaceDE/>
              <w:autoSpaceDN/>
              <w:bidi w:val="0"/>
              <w:snapToGrid w:val="0"/>
              <w:spacing w:after="0" w:line="360" w:lineRule="auto"/>
              <w:ind w:firstLine="480" w:firstLineChars="200"/>
              <w:textAlignment w:val="auto"/>
              <w:rPr>
                <w:rFonts w:hint="eastAsia"/>
                <w:color w:val="auto"/>
                <w:lang w:val="en-US" w:eastAsia="zh-CN"/>
              </w:rPr>
            </w:pPr>
            <w:r>
              <w:rPr>
                <w:rFonts w:hint="eastAsia"/>
                <w:color w:val="auto"/>
                <w:sz w:val="24"/>
                <w:lang w:eastAsia="zh-CN"/>
              </w:rPr>
              <w:t>本项目</w:t>
            </w:r>
            <w:r>
              <w:rPr>
                <w:rFonts w:hint="eastAsia"/>
                <w:color w:val="auto"/>
                <w:sz w:val="24"/>
              </w:rPr>
              <w:t>位于安徽舒城经济开发区，评价范围内无自然保护区、风景名胜区和文物古迹等需要特殊保护的环境敏感对象，各废气产生源废气污染物排放量均较小，且配备了技术可行的废气处理装置，有机废气产生工段均为密闭空间，废气捕集效率高，废气经收集处理后通过15</w:t>
            </w:r>
            <w:r>
              <w:rPr>
                <w:color w:val="auto"/>
                <w:sz w:val="24"/>
              </w:rPr>
              <w:t>m</w:t>
            </w:r>
            <w:r>
              <w:rPr>
                <w:rFonts w:hint="eastAsia"/>
                <w:color w:val="auto"/>
                <w:sz w:val="24"/>
              </w:rPr>
              <w:t>高排气筒排放；在正常工况下，各废气污染物均可达标排放。在严格落实各项废气污染治理措施、制定完善的环境管理制度并有效执行的前提下，本项目废气排放对周边环境影响可接受。</w:t>
            </w:r>
          </w:p>
          <w:p w14:paraId="189D0B7D">
            <w:pPr>
              <w:pStyle w:val="10"/>
              <w:keepNext w:val="0"/>
              <w:keepLines w:val="0"/>
              <w:pageBreakBefore w:val="0"/>
              <w:numPr>
                <w:ilvl w:val="0"/>
                <w:numId w:val="0"/>
              </w:numPr>
              <w:kinsoku/>
              <w:overflowPunct/>
              <w:autoSpaceDE/>
              <w:autoSpaceDN/>
              <w:bidi w:val="0"/>
              <w:snapToGrid w:val="0"/>
              <w:spacing w:after="0" w:line="360" w:lineRule="auto"/>
              <w:ind w:firstLine="482" w:firstLineChars="200"/>
              <w:textAlignment w:val="auto"/>
              <w:rPr>
                <w:rFonts w:hint="default"/>
                <w:b/>
                <w:bCs/>
                <w:color w:val="auto"/>
                <w:lang w:val="en-US" w:eastAsia="zh-CN"/>
              </w:rPr>
            </w:pPr>
            <w:r>
              <w:rPr>
                <w:rFonts w:hint="default" w:ascii="Times New Roman" w:hAnsi="Times New Roman" w:eastAsia="宋体" w:cs="Times New Roman"/>
                <w:b/>
                <w:bCs/>
                <w:color w:val="auto"/>
                <w:sz w:val="24"/>
                <w:szCs w:val="24"/>
                <w:lang w:val="en-US" w:eastAsia="zh-CN" w:bidi="ar-SA"/>
              </w:rPr>
              <w:t>（2）</w:t>
            </w:r>
            <w:r>
              <w:rPr>
                <w:rFonts w:hint="eastAsia"/>
                <w:b/>
                <w:bCs/>
                <w:color w:val="auto"/>
                <w:lang w:val="en-US" w:eastAsia="zh-CN"/>
              </w:rPr>
              <w:t>废水</w:t>
            </w:r>
          </w:p>
          <w:p w14:paraId="7C9D0A8D">
            <w:pPr>
              <w:keepNext w:val="0"/>
              <w:keepLines w:val="0"/>
              <w:pageBreakBefore w:val="0"/>
              <w:kinsoku/>
              <w:overflowPunct/>
              <w:autoSpaceDE/>
              <w:autoSpaceDN/>
              <w:bidi w:val="0"/>
              <w:snapToGrid w:val="0"/>
              <w:spacing w:line="360" w:lineRule="auto"/>
              <w:ind w:firstLine="480" w:firstLineChars="200"/>
              <w:textAlignment w:val="auto"/>
              <w:rPr>
                <w:color w:val="auto"/>
                <w:sz w:val="24"/>
              </w:rPr>
            </w:pPr>
            <w:r>
              <w:rPr>
                <w:rFonts w:hint="eastAsia"/>
                <w:color w:val="auto"/>
                <w:lang w:val="en-US" w:eastAsia="zh-CN"/>
              </w:rPr>
              <w:t>营运期产生的废水主要为员工生活废水及生产废水。</w:t>
            </w:r>
            <w:r>
              <w:rPr>
                <w:rFonts w:hint="eastAsia"/>
                <w:color w:val="auto"/>
                <w:sz w:val="24"/>
              </w:rPr>
              <w:t>生活废水经化粪池处理后汇入厂区总排口接入市政污水管网排</w:t>
            </w:r>
            <w:r>
              <w:rPr>
                <w:rFonts w:hint="eastAsia"/>
                <w:color w:val="auto"/>
                <w:sz w:val="24"/>
                <w:lang w:eastAsia="zh-CN"/>
              </w:rPr>
              <w:t>入</w:t>
            </w:r>
            <w:r>
              <w:rPr>
                <w:rFonts w:hint="eastAsia"/>
                <w:color w:val="auto"/>
                <w:sz w:val="24"/>
              </w:rPr>
              <w:t>舒城经济开发区工业污水处理厂</w:t>
            </w:r>
            <w:r>
              <w:rPr>
                <w:rFonts w:hint="eastAsia"/>
                <w:color w:val="auto"/>
                <w:sz w:val="24"/>
                <w:lang w:eastAsia="zh-CN"/>
              </w:rPr>
              <w:t>；</w:t>
            </w:r>
            <w:r>
              <w:rPr>
                <w:rFonts w:hint="eastAsia" w:ascii="Times New Roman" w:hAnsi="Times New Roman" w:eastAsia="宋体" w:cs="Times New Roman"/>
                <w:color w:val="auto"/>
                <w:kern w:val="0"/>
                <w:sz w:val="24"/>
                <w:szCs w:val="24"/>
                <w:lang w:val="en-US" w:eastAsia="zh-CN" w:bidi="ar-SA"/>
              </w:rPr>
              <w:t>生产废水主要为磷化水洗废水、脱脂水洗废水、水帘废水等。水帘废水经絮凝沉淀后回用，磷化、脱脂水洗废水采用工艺为“pH调节+气浮+混凝沉淀”的污水处理站处理后回用于清洗。</w:t>
            </w:r>
            <w:r>
              <w:rPr>
                <w:color w:val="auto"/>
                <w:sz w:val="24"/>
              </w:rPr>
              <w:t>运营期外排废水经预处理后，废水排放水量为</w:t>
            </w:r>
            <w:r>
              <w:rPr>
                <w:rFonts w:hint="eastAsia"/>
                <w:color w:val="auto"/>
                <w:sz w:val="24"/>
              </w:rPr>
              <w:t>6.45</w:t>
            </w:r>
            <w:r>
              <w:rPr>
                <w:color w:val="auto"/>
                <w:sz w:val="24"/>
              </w:rPr>
              <w:t>t/d，废水排放量很小，其水质能够达到《污水综合排放标准》（GB8978-1996）中三级标准</w:t>
            </w:r>
            <w:r>
              <w:rPr>
                <w:rFonts w:hint="eastAsia"/>
                <w:color w:val="auto"/>
                <w:sz w:val="24"/>
              </w:rPr>
              <w:t>及接管标准</w:t>
            </w:r>
            <w:r>
              <w:rPr>
                <w:color w:val="auto"/>
                <w:sz w:val="24"/>
              </w:rPr>
              <w:t>，满足污水管网接管标准，且污水中不存在影响处理工艺的有毒有害物质，不会对污水处理厂的正常运行造成冲击。</w:t>
            </w:r>
          </w:p>
          <w:p w14:paraId="288F9D9A">
            <w:pPr>
              <w:keepNext w:val="0"/>
              <w:keepLines w:val="0"/>
              <w:pageBreakBefore w:val="0"/>
              <w:kinsoku/>
              <w:overflowPunct/>
              <w:autoSpaceDE/>
              <w:autoSpaceDN/>
              <w:bidi w:val="0"/>
              <w:snapToGrid w:val="0"/>
              <w:spacing w:line="360" w:lineRule="auto"/>
              <w:ind w:firstLine="480" w:firstLineChars="200"/>
              <w:textAlignment w:val="auto"/>
              <w:rPr>
                <w:rFonts w:hint="eastAsia" w:eastAsia="宋体"/>
                <w:color w:val="auto"/>
                <w:lang w:val="en-US" w:eastAsia="zh-CN"/>
              </w:rPr>
            </w:pPr>
            <w:r>
              <w:rPr>
                <w:color w:val="auto"/>
                <w:sz w:val="24"/>
              </w:rPr>
              <w:t>本项目位于</w:t>
            </w:r>
            <w:r>
              <w:rPr>
                <w:rFonts w:hint="eastAsia"/>
                <w:color w:val="auto"/>
                <w:sz w:val="24"/>
              </w:rPr>
              <w:t>安徽省</w:t>
            </w:r>
            <w:r>
              <w:rPr>
                <w:color w:val="auto"/>
                <w:sz w:val="24"/>
              </w:rPr>
              <w:t>舒城县经济开发区纬三路万德产业园3号楼D座，项目区域属于舒城经济开发区污水处理厂收水范围，经现场勘察，</w:t>
            </w:r>
            <w:r>
              <w:rPr>
                <w:rFonts w:hint="eastAsia"/>
                <w:color w:val="auto"/>
                <w:sz w:val="24"/>
              </w:rPr>
              <w:t>纬三路</w:t>
            </w:r>
            <w:r>
              <w:rPr>
                <w:color w:val="auto"/>
                <w:sz w:val="24"/>
              </w:rPr>
              <w:t>市政污水管网已经接通，项目外排废水经</w:t>
            </w:r>
            <w:r>
              <w:rPr>
                <w:rFonts w:hint="eastAsia"/>
                <w:color w:val="auto"/>
                <w:sz w:val="24"/>
              </w:rPr>
              <w:t>纬三路</w:t>
            </w:r>
            <w:r>
              <w:rPr>
                <w:color w:val="auto"/>
                <w:sz w:val="24"/>
              </w:rPr>
              <w:t>市政管网接入舒城经济开发区污水处理厂处理可行。因此，</w:t>
            </w:r>
            <w:r>
              <w:rPr>
                <w:color w:val="auto"/>
                <w:kern w:val="0"/>
                <w:sz w:val="24"/>
                <w:lang w:bidi="ar"/>
              </w:rPr>
              <w:t>本</w:t>
            </w:r>
            <w:r>
              <w:rPr>
                <w:color w:val="auto"/>
                <w:sz w:val="24"/>
                <w:lang w:bidi="ar"/>
              </w:rPr>
              <w:t>项目所采用的废水污染治理措施</w:t>
            </w:r>
            <w:r>
              <w:rPr>
                <w:color w:val="auto"/>
                <w:kern w:val="0"/>
                <w:sz w:val="24"/>
                <w:lang w:bidi="ar"/>
              </w:rPr>
              <w:t>为可行技术。</w:t>
            </w:r>
          </w:p>
          <w:p w14:paraId="3FCCEEAA">
            <w:pPr>
              <w:pStyle w:val="10"/>
              <w:keepNext w:val="0"/>
              <w:keepLines w:val="0"/>
              <w:pageBreakBefore w:val="0"/>
              <w:numPr>
                <w:ilvl w:val="0"/>
                <w:numId w:val="0"/>
              </w:numPr>
              <w:kinsoku/>
              <w:overflowPunct/>
              <w:autoSpaceDE/>
              <w:autoSpaceDN/>
              <w:bidi w:val="0"/>
              <w:snapToGrid w:val="0"/>
              <w:spacing w:after="0" w:line="360" w:lineRule="auto"/>
              <w:ind w:firstLine="482" w:firstLineChars="200"/>
              <w:textAlignment w:val="auto"/>
              <w:rPr>
                <w:rFonts w:hint="default"/>
                <w:b/>
                <w:bCs/>
                <w:color w:val="auto"/>
                <w:lang w:val="en-US" w:eastAsia="zh-CN"/>
              </w:rPr>
            </w:pPr>
            <w:r>
              <w:rPr>
                <w:rFonts w:hint="default" w:ascii="Times New Roman" w:hAnsi="Times New Roman" w:eastAsia="宋体" w:cs="Times New Roman"/>
                <w:b/>
                <w:bCs/>
                <w:color w:val="auto"/>
                <w:sz w:val="24"/>
                <w:szCs w:val="24"/>
                <w:lang w:val="en-US" w:eastAsia="zh-CN" w:bidi="ar-SA"/>
              </w:rPr>
              <w:t>（3）</w:t>
            </w:r>
            <w:r>
              <w:rPr>
                <w:rFonts w:hint="eastAsia"/>
                <w:b/>
                <w:bCs/>
                <w:color w:val="auto"/>
                <w:lang w:val="en-US" w:eastAsia="zh-CN"/>
              </w:rPr>
              <w:t>噪声</w:t>
            </w:r>
          </w:p>
          <w:p w14:paraId="477E187F">
            <w:pPr>
              <w:keepNext w:val="0"/>
              <w:keepLines w:val="0"/>
              <w:pageBreakBefore w:val="0"/>
              <w:kinsoku/>
              <w:overflowPunct/>
              <w:autoSpaceDE/>
              <w:autoSpaceDN/>
              <w:bidi w:val="0"/>
              <w:adjustRightInd w:val="0"/>
              <w:snapToGrid w:val="0"/>
              <w:spacing w:line="360" w:lineRule="auto"/>
              <w:ind w:firstLine="480" w:firstLineChars="200"/>
              <w:textAlignment w:val="auto"/>
              <w:rPr>
                <w:color w:val="auto"/>
                <w:sz w:val="24"/>
              </w:rPr>
            </w:pPr>
            <w:r>
              <w:rPr>
                <w:color w:val="auto"/>
                <w:sz w:val="24"/>
              </w:rPr>
              <w:t>噪声源主要为</w:t>
            </w:r>
            <w:r>
              <w:rPr>
                <w:rFonts w:hint="eastAsia"/>
                <w:color w:val="auto"/>
                <w:sz w:val="24"/>
              </w:rPr>
              <w:t>剪板机</w:t>
            </w:r>
            <w:r>
              <w:rPr>
                <w:color w:val="auto"/>
                <w:sz w:val="24"/>
              </w:rPr>
              <w:t>、</w:t>
            </w:r>
            <w:r>
              <w:rPr>
                <w:rFonts w:hint="eastAsia"/>
                <w:color w:val="auto"/>
                <w:sz w:val="24"/>
              </w:rPr>
              <w:t>折边机、折弯机、冲床</w:t>
            </w:r>
            <w:r>
              <w:rPr>
                <w:color w:val="auto"/>
                <w:sz w:val="24"/>
              </w:rPr>
              <w:t>等设备运行时产生的噪声</w:t>
            </w:r>
            <w:r>
              <w:rPr>
                <w:rFonts w:hint="eastAsia"/>
                <w:color w:val="auto"/>
                <w:sz w:val="24"/>
              </w:rPr>
              <w:t>，其声级为75-90dB（A），生产设备全部在厂房内设置，对产噪设备采取隔震垫、隔声等方法处理</w:t>
            </w:r>
            <w:r>
              <w:rPr>
                <w:rFonts w:hint="eastAsia"/>
                <w:color w:val="auto"/>
                <w:sz w:val="24"/>
                <w:lang w:eastAsia="zh-CN"/>
              </w:rPr>
              <w:t>。</w:t>
            </w:r>
            <w:r>
              <w:rPr>
                <w:color w:val="auto"/>
                <w:sz w:val="24"/>
              </w:rPr>
              <w:t>为防止噪声对周边环境产生不利影响，</w:t>
            </w:r>
            <w:r>
              <w:rPr>
                <w:rFonts w:hint="eastAsia"/>
                <w:color w:val="auto"/>
                <w:sz w:val="24"/>
                <w:lang w:eastAsia="zh-CN"/>
              </w:rPr>
              <w:t>本项目</w:t>
            </w:r>
            <w:r>
              <w:rPr>
                <w:color w:val="auto"/>
                <w:sz w:val="24"/>
              </w:rPr>
              <w:t>采取如下噪声防护措施：</w:t>
            </w:r>
          </w:p>
          <w:p w14:paraId="23A3CC0D">
            <w:pPr>
              <w:keepNext w:val="0"/>
              <w:keepLines w:val="0"/>
              <w:pageBreakBefore w:val="0"/>
              <w:kinsoku/>
              <w:overflowPunct/>
              <w:autoSpaceDE/>
              <w:autoSpaceDN/>
              <w:bidi w:val="0"/>
              <w:snapToGrid w:val="0"/>
              <w:spacing w:line="360" w:lineRule="auto"/>
              <w:ind w:firstLine="480" w:firstLineChars="200"/>
              <w:textAlignment w:val="auto"/>
              <w:rPr>
                <w:bCs/>
                <w:color w:val="auto"/>
                <w:sz w:val="24"/>
              </w:rPr>
            </w:pPr>
            <w:r>
              <w:rPr>
                <w:rFonts w:hint="eastAsia" w:ascii="宋体" w:hAnsi="宋体" w:cs="宋体"/>
                <w:color w:val="auto"/>
                <w:sz w:val="24"/>
              </w:rPr>
              <w:t>①</w:t>
            </w:r>
            <w:r>
              <w:rPr>
                <w:color w:val="auto"/>
                <w:sz w:val="24"/>
              </w:rPr>
              <w:t>合理安排强噪声设备位置，大大降低噪声对环境的影响，避免噪声改变区域声环境现状。</w:t>
            </w:r>
          </w:p>
          <w:p w14:paraId="33D14F3B">
            <w:pPr>
              <w:keepNext w:val="0"/>
              <w:keepLines w:val="0"/>
              <w:pageBreakBefore w:val="0"/>
              <w:kinsoku/>
              <w:overflowPunct/>
              <w:autoSpaceDE/>
              <w:autoSpaceDN/>
              <w:bidi w:val="0"/>
              <w:snapToGrid w:val="0"/>
              <w:spacing w:line="360" w:lineRule="auto"/>
              <w:ind w:firstLine="480" w:firstLineChars="200"/>
              <w:textAlignment w:val="auto"/>
              <w:rPr>
                <w:color w:val="auto"/>
                <w:sz w:val="24"/>
              </w:rPr>
            </w:pPr>
            <w:r>
              <w:rPr>
                <w:rFonts w:hint="eastAsia" w:ascii="宋体" w:hAnsi="宋体" w:cs="宋体"/>
                <w:color w:val="auto"/>
                <w:sz w:val="24"/>
              </w:rPr>
              <w:t>②</w:t>
            </w:r>
            <w:r>
              <w:rPr>
                <w:color w:val="auto"/>
                <w:sz w:val="24"/>
              </w:rPr>
              <w:t>选用低噪声设备，同时安装隔声、消声、减震装置，加上合理布局、厂房隔声、距离衰减、加强绿化等措施。</w:t>
            </w:r>
          </w:p>
          <w:p w14:paraId="3C449F81">
            <w:pPr>
              <w:keepNext w:val="0"/>
              <w:keepLines w:val="0"/>
              <w:pageBreakBefore w:val="0"/>
              <w:kinsoku/>
              <w:overflowPunct/>
              <w:autoSpaceDE/>
              <w:autoSpaceDN/>
              <w:bidi w:val="0"/>
              <w:snapToGrid w:val="0"/>
              <w:spacing w:line="360" w:lineRule="auto"/>
              <w:ind w:firstLine="480" w:firstLineChars="200"/>
              <w:textAlignment w:val="auto"/>
              <w:rPr>
                <w:color w:val="auto"/>
                <w:sz w:val="24"/>
              </w:rPr>
            </w:pPr>
            <w:r>
              <w:rPr>
                <w:rFonts w:hint="eastAsia" w:ascii="宋体" w:hAnsi="宋体" w:cs="宋体"/>
                <w:color w:val="auto"/>
                <w:sz w:val="24"/>
              </w:rPr>
              <w:t>③</w:t>
            </w:r>
            <w:r>
              <w:rPr>
                <w:color w:val="auto"/>
                <w:sz w:val="24"/>
              </w:rPr>
              <w:t>合理布置风机机组位置，尽量远离项目区边界，风机机组等设置单独的设备房，适当采取吸声、隔声及消声措施。</w:t>
            </w:r>
          </w:p>
          <w:p w14:paraId="08E02C2D">
            <w:pPr>
              <w:keepNext w:val="0"/>
              <w:keepLines w:val="0"/>
              <w:pageBreakBefore w:val="0"/>
              <w:kinsoku/>
              <w:overflowPunct/>
              <w:autoSpaceDE/>
              <w:autoSpaceDN/>
              <w:bidi w:val="0"/>
              <w:snapToGrid w:val="0"/>
              <w:spacing w:line="360" w:lineRule="auto"/>
              <w:ind w:firstLine="480" w:firstLineChars="200"/>
              <w:textAlignment w:val="auto"/>
              <w:rPr>
                <w:rFonts w:hint="eastAsia" w:eastAsia="宋体"/>
                <w:color w:val="auto"/>
                <w:lang w:val="en-US" w:eastAsia="zh-CN"/>
              </w:rPr>
            </w:pPr>
            <w:r>
              <w:rPr>
                <w:color w:val="auto"/>
                <w:sz w:val="24"/>
              </w:rPr>
              <w:t>采取上述噪声控制措施后，项目噪声排放对周围环境影响在可接受范围内，噪声防治措施可行。该项目的厂界噪声值能够到达《工业企业厂界环境噪声排放标准》（GB12348-2008）中</w:t>
            </w:r>
            <w:r>
              <w:rPr>
                <w:rFonts w:hint="eastAsia"/>
                <w:color w:val="auto"/>
                <w:sz w:val="24"/>
              </w:rPr>
              <w:t>3</w:t>
            </w:r>
            <w:r>
              <w:rPr>
                <w:color w:val="auto"/>
                <w:sz w:val="24"/>
              </w:rPr>
              <w:t>类区标准。</w:t>
            </w:r>
          </w:p>
          <w:p w14:paraId="41BAC969">
            <w:pPr>
              <w:pStyle w:val="10"/>
              <w:keepNext w:val="0"/>
              <w:keepLines w:val="0"/>
              <w:pageBreakBefore w:val="0"/>
              <w:numPr>
                <w:ilvl w:val="0"/>
                <w:numId w:val="0"/>
              </w:numPr>
              <w:kinsoku/>
              <w:overflowPunct/>
              <w:autoSpaceDE/>
              <w:autoSpaceDN/>
              <w:bidi w:val="0"/>
              <w:snapToGrid w:val="0"/>
              <w:spacing w:after="0" w:line="360" w:lineRule="auto"/>
              <w:ind w:firstLine="482" w:firstLineChars="200"/>
              <w:textAlignment w:val="auto"/>
              <w:rPr>
                <w:rFonts w:hint="default"/>
                <w:b/>
                <w:bCs/>
                <w:color w:val="auto"/>
                <w:lang w:val="en-US" w:eastAsia="zh-CN"/>
              </w:rPr>
            </w:pPr>
            <w:r>
              <w:rPr>
                <w:rFonts w:hint="default" w:ascii="Times New Roman" w:hAnsi="Times New Roman" w:eastAsia="宋体" w:cs="Times New Roman"/>
                <w:b/>
                <w:bCs/>
                <w:color w:val="auto"/>
                <w:sz w:val="24"/>
                <w:szCs w:val="24"/>
                <w:lang w:val="en-US" w:eastAsia="zh-CN" w:bidi="ar-SA"/>
              </w:rPr>
              <w:t>（4）</w:t>
            </w:r>
            <w:r>
              <w:rPr>
                <w:rFonts w:hint="eastAsia"/>
                <w:b/>
                <w:bCs/>
                <w:color w:val="auto"/>
                <w:lang w:val="en-US" w:eastAsia="zh-CN"/>
              </w:rPr>
              <w:t>固体废物</w:t>
            </w:r>
          </w:p>
          <w:p w14:paraId="2259C0C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color w:val="auto"/>
                <w:sz w:val="24"/>
                <w:lang w:val="zh-CN"/>
              </w:rPr>
            </w:pPr>
            <w:r>
              <w:rPr>
                <w:color w:val="auto"/>
                <w:kern w:val="0"/>
                <w:sz w:val="24"/>
              </w:rPr>
              <w:t>营运期固废主要包括</w:t>
            </w:r>
            <w:r>
              <w:rPr>
                <w:rFonts w:hint="eastAsia"/>
                <w:color w:val="auto"/>
                <w:kern w:val="0"/>
                <w:sz w:val="24"/>
              </w:rPr>
              <w:t>一般工业固体废物（边角料、废焊渣、废滤芯、废包装材料），危险废物（废槽渣、废润滑油、废润滑油桶、废漆桶、废发泡剂桶、废过滤棉、漆渣、废活性炭）以及</w:t>
            </w:r>
            <w:r>
              <w:rPr>
                <w:color w:val="auto"/>
                <w:kern w:val="0"/>
                <w:sz w:val="24"/>
              </w:rPr>
              <w:t>生活垃圾</w:t>
            </w:r>
            <w:r>
              <w:rPr>
                <w:color w:val="auto"/>
                <w:sz w:val="24"/>
                <w:lang w:val="zh-CN"/>
              </w:rPr>
              <w:t>。项目设置垃圾桶，将生活垃圾及时扔进垃圾桶，由环卫部统一清运、处置，避免长时间堆置腐烂产生异味，处理后生活垃圾对环境的影响较小</w:t>
            </w:r>
            <w:r>
              <w:rPr>
                <w:rFonts w:hint="eastAsia"/>
                <w:color w:val="auto"/>
                <w:sz w:val="24"/>
                <w:lang w:val="zh-CN"/>
              </w:rPr>
              <w:t>；</w:t>
            </w:r>
            <w:r>
              <w:rPr>
                <w:rFonts w:hint="eastAsia"/>
                <w:color w:val="auto"/>
                <w:kern w:val="0"/>
                <w:sz w:val="24"/>
              </w:rPr>
              <w:t>边角料、废焊渣、废滤芯、废包装材料</w:t>
            </w:r>
            <w:r>
              <w:rPr>
                <w:rFonts w:hint="eastAsia"/>
                <w:color w:val="auto"/>
                <w:kern w:val="0"/>
                <w:sz w:val="24"/>
                <w:lang w:eastAsia="zh-CN"/>
              </w:rPr>
              <w:t>等一般工业固体废物收集后定期外售或厂家回收利用；</w:t>
            </w:r>
            <w:r>
              <w:rPr>
                <w:rFonts w:hint="eastAsia"/>
                <w:color w:val="auto"/>
                <w:kern w:val="0"/>
                <w:sz w:val="24"/>
              </w:rPr>
              <w:t>废槽渣、废润滑油、废润滑油桶、废漆桶、废发泡剂桶、废过滤棉、漆渣、废活性炭</w:t>
            </w:r>
            <w:r>
              <w:rPr>
                <w:color w:val="auto"/>
                <w:sz w:val="24"/>
                <w:lang w:val="zh-CN"/>
              </w:rPr>
              <w:t>等均属于危险废物，应委托有资质单位处置。</w:t>
            </w:r>
          </w:p>
          <w:p w14:paraId="38D16E3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color w:val="auto"/>
                <w:sz w:val="24"/>
                <w:lang w:val="zh-CN"/>
              </w:rPr>
            </w:pPr>
            <w:r>
              <w:rPr>
                <w:color w:val="auto"/>
                <w:sz w:val="24"/>
                <w:lang w:val="zh-CN"/>
              </w:rPr>
              <w:t>依据危险废物处置管理的相关法律法规，对危险废物进行申报登记；对危险废物的容器和包装物以及收集、贮存、运输、处置危险废物的设施、场所，必须设置危险废物识别标志；运输危险废物，必须采取防止污染环境的措施，并遵守国家有关危险货物运输管理的规定。收集容器要加盖密封以防挥发，并进行标示。严禁将危险废物混入其他废物和生活垃圾中处理。</w:t>
            </w:r>
            <w:r>
              <w:rPr>
                <w:rFonts w:hint="eastAsia"/>
                <w:color w:val="auto"/>
                <w:sz w:val="24"/>
                <w:lang w:val="zh-CN"/>
              </w:rPr>
              <w:t>废槽液、</w:t>
            </w:r>
            <w:r>
              <w:rPr>
                <w:rFonts w:hint="eastAsia"/>
                <w:color w:val="auto"/>
                <w:kern w:val="0"/>
                <w:sz w:val="24"/>
              </w:rPr>
              <w:t>废槽渣、废润滑油、废润滑油桶、废漆桶、废发泡剂桶、废过滤棉、漆渣、废活性炭</w:t>
            </w:r>
            <w:r>
              <w:rPr>
                <w:color w:val="auto"/>
                <w:sz w:val="24"/>
                <w:lang w:val="zh-CN"/>
              </w:rPr>
              <w:t>等经收集后，暂存于危险废物暂存场所内，并按危废库管理要求管理。</w:t>
            </w:r>
          </w:p>
          <w:p w14:paraId="6B887B1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color w:val="auto"/>
                <w:lang w:val="en-US" w:eastAsia="zh-CN"/>
              </w:rPr>
            </w:pPr>
            <w:r>
              <w:rPr>
                <w:color w:val="auto"/>
                <w:sz w:val="24"/>
                <w:lang w:val="zh-CN"/>
              </w:rPr>
              <w:t>通过采取以上措施，项目产生的固体废物均得到合理处置，不对外环境产生影响。</w:t>
            </w:r>
          </w:p>
          <w:p w14:paraId="61F985FA">
            <w:pPr>
              <w:pStyle w:val="10"/>
              <w:keepNext w:val="0"/>
              <w:keepLines w:val="0"/>
              <w:pageBreakBefore w:val="0"/>
              <w:numPr>
                <w:ilvl w:val="0"/>
                <w:numId w:val="0"/>
              </w:numPr>
              <w:kinsoku/>
              <w:overflowPunct/>
              <w:autoSpaceDE/>
              <w:autoSpaceDN/>
              <w:bidi w:val="0"/>
              <w:snapToGrid w:val="0"/>
              <w:spacing w:after="0" w:line="360" w:lineRule="auto"/>
              <w:ind w:firstLine="482" w:firstLineChars="200"/>
              <w:textAlignment w:val="auto"/>
              <w:rPr>
                <w:rFonts w:hint="default"/>
                <w:b/>
                <w:bCs/>
                <w:color w:val="auto"/>
                <w:lang w:val="en-US" w:eastAsia="zh-CN"/>
              </w:rPr>
            </w:pPr>
            <w:r>
              <w:rPr>
                <w:rFonts w:hint="default" w:ascii="Times New Roman" w:hAnsi="Times New Roman" w:eastAsia="宋体" w:cs="Times New Roman"/>
                <w:b/>
                <w:bCs/>
                <w:color w:val="auto"/>
                <w:sz w:val="24"/>
                <w:szCs w:val="24"/>
                <w:lang w:val="en-US" w:eastAsia="zh-CN" w:bidi="ar-SA"/>
              </w:rPr>
              <w:t>（5）</w:t>
            </w:r>
            <w:r>
              <w:rPr>
                <w:rFonts w:hint="eastAsia"/>
                <w:b/>
                <w:bCs/>
                <w:color w:val="auto"/>
                <w:lang w:val="en-US" w:eastAsia="zh-CN"/>
              </w:rPr>
              <w:t>结论</w:t>
            </w:r>
          </w:p>
          <w:p w14:paraId="2D58480E">
            <w:pPr>
              <w:keepNext w:val="0"/>
              <w:keepLines w:val="0"/>
              <w:pageBreakBefore w:val="0"/>
              <w:kinsoku/>
              <w:overflowPunct/>
              <w:autoSpaceDE/>
              <w:autoSpaceDN/>
              <w:bidi w:val="0"/>
              <w:snapToGrid w:val="0"/>
              <w:spacing w:line="360" w:lineRule="auto"/>
              <w:ind w:firstLine="480" w:firstLineChars="200"/>
              <w:textAlignment w:val="auto"/>
              <w:rPr>
                <w:rFonts w:hAnsi="宋体"/>
                <w:color w:val="auto"/>
                <w:sz w:val="24"/>
              </w:rPr>
            </w:pPr>
            <w:r>
              <w:rPr>
                <w:rFonts w:hAnsi="宋体"/>
                <w:color w:val="auto"/>
                <w:sz w:val="24"/>
              </w:rPr>
              <w:t>项目的建设符合国家和地方的产业政策，符合当地建设用地规划和产业布局要求，该项目建成后落实本评价要求的污染防治措施，认真履行</w:t>
            </w:r>
            <w:r>
              <w:rPr>
                <w:rFonts w:hint="eastAsia" w:hAnsi="宋体"/>
                <w:color w:val="auto"/>
                <w:sz w:val="24"/>
              </w:rPr>
              <w:t>“</w:t>
            </w:r>
            <w:r>
              <w:rPr>
                <w:rFonts w:hAnsi="宋体"/>
                <w:color w:val="auto"/>
                <w:sz w:val="24"/>
              </w:rPr>
              <w:t>三同时</w:t>
            </w:r>
            <w:r>
              <w:rPr>
                <w:rFonts w:hint="eastAsia" w:hAnsi="宋体"/>
                <w:color w:val="auto"/>
                <w:sz w:val="24"/>
              </w:rPr>
              <w:t>”</w:t>
            </w:r>
            <w:r>
              <w:rPr>
                <w:rFonts w:hAnsi="宋体"/>
                <w:color w:val="auto"/>
                <w:sz w:val="24"/>
              </w:rPr>
              <w:t>制度后，各项污染物均可实现达标排放，不会降低评价区域原有环境质量功能级别。项目建设与区域环境相容。因而从环境保护的角度而言，该项目是可行的。</w:t>
            </w:r>
          </w:p>
          <w:p w14:paraId="46F55E75">
            <w:pPr>
              <w:keepNext w:val="0"/>
              <w:keepLines w:val="0"/>
              <w:pageBreakBefore w:val="0"/>
              <w:kinsoku/>
              <w:overflowPunct/>
              <w:autoSpaceDE/>
              <w:autoSpaceDN/>
              <w:bidi w:val="0"/>
              <w:snapToGrid w:val="0"/>
              <w:textAlignment w:val="auto"/>
              <w:rPr>
                <w:b/>
                <w:bCs/>
                <w:color w:val="auto"/>
              </w:rPr>
            </w:pPr>
            <w:r>
              <w:rPr>
                <w:rFonts w:hint="eastAsia"/>
                <w:b/>
                <w:bCs/>
                <w:color w:val="auto"/>
                <w:lang w:val="en-US" w:eastAsia="zh-CN"/>
              </w:rPr>
              <w:t>2</w:t>
            </w:r>
            <w:r>
              <w:rPr>
                <w:b/>
                <w:bCs/>
                <w:color w:val="auto"/>
              </w:rPr>
              <w:t>、</w:t>
            </w:r>
            <w:r>
              <w:rPr>
                <w:rFonts w:hint="default"/>
                <w:b/>
                <w:bCs/>
                <w:color w:val="auto"/>
                <w:lang w:val="en-US" w:eastAsia="zh-CN"/>
              </w:rPr>
              <w:t>关于项目环境影响报告书的批复</w:t>
            </w:r>
          </w:p>
          <w:p w14:paraId="09CB41AF">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一、项目概况及批复意见</w:t>
            </w:r>
          </w:p>
          <w:p w14:paraId="1C6BC2A1">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舒城润昇门业有限公司钢制非标门加工制造项目位于舒城经济开发区城关园区纬三路万德产业园3号楼D座，租赁建筑面积约4050m²，项目总投资1100万元。前处理主要生产工艺为</w:t>
            </w:r>
            <w:r>
              <w:rPr>
                <w:rFonts w:hint="eastAsia"/>
                <w:b w:val="0"/>
                <w:bCs w:val="0"/>
                <w:color w:val="auto"/>
                <w:sz w:val="24"/>
                <w:lang w:eastAsia="zh-CN"/>
              </w:rPr>
              <w:t>：</w:t>
            </w:r>
            <w:r>
              <w:rPr>
                <w:rFonts w:hint="eastAsia" w:ascii="Times New Roman" w:hAnsi="Times New Roman"/>
                <w:b w:val="0"/>
                <w:bCs w:val="0"/>
                <w:color w:val="auto"/>
                <w:sz w:val="24"/>
                <w:lang w:eastAsia="zh-CN"/>
              </w:rPr>
              <w:t>将钢带剪切冲孔、折弯成型、脱脂、水洗、表调、磷化、水洗、自然晾干、切角、焊接等工序加工，喷涂主要生产工艺为</w:t>
            </w:r>
            <w:r>
              <w:rPr>
                <w:rFonts w:hint="eastAsia"/>
                <w:b w:val="0"/>
                <w:bCs w:val="0"/>
                <w:color w:val="auto"/>
                <w:sz w:val="24"/>
                <w:lang w:eastAsia="zh-CN"/>
              </w:rPr>
              <w:t>：</w:t>
            </w:r>
            <w:r>
              <w:rPr>
                <w:rFonts w:hint="eastAsia" w:ascii="Times New Roman" w:hAnsi="Times New Roman"/>
                <w:b w:val="0"/>
                <w:bCs w:val="0"/>
                <w:color w:val="auto"/>
                <w:sz w:val="24"/>
                <w:lang w:eastAsia="zh-CN"/>
              </w:rPr>
              <w:t>将前处理工件喷塑、固化、喷漆、烘干、喷漆、烘干、人工组装等工序加工，可实现年产钢制非标门10000樘的生产能力。</w:t>
            </w:r>
          </w:p>
          <w:p w14:paraId="3A9FD5B7">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项目建设符合国家产业政策、区域环境政策及舒城经济开发区杭埠园区总体规划及其规划环评要求</w:t>
            </w:r>
            <w:r>
              <w:rPr>
                <w:rFonts w:hint="eastAsia"/>
                <w:b w:val="0"/>
                <w:bCs w:val="0"/>
                <w:color w:val="auto"/>
                <w:sz w:val="24"/>
                <w:lang w:eastAsia="zh-CN"/>
              </w:rPr>
              <w:t>。</w:t>
            </w:r>
            <w:r>
              <w:rPr>
                <w:rFonts w:hint="eastAsia" w:ascii="Times New Roman" w:hAnsi="Times New Roman"/>
                <w:b w:val="0"/>
                <w:bCs w:val="0"/>
                <w:color w:val="auto"/>
                <w:sz w:val="24"/>
                <w:lang w:eastAsia="zh-CN"/>
              </w:rPr>
              <w:t>在全面落实环评文件提出的各项污染防治措施和风险防范措施的前提下，结合专家审查意见，从环境管理角度，原则同意项目按照</w:t>
            </w:r>
            <w:r>
              <w:rPr>
                <w:rFonts w:hint="eastAsia"/>
                <w:b w:val="0"/>
                <w:bCs w:val="0"/>
                <w:color w:val="auto"/>
                <w:sz w:val="24"/>
                <w:lang w:eastAsia="zh-CN"/>
              </w:rPr>
              <w:t>安徽锦环环境科技有限公司</w:t>
            </w:r>
            <w:r>
              <w:rPr>
                <w:rFonts w:hint="eastAsia" w:ascii="Times New Roman" w:hAnsi="Times New Roman"/>
                <w:b w:val="0"/>
                <w:bCs w:val="0"/>
                <w:color w:val="auto"/>
                <w:sz w:val="24"/>
                <w:lang w:eastAsia="zh-CN"/>
              </w:rPr>
              <w:t>编制的《报告表》及本审批意见要求进行建设。</w:t>
            </w:r>
          </w:p>
          <w:p w14:paraId="5ADA609F">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二、污染防治措施要求</w:t>
            </w:r>
          </w:p>
          <w:p w14:paraId="1EDFB69B">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为保护区域环境质量不因本项目建设而降低，项目设计、建设和运行须做到以下要求:</w:t>
            </w:r>
          </w:p>
          <w:p w14:paraId="790A81AC">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1.切实做好项目废气的有效收集和规范处置。封闭胶合、喷塑、固化喷漆车间，胶合工序产生的废气经集气罩+二级活性炭处理后</w:t>
            </w:r>
            <w:r>
              <w:rPr>
                <w:rFonts w:hint="eastAsia" w:ascii="Times New Roman" w:hAnsi="Times New Roman"/>
                <w:b w:val="0"/>
                <w:bCs w:val="0"/>
                <w:color w:val="auto"/>
                <w:sz w:val="24"/>
                <w:u w:val="none"/>
                <w:lang w:eastAsia="zh-CN"/>
              </w:rPr>
              <w:t>，通过15米高排气筒排放</w:t>
            </w:r>
            <w:r>
              <w:rPr>
                <w:rFonts w:hint="eastAsia"/>
                <w:b w:val="0"/>
                <w:bCs w:val="0"/>
                <w:color w:val="auto"/>
                <w:sz w:val="24"/>
                <w:lang w:eastAsia="zh-CN"/>
              </w:rPr>
              <w:t>；</w:t>
            </w:r>
            <w:r>
              <w:rPr>
                <w:rFonts w:hint="eastAsia" w:ascii="Times New Roman" w:hAnsi="Times New Roman"/>
                <w:b w:val="0"/>
                <w:bCs w:val="0"/>
                <w:color w:val="auto"/>
                <w:sz w:val="24"/>
                <w:lang w:eastAsia="zh-CN"/>
              </w:rPr>
              <w:t>喷粉工序产生的粉尘经负压收集+滤芯过滤+布袋除尘器处理</w:t>
            </w:r>
            <w:r>
              <w:rPr>
                <w:rFonts w:hint="eastAsia"/>
                <w:b w:val="0"/>
                <w:bCs w:val="0"/>
                <w:color w:val="auto"/>
                <w:sz w:val="24"/>
                <w:lang w:eastAsia="zh-CN"/>
              </w:rPr>
              <w:t>，</w:t>
            </w:r>
            <w:r>
              <w:rPr>
                <w:rFonts w:hint="eastAsia" w:ascii="Times New Roman" w:hAnsi="Times New Roman"/>
                <w:b w:val="0"/>
                <w:bCs w:val="0"/>
                <w:color w:val="auto"/>
                <w:sz w:val="24"/>
                <w:lang w:eastAsia="zh-CN"/>
              </w:rPr>
              <w:t>焊接烟尘经移动式焊接烟尘净化器处理，</w:t>
            </w:r>
            <w:r>
              <w:rPr>
                <w:rFonts w:hint="eastAsia" w:ascii="Times New Roman" w:hAnsi="Times New Roman"/>
                <w:b w:val="0"/>
                <w:bCs w:val="0"/>
                <w:color w:val="auto"/>
                <w:sz w:val="24"/>
                <w:u w:val="none"/>
                <w:lang w:eastAsia="zh-CN"/>
              </w:rPr>
              <w:t>通过15米高排气筒排放</w:t>
            </w:r>
            <w:r>
              <w:rPr>
                <w:rFonts w:hint="eastAsia"/>
                <w:b w:val="0"/>
                <w:bCs w:val="0"/>
                <w:color w:val="auto"/>
                <w:sz w:val="24"/>
                <w:lang w:eastAsia="zh-CN"/>
              </w:rPr>
              <w:t>；</w:t>
            </w:r>
            <w:r>
              <w:rPr>
                <w:rFonts w:hint="eastAsia" w:ascii="Times New Roman" w:hAnsi="Times New Roman"/>
                <w:b w:val="0"/>
                <w:bCs w:val="0"/>
                <w:color w:val="auto"/>
                <w:sz w:val="24"/>
                <w:lang w:eastAsia="zh-CN"/>
              </w:rPr>
              <w:t>胶合废气经二级活性吸附处理，固化喷漆废气经负压收集+水帘柜+二级活性吸附处理</w:t>
            </w:r>
            <w:r>
              <w:rPr>
                <w:rFonts w:hint="eastAsia" w:ascii="Times New Roman" w:hAnsi="Times New Roman"/>
                <w:b w:val="0"/>
                <w:bCs w:val="0"/>
                <w:color w:val="auto"/>
                <w:sz w:val="24"/>
                <w:u w:val="none"/>
                <w:lang w:eastAsia="zh-CN"/>
              </w:rPr>
              <w:t>，通过15米高排气筒排放</w:t>
            </w:r>
            <w:r>
              <w:rPr>
                <w:rFonts w:hint="eastAsia" w:ascii="Times New Roman" w:hAnsi="Times New Roman"/>
                <w:b w:val="0"/>
                <w:bCs w:val="0"/>
                <w:color w:val="auto"/>
                <w:sz w:val="24"/>
                <w:lang w:eastAsia="zh-CN"/>
              </w:rPr>
              <w:t>，确保颗粒物、VOCs排放满足建设单位报送的环评文本中提出的上海市《大气污染物污染物综合排放标准》(DB31/933-2015)中的标准要求，厂区内VOCs无组织排放执行《挥发性有机物无组织排放控制标准》(GB37822-2019)中的标准要求，烘干固化工段采用天然气燃烧器加热，实行低氮燃烧，燃烧废气排放满足建设单位报送的环评文本中提出的上海市《工业炉窑大气污染物排放标准》(DB31/860-2014)中的标准要求。食堂油烟排放满足《饮食业油烟排放标准》(试行)(GB18483-2001)要求。</w:t>
            </w:r>
          </w:p>
          <w:p w14:paraId="6D847F6A">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2.严格按照“雨污分流，一口对外”的标准要求，规范雨、污管网建设。生产废水经厂区自建污水处理设施处理后，回用于生产，不外排。经隔油池、化粪池处理的生活废水达到《污水综合排放标准》(GB8978-1996)三级标准，并达到杭埠镇污水处理厂接管要求，进入杭埠镇污水处理厂深度处理，达标排放。</w:t>
            </w:r>
          </w:p>
          <w:p w14:paraId="67F8DE34">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3.规范废槽渣、废润滑油、废润滑油桶、废漆桶、废发泡剂桶、废过滤棉、漆渣、废活性炭等危险废物的收集、暂存、处置和管理</w:t>
            </w:r>
            <w:r>
              <w:rPr>
                <w:rFonts w:hint="eastAsia"/>
                <w:b w:val="0"/>
                <w:bCs w:val="0"/>
                <w:color w:val="auto"/>
                <w:sz w:val="24"/>
                <w:lang w:eastAsia="zh-CN"/>
              </w:rPr>
              <w:t>；</w:t>
            </w:r>
            <w:r>
              <w:rPr>
                <w:rFonts w:hint="eastAsia" w:ascii="Times New Roman" w:hAnsi="Times New Roman"/>
                <w:b w:val="0"/>
                <w:bCs w:val="0"/>
                <w:color w:val="auto"/>
                <w:sz w:val="24"/>
                <w:lang w:eastAsia="zh-CN"/>
              </w:rPr>
              <w:t>切实做好废金属边角料、废包装材料、焊接净化器收集烟尘、废滤芯等工业固废的综合利用或规范处置</w:t>
            </w:r>
            <w:r>
              <w:rPr>
                <w:rFonts w:hint="eastAsia"/>
                <w:b w:val="0"/>
                <w:bCs w:val="0"/>
                <w:color w:val="auto"/>
                <w:sz w:val="24"/>
                <w:lang w:eastAsia="zh-CN"/>
              </w:rPr>
              <w:t>；</w:t>
            </w:r>
            <w:r>
              <w:rPr>
                <w:rFonts w:hint="eastAsia" w:ascii="Times New Roman" w:hAnsi="Times New Roman"/>
                <w:b w:val="0"/>
                <w:bCs w:val="0"/>
                <w:color w:val="auto"/>
                <w:sz w:val="24"/>
                <w:lang w:eastAsia="zh-CN"/>
              </w:rPr>
              <w:t>生活垃圾统一纳入城乡环卫一体化管理，日产日清。</w:t>
            </w:r>
          </w:p>
          <w:p w14:paraId="1FC08576">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4.切实做好剪板机、下料机等噪声源强的减振、降噪及其生产车间封闭，强化企业内部环境管理，规范操作行为，确保厂界环境噪声达到《工业企业厂界环境噪声排放标准》(GB12348-2008)中3类标准，敏感点执行2类标准。</w:t>
            </w:r>
          </w:p>
          <w:p w14:paraId="2F2D39F7">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5.规范建设危险化学品仓库，严格落实分区存放，防渗、防漏，建设围堰、事故应急池等风险防范措施，编制应急预案，购买应急物资，加强应急演练。</w:t>
            </w:r>
          </w:p>
          <w:p w14:paraId="2E6C6F99">
            <w:pPr>
              <w:keepNext w:val="0"/>
              <w:keepLines w:val="0"/>
              <w:pageBreakBefore w:val="0"/>
              <w:kinsoku/>
              <w:overflowPunct/>
              <w:autoSpaceDE/>
              <w:autoSpaceDN/>
              <w:bidi w:val="0"/>
              <w:snapToGrid w:val="0"/>
              <w:spacing w:line="360" w:lineRule="auto"/>
              <w:ind w:firstLine="480" w:firstLineChars="200"/>
              <w:jc w:val="both"/>
              <w:textAlignment w:val="auto"/>
              <w:rPr>
                <w:rFonts w:hint="eastAsia"/>
                <w:b w:val="0"/>
                <w:bCs w:val="0"/>
                <w:color w:val="auto"/>
                <w:sz w:val="24"/>
                <w:lang w:eastAsia="zh-CN"/>
              </w:rPr>
            </w:pPr>
            <w:r>
              <w:rPr>
                <w:rFonts w:hint="eastAsia" w:ascii="Times New Roman" w:hAnsi="Times New Roman"/>
                <w:b w:val="0"/>
                <w:bCs w:val="0"/>
                <w:color w:val="auto"/>
                <w:sz w:val="24"/>
                <w:lang w:eastAsia="zh-CN"/>
              </w:rPr>
              <w:t>6.项目单位须严格按照六安市生态环境局批复的 SO</w:t>
            </w:r>
            <w:r>
              <w:rPr>
                <w:rFonts w:hint="eastAsia" w:ascii="Times New Roman" w:hAnsi="Times New Roman"/>
                <w:b w:val="0"/>
                <w:bCs w:val="0"/>
                <w:color w:val="auto"/>
                <w:sz w:val="24"/>
                <w:vertAlign w:val="subscript"/>
                <w:lang w:eastAsia="zh-CN"/>
              </w:rPr>
              <w:t>2</w:t>
            </w:r>
            <w:r>
              <w:rPr>
                <w:rFonts w:hint="eastAsia"/>
                <w:b w:val="0"/>
                <w:bCs w:val="0"/>
                <w:color w:val="auto"/>
                <w:sz w:val="24"/>
                <w:lang w:eastAsia="zh-CN"/>
              </w:rPr>
              <w:t>：</w:t>
            </w:r>
            <w:r>
              <w:rPr>
                <w:rFonts w:hint="eastAsia" w:ascii="Times New Roman" w:hAnsi="Times New Roman"/>
                <w:b w:val="0"/>
                <w:bCs w:val="0"/>
                <w:color w:val="auto"/>
                <w:sz w:val="24"/>
                <w:lang w:eastAsia="zh-CN"/>
              </w:rPr>
              <w:t>0.0001吨/年、NO</w:t>
            </w:r>
            <w:r>
              <w:rPr>
                <w:rFonts w:hint="eastAsia" w:ascii="Times New Roman" w:hAnsi="Times New Roman"/>
                <w:b w:val="0"/>
                <w:bCs w:val="0"/>
                <w:color w:val="auto"/>
                <w:sz w:val="24"/>
                <w:vertAlign w:val="subscript"/>
                <w:lang w:eastAsia="zh-CN"/>
              </w:rPr>
              <w:t>x</w:t>
            </w:r>
            <w:r>
              <w:rPr>
                <w:rFonts w:hint="eastAsia"/>
                <w:b w:val="0"/>
                <w:bCs w:val="0"/>
                <w:color w:val="auto"/>
                <w:sz w:val="24"/>
                <w:lang w:eastAsia="zh-CN"/>
              </w:rPr>
              <w:t>：</w:t>
            </w:r>
          </w:p>
          <w:p w14:paraId="42AA3167">
            <w:pPr>
              <w:keepNext w:val="0"/>
              <w:keepLines w:val="0"/>
              <w:pageBreakBefore w:val="0"/>
              <w:kinsoku/>
              <w:overflowPunct/>
              <w:autoSpaceDE/>
              <w:autoSpaceDN/>
              <w:bidi w:val="0"/>
              <w:snapToGrid w:val="0"/>
              <w:spacing w:line="360" w:lineRule="auto"/>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0.055吨/年、烟(粉)尘</w:t>
            </w:r>
            <w:r>
              <w:rPr>
                <w:rFonts w:hint="eastAsia"/>
                <w:b w:val="0"/>
                <w:bCs w:val="0"/>
                <w:color w:val="auto"/>
                <w:sz w:val="24"/>
                <w:lang w:eastAsia="zh-CN"/>
              </w:rPr>
              <w:t>：</w:t>
            </w:r>
            <w:r>
              <w:rPr>
                <w:rFonts w:hint="eastAsia" w:ascii="Times New Roman" w:hAnsi="Times New Roman"/>
                <w:b w:val="0"/>
                <w:bCs w:val="0"/>
                <w:color w:val="auto"/>
                <w:sz w:val="24"/>
                <w:lang w:eastAsia="zh-CN"/>
              </w:rPr>
              <w:t>0.1636吨/年、VOCs</w:t>
            </w:r>
            <w:r>
              <w:rPr>
                <w:rFonts w:hint="eastAsia"/>
                <w:b w:val="0"/>
                <w:bCs w:val="0"/>
                <w:color w:val="auto"/>
                <w:sz w:val="24"/>
                <w:lang w:eastAsia="zh-CN"/>
              </w:rPr>
              <w:t>：</w:t>
            </w:r>
            <w:r>
              <w:rPr>
                <w:rFonts w:hint="eastAsia" w:ascii="Times New Roman" w:hAnsi="Times New Roman"/>
                <w:b w:val="0"/>
                <w:bCs w:val="0"/>
                <w:color w:val="auto"/>
                <w:sz w:val="24"/>
                <w:lang w:eastAsia="zh-CN"/>
              </w:rPr>
              <w:t>0.107吨/年总量指标要求组织生产、治污，不得以任何理由超总量排污。</w:t>
            </w:r>
          </w:p>
          <w:p w14:paraId="356185B2">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三、环境管理要求</w:t>
            </w:r>
          </w:p>
          <w:p w14:paraId="5052F265">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1.项目建设过程中应严格执行环境保护“三同时”制度</w:t>
            </w:r>
            <w:r>
              <w:rPr>
                <w:rFonts w:hint="eastAsia"/>
                <w:b w:val="0"/>
                <w:bCs w:val="0"/>
                <w:color w:val="auto"/>
                <w:sz w:val="24"/>
                <w:lang w:eastAsia="zh-CN"/>
              </w:rPr>
              <w:t>，</w:t>
            </w:r>
            <w:r>
              <w:rPr>
                <w:rFonts w:hint="eastAsia" w:ascii="Times New Roman" w:hAnsi="Times New Roman"/>
                <w:b w:val="0"/>
                <w:bCs w:val="0"/>
                <w:color w:val="auto"/>
                <w:sz w:val="24"/>
                <w:lang w:eastAsia="zh-CN"/>
              </w:rPr>
              <w:t>依据《固定污染源排污许可分类管理名录》要求</w:t>
            </w:r>
            <w:r>
              <w:rPr>
                <w:rFonts w:hint="eastAsia"/>
                <w:b w:val="0"/>
                <w:bCs w:val="0"/>
                <w:color w:val="auto"/>
                <w:sz w:val="24"/>
                <w:lang w:eastAsia="zh-CN"/>
              </w:rPr>
              <w:t>，</w:t>
            </w:r>
            <w:r>
              <w:rPr>
                <w:rFonts w:hint="eastAsia" w:ascii="Times New Roman" w:hAnsi="Times New Roman"/>
                <w:b w:val="0"/>
                <w:bCs w:val="0"/>
                <w:color w:val="auto"/>
                <w:sz w:val="24"/>
                <w:lang w:eastAsia="zh-CN"/>
              </w:rPr>
              <w:t>办理排污许可证(含简化、登记)，不得无证排污。项目竣工试运行和污染治理设施同步投入运转正常后，建设单位应当按照《建设项目竣工环境保护验收暂行办法》，对配套建设的环境保护设施进行验收</w:t>
            </w:r>
            <w:r>
              <w:rPr>
                <w:rFonts w:hint="eastAsia"/>
                <w:b w:val="0"/>
                <w:bCs w:val="0"/>
                <w:color w:val="auto"/>
                <w:sz w:val="24"/>
                <w:lang w:eastAsia="zh-CN"/>
              </w:rPr>
              <w:t>，</w:t>
            </w:r>
            <w:r>
              <w:rPr>
                <w:rFonts w:hint="eastAsia" w:ascii="Times New Roman" w:hAnsi="Times New Roman"/>
                <w:b w:val="0"/>
                <w:bCs w:val="0"/>
                <w:color w:val="auto"/>
                <w:sz w:val="24"/>
                <w:lang w:eastAsia="zh-CN"/>
              </w:rPr>
              <w:t>经验收合格后，项目方可正式投入生产或者使用。</w:t>
            </w:r>
          </w:p>
          <w:p w14:paraId="2EB74646">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2.按照安徽省生态环境厅《关于进一步做好排污单位自行监测和监督性监测工作及信息公开的通知》(皖环函</w:t>
            </w:r>
            <w:r>
              <w:rPr>
                <w:rFonts w:hint="eastAsia"/>
                <w:b w:val="0"/>
                <w:bCs w:val="0"/>
                <w:color w:val="auto"/>
                <w:sz w:val="24"/>
                <w:lang w:val="en-US" w:eastAsia="zh-CN"/>
              </w:rPr>
              <w:t>〔</w:t>
            </w:r>
            <w:r>
              <w:rPr>
                <w:rFonts w:hint="eastAsia" w:ascii="Times New Roman" w:hAnsi="Times New Roman"/>
                <w:b w:val="0"/>
                <w:bCs w:val="0"/>
                <w:color w:val="auto"/>
                <w:sz w:val="24"/>
                <w:lang w:eastAsia="zh-CN"/>
              </w:rPr>
              <w:t>2019</w:t>
            </w:r>
            <w:r>
              <w:rPr>
                <w:rFonts w:hint="eastAsia"/>
                <w:b w:val="0"/>
                <w:bCs w:val="0"/>
                <w:color w:val="auto"/>
                <w:sz w:val="24"/>
                <w:lang w:eastAsia="zh-CN"/>
              </w:rPr>
              <w:t>〕</w:t>
            </w:r>
            <w:r>
              <w:rPr>
                <w:rFonts w:hint="eastAsia" w:ascii="Times New Roman" w:hAnsi="Times New Roman"/>
                <w:b w:val="0"/>
                <w:bCs w:val="0"/>
                <w:color w:val="auto"/>
                <w:sz w:val="24"/>
                <w:lang w:eastAsia="zh-CN"/>
              </w:rPr>
              <w:t>805号）文件和监测技术规范要求，开展自行监测工作。</w:t>
            </w:r>
          </w:p>
          <w:p w14:paraId="654FEEE6">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3.在项目建设运营过程中，建设单位须自觉接受我局的日常监督管理，进一步规范企业内部环境管理。</w:t>
            </w:r>
          </w:p>
          <w:p w14:paraId="5CADE503">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val="0"/>
                <w:bCs w:val="0"/>
                <w:color w:val="auto"/>
                <w:sz w:val="24"/>
                <w:lang w:eastAsia="zh-CN"/>
              </w:rPr>
            </w:pPr>
            <w:r>
              <w:rPr>
                <w:rFonts w:hint="eastAsia" w:ascii="Times New Roman" w:hAnsi="Times New Roman"/>
                <w:b w:val="0"/>
                <w:bCs w:val="0"/>
                <w:color w:val="auto"/>
                <w:sz w:val="24"/>
                <w:lang w:eastAsia="zh-CN"/>
              </w:rPr>
              <w:t>四、事中事后监管</w:t>
            </w:r>
          </w:p>
          <w:p w14:paraId="1650E329">
            <w:pPr>
              <w:keepNext w:val="0"/>
              <w:keepLines w:val="0"/>
              <w:pageBreakBefore w:val="0"/>
              <w:kinsoku/>
              <w:overflowPunct/>
              <w:autoSpaceDE/>
              <w:autoSpaceDN/>
              <w:bidi w:val="0"/>
              <w:snapToGrid w:val="0"/>
              <w:spacing w:line="360" w:lineRule="auto"/>
              <w:ind w:firstLine="480" w:firstLineChars="200"/>
              <w:jc w:val="both"/>
              <w:textAlignment w:val="auto"/>
              <w:rPr>
                <w:rFonts w:hint="eastAsia" w:ascii="Times New Roman" w:hAnsi="Times New Roman"/>
                <w:b/>
                <w:bCs/>
                <w:color w:val="auto"/>
                <w:sz w:val="24"/>
                <w:lang w:eastAsia="zh-CN"/>
              </w:rPr>
            </w:pPr>
            <w:r>
              <w:rPr>
                <w:rFonts w:hint="eastAsia" w:ascii="Times New Roman" w:hAnsi="Times New Roman"/>
                <w:b w:val="0"/>
                <w:bCs w:val="0"/>
                <w:color w:val="auto"/>
                <w:sz w:val="24"/>
                <w:lang w:eastAsia="zh-CN"/>
              </w:rPr>
              <w:t>舒城县经济开发区负责对该项目实施属地管理</w:t>
            </w:r>
            <w:r>
              <w:rPr>
                <w:rFonts w:hint="eastAsia"/>
                <w:b w:val="0"/>
                <w:bCs w:val="0"/>
                <w:color w:val="auto"/>
                <w:sz w:val="24"/>
                <w:lang w:eastAsia="zh-CN"/>
              </w:rPr>
              <w:t>，</w:t>
            </w:r>
            <w:r>
              <w:rPr>
                <w:rFonts w:hint="eastAsia" w:ascii="Times New Roman" w:hAnsi="Times New Roman"/>
                <w:b w:val="0"/>
                <w:bCs w:val="0"/>
                <w:color w:val="auto"/>
                <w:sz w:val="24"/>
                <w:lang w:eastAsia="zh-CN"/>
              </w:rPr>
              <w:t>县生态环境保护综合行政执法大队、县环境监测站分别负责日常环境监察和监督性监测等工作。</w:t>
            </w:r>
          </w:p>
          <w:p w14:paraId="2EAB6AF6">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662D8F57">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7E879868">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520E8EBC">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4BDEB40F">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6B2A19C9">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0B0BB06E">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2B2126CC">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351EEFD8">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145B6BA2">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08185FC8">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75443AE6">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4588239C">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239786CA">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1379290E">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616DC2A9">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7817CD34">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631C3BDF">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49FC7908">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1F81485B">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25DA4501">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35B0162A">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1F560D71">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72F56743">
            <w:pPr>
              <w:keepNext w:val="0"/>
              <w:keepLines w:val="0"/>
              <w:pageBreakBefore w:val="0"/>
              <w:kinsoku/>
              <w:overflowPunct/>
              <w:autoSpaceDE/>
              <w:autoSpaceDN/>
              <w:bidi w:val="0"/>
              <w:snapToGrid w:val="0"/>
              <w:spacing w:line="360" w:lineRule="auto"/>
              <w:jc w:val="left"/>
              <w:textAlignment w:val="auto"/>
              <w:rPr>
                <w:rFonts w:hint="eastAsia" w:ascii="Times New Roman" w:hAnsi="Times New Roman"/>
                <w:b/>
                <w:bCs/>
                <w:color w:val="auto"/>
                <w:sz w:val="24"/>
                <w:lang w:val="en-US" w:eastAsia="zh-CN"/>
              </w:rPr>
            </w:pPr>
          </w:p>
          <w:p w14:paraId="153934CC">
            <w:pPr>
              <w:keepNext w:val="0"/>
              <w:keepLines w:val="0"/>
              <w:pageBreakBefore w:val="0"/>
              <w:kinsoku/>
              <w:overflowPunct/>
              <w:autoSpaceDE/>
              <w:autoSpaceDN/>
              <w:bidi w:val="0"/>
              <w:snapToGrid w:val="0"/>
              <w:spacing w:line="360" w:lineRule="auto"/>
              <w:jc w:val="left"/>
              <w:textAlignment w:val="auto"/>
              <w:rPr>
                <w:b/>
                <w:bCs/>
                <w:color w:val="auto"/>
              </w:rPr>
            </w:pPr>
            <w:r>
              <w:rPr>
                <w:rFonts w:hint="eastAsia" w:ascii="Times New Roman" w:hAnsi="Times New Roman"/>
                <w:b/>
                <w:bCs/>
                <w:color w:val="auto"/>
                <w:sz w:val="24"/>
                <w:lang w:val="en-US" w:eastAsia="zh-CN"/>
              </w:rPr>
              <w:t>3</w:t>
            </w:r>
            <w:r>
              <w:rPr>
                <w:rFonts w:ascii="Times New Roman" w:hAnsi="Times New Roman"/>
                <w:b/>
                <w:bCs/>
                <w:color w:val="auto"/>
                <w:sz w:val="24"/>
              </w:rPr>
              <w:t>、</w:t>
            </w:r>
            <w:r>
              <w:rPr>
                <w:rFonts w:hint="eastAsia"/>
                <w:b/>
                <w:bCs/>
                <w:color w:val="auto"/>
                <w:sz w:val="24"/>
                <w:lang w:eastAsia="zh-CN"/>
              </w:rPr>
              <w:t>审批意见及落实情况</w:t>
            </w:r>
          </w:p>
          <w:p w14:paraId="37F2E268">
            <w:pPr>
              <w:keepNext w:val="0"/>
              <w:keepLines w:val="0"/>
              <w:pageBreakBefore w:val="0"/>
              <w:kinsoku/>
              <w:overflowPunct/>
              <w:autoSpaceDE/>
              <w:autoSpaceDN/>
              <w:bidi w:val="0"/>
              <w:snapToGrid w:val="0"/>
              <w:spacing w:line="240" w:lineRule="auto"/>
              <w:jc w:val="center"/>
              <w:textAlignment w:val="auto"/>
              <w:rPr>
                <w:rFonts w:hint="default"/>
                <w:b/>
                <w:bCs/>
                <w:color w:val="auto"/>
                <w:lang w:val="en-US" w:eastAsia="zh-CN"/>
              </w:rPr>
            </w:pPr>
            <w:r>
              <w:rPr>
                <w:rFonts w:hint="default"/>
                <w:b/>
                <w:bCs/>
                <w:color w:val="auto"/>
                <w:lang w:val="en-US" w:eastAsia="zh-CN"/>
              </w:rPr>
              <w:t>表4</w:t>
            </w:r>
            <w:r>
              <w:rPr>
                <w:rFonts w:hint="eastAsia"/>
                <w:b/>
                <w:bCs/>
                <w:color w:val="auto"/>
                <w:lang w:val="en-US" w:eastAsia="zh-CN"/>
              </w:rPr>
              <w:t>-</w:t>
            </w:r>
            <w:r>
              <w:rPr>
                <w:rFonts w:hint="default"/>
                <w:b/>
                <w:bCs/>
                <w:color w:val="auto"/>
                <w:lang w:val="en-US" w:eastAsia="zh-CN"/>
              </w:rPr>
              <w:t>1</w:t>
            </w:r>
            <w:r>
              <w:rPr>
                <w:rFonts w:hint="eastAsia"/>
                <w:b/>
                <w:bCs/>
                <w:color w:val="auto"/>
                <w:lang w:val="en-US" w:eastAsia="zh-CN"/>
              </w:rPr>
              <w:t xml:space="preserve">  </w:t>
            </w:r>
            <w:r>
              <w:rPr>
                <w:rFonts w:hint="default"/>
                <w:b/>
                <w:bCs/>
                <w:color w:val="auto"/>
                <w:lang w:val="en-US" w:eastAsia="zh-CN"/>
              </w:rPr>
              <w:t>项目污染防治措施结论</w:t>
            </w:r>
            <w:r>
              <w:rPr>
                <w:rFonts w:hint="eastAsia"/>
                <w:b/>
                <w:bCs/>
                <w:color w:val="auto"/>
                <w:lang w:val="en-US" w:eastAsia="zh-CN"/>
              </w:rPr>
              <w:t>及落实情况</w:t>
            </w:r>
          </w:p>
          <w:tbl>
            <w:tblPr>
              <w:tblStyle w:val="2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71"/>
              <w:gridCol w:w="4630"/>
              <w:gridCol w:w="3322"/>
            </w:tblGrid>
            <w:tr w14:paraId="13F3D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7" w:hRule="atLeast"/>
              </w:trPr>
              <w:tc>
                <w:tcPr>
                  <w:tcW w:w="571" w:type="dxa"/>
                  <w:vAlign w:val="center"/>
                </w:tcPr>
                <w:p w14:paraId="31DED6F6">
                  <w:pPr>
                    <w:pStyle w:val="26"/>
                    <w:keepNext w:val="0"/>
                    <w:keepLines w:val="0"/>
                    <w:pageBreakBefore w:val="0"/>
                    <w:widowControl w:val="0"/>
                    <w:kinsoku/>
                    <w:overflowPunct/>
                    <w:autoSpaceDE/>
                    <w:autoSpaceDN/>
                    <w:bidi w:val="0"/>
                    <w:snapToGrid w:val="0"/>
                    <w:textAlignment w:val="auto"/>
                    <w:rPr>
                      <w:rFonts w:hint="eastAsia"/>
                      <w:b/>
                      <w:bCs/>
                      <w:color w:val="auto"/>
                      <w:lang w:eastAsia="zh-CN"/>
                    </w:rPr>
                  </w:pPr>
                  <w:r>
                    <w:rPr>
                      <w:rFonts w:hint="eastAsia"/>
                      <w:b/>
                      <w:bCs/>
                      <w:color w:val="auto"/>
                      <w:lang w:eastAsia="zh-CN"/>
                    </w:rPr>
                    <w:t>项目</w:t>
                  </w:r>
                </w:p>
              </w:tc>
              <w:tc>
                <w:tcPr>
                  <w:tcW w:w="4630" w:type="dxa"/>
                  <w:vAlign w:val="center"/>
                </w:tcPr>
                <w:p w14:paraId="00E98989">
                  <w:pPr>
                    <w:pStyle w:val="26"/>
                    <w:keepNext w:val="0"/>
                    <w:keepLines w:val="0"/>
                    <w:pageBreakBefore w:val="0"/>
                    <w:widowControl w:val="0"/>
                    <w:kinsoku/>
                    <w:overflowPunct/>
                    <w:autoSpaceDE/>
                    <w:autoSpaceDN/>
                    <w:bidi w:val="0"/>
                    <w:snapToGrid w:val="0"/>
                    <w:textAlignment w:val="auto"/>
                    <w:rPr>
                      <w:rFonts w:hint="eastAsia"/>
                      <w:b/>
                      <w:bCs/>
                      <w:color w:val="auto"/>
                      <w:lang w:eastAsia="zh-CN"/>
                    </w:rPr>
                  </w:pPr>
                  <w:r>
                    <w:rPr>
                      <w:rFonts w:hint="eastAsia"/>
                      <w:b/>
                      <w:bCs/>
                      <w:color w:val="auto"/>
                      <w:lang w:eastAsia="zh-CN"/>
                    </w:rPr>
                    <w:t>环境影响报告表结论</w:t>
                  </w:r>
                </w:p>
              </w:tc>
              <w:tc>
                <w:tcPr>
                  <w:tcW w:w="3322" w:type="dxa"/>
                  <w:vAlign w:val="center"/>
                </w:tcPr>
                <w:p w14:paraId="2E9B5158">
                  <w:pPr>
                    <w:pStyle w:val="26"/>
                    <w:keepNext w:val="0"/>
                    <w:keepLines w:val="0"/>
                    <w:pageBreakBefore w:val="0"/>
                    <w:widowControl w:val="0"/>
                    <w:kinsoku/>
                    <w:overflowPunct/>
                    <w:autoSpaceDE/>
                    <w:autoSpaceDN/>
                    <w:bidi w:val="0"/>
                    <w:snapToGrid w:val="0"/>
                    <w:textAlignment w:val="auto"/>
                    <w:rPr>
                      <w:rFonts w:hint="eastAsia"/>
                      <w:b/>
                      <w:bCs/>
                      <w:color w:val="auto"/>
                      <w:lang w:eastAsia="zh-CN"/>
                    </w:rPr>
                  </w:pPr>
                  <w:r>
                    <w:rPr>
                      <w:rFonts w:hint="eastAsia"/>
                      <w:b/>
                      <w:bCs/>
                      <w:color w:val="auto"/>
                      <w:lang w:eastAsia="zh-CN"/>
                    </w:rPr>
                    <w:t>落实情况</w:t>
                  </w:r>
                </w:p>
              </w:tc>
            </w:tr>
            <w:tr w14:paraId="33AA3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7" w:hRule="atLeast"/>
              </w:trPr>
              <w:tc>
                <w:tcPr>
                  <w:tcW w:w="571" w:type="dxa"/>
                  <w:vAlign w:val="center"/>
                </w:tcPr>
                <w:p w14:paraId="5F179997">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rFonts w:hint="eastAsia"/>
                      <w:color w:val="auto"/>
                      <w:lang w:eastAsia="zh-CN"/>
                    </w:rPr>
                    <w:t>废水治理</w:t>
                  </w:r>
                </w:p>
              </w:tc>
              <w:tc>
                <w:tcPr>
                  <w:tcW w:w="4630" w:type="dxa"/>
                  <w:vAlign w:val="center"/>
                </w:tcPr>
                <w:p w14:paraId="052D94DC">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rFonts w:hint="eastAsia"/>
                      <w:color w:val="auto"/>
                      <w:lang w:eastAsia="zh-CN"/>
                    </w:rPr>
                    <w:t>生产废水</w:t>
                  </w:r>
                  <w:r>
                    <w:rPr>
                      <w:rFonts w:hint="eastAsia"/>
                      <w:color w:val="auto"/>
                    </w:rPr>
                    <w:t>经自建污水处理站处理</w:t>
                  </w:r>
                  <w:r>
                    <w:rPr>
                      <w:rFonts w:hint="eastAsia"/>
                      <w:color w:val="auto"/>
                      <w:lang w:eastAsia="zh-CN"/>
                    </w:rPr>
                    <w:t>后回用于生产，</w:t>
                  </w:r>
                  <w:r>
                    <w:rPr>
                      <w:rFonts w:hint="eastAsia"/>
                      <w:color w:val="auto"/>
                    </w:rPr>
                    <w:t>生活废水经化粪池处理后汇入厂区总排口接入市政污水管网排污舒城经济开发区工业污水处理厂</w:t>
                  </w:r>
                  <w:r>
                    <w:rPr>
                      <w:rFonts w:hint="eastAsia"/>
                      <w:color w:val="auto"/>
                      <w:lang w:eastAsia="zh-CN"/>
                    </w:rPr>
                    <w:t>，排放标准执行</w:t>
                  </w:r>
                  <w:r>
                    <w:rPr>
                      <w:rFonts w:hint="eastAsia" w:ascii="Times New Roman" w:hAnsi="Times New Roman"/>
                      <w:b w:val="0"/>
                      <w:bCs w:val="0"/>
                      <w:color w:val="auto"/>
                      <w:sz w:val="21"/>
                      <w:szCs w:val="21"/>
                      <w:lang w:eastAsia="zh-CN"/>
                    </w:rPr>
                    <w:t>《污水综合排放标准》(GB8978-1996)三级标准</w:t>
                  </w:r>
                </w:p>
              </w:tc>
              <w:tc>
                <w:tcPr>
                  <w:tcW w:w="3322" w:type="dxa"/>
                  <w:vAlign w:val="center"/>
                </w:tcPr>
                <w:p w14:paraId="02FD5BBA">
                  <w:pPr>
                    <w:pStyle w:val="26"/>
                    <w:keepNext w:val="0"/>
                    <w:keepLines w:val="0"/>
                    <w:pageBreakBefore w:val="0"/>
                    <w:widowControl w:val="0"/>
                    <w:kinsoku/>
                    <w:overflowPunct/>
                    <w:autoSpaceDE/>
                    <w:autoSpaceDN/>
                    <w:bidi w:val="0"/>
                    <w:snapToGrid w:val="0"/>
                    <w:textAlignment w:val="auto"/>
                    <w:rPr>
                      <w:rFonts w:hint="eastAsia"/>
                      <w:b/>
                      <w:bCs/>
                      <w:color w:val="auto"/>
                      <w:lang w:eastAsia="zh-CN"/>
                    </w:rPr>
                  </w:pPr>
                  <w:r>
                    <w:rPr>
                      <w:rFonts w:hint="eastAsia"/>
                      <w:color w:val="auto"/>
                      <w:lang w:eastAsia="zh-CN"/>
                    </w:rPr>
                    <w:t>已落实</w:t>
                  </w:r>
                  <w:r>
                    <w:rPr>
                      <w:rFonts w:hint="eastAsia"/>
                      <w:color w:val="auto"/>
                      <w:lang w:val="en-US" w:eastAsia="zh-CN"/>
                    </w:rPr>
                    <w:t>，</w:t>
                  </w:r>
                  <w:r>
                    <w:rPr>
                      <w:rFonts w:hint="eastAsia"/>
                      <w:color w:val="auto"/>
                      <w:lang w:eastAsia="zh-CN"/>
                    </w:rPr>
                    <w:t>生产废水</w:t>
                  </w:r>
                  <w:r>
                    <w:rPr>
                      <w:rFonts w:hint="eastAsia"/>
                      <w:color w:val="auto"/>
                    </w:rPr>
                    <w:t>经自建污水处理站处理</w:t>
                  </w:r>
                  <w:r>
                    <w:rPr>
                      <w:rFonts w:hint="eastAsia"/>
                      <w:color w:val="auto"/>
                      <w:lang w:eastAsia="zh-CN"/>
                    </w:rPr>
                    <w:t>后回用于生产，</w:t>
                  </w:r>
                  <w:r>
                    <w:rPr>
                      <w:rFonts w:hint="eastAsia"/>
                      <w:color w:val="auto"/>
                    </w:rPr>
                    <w:t>生活废水经化粪池处理后汇入厂区总排口接入市政污水管网排污舒城经济开发区工业污水处理厂</w:t>
                  </w:r>
                </w:p>
              </w:tc>
            </w:tr>
            <w:tr w14:paraId="3D8E5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7" w:hRule="atLeast"/>
              </w:trPr>
              <w:tc>
                <w:tcPr>
                  <w:tcW w:w="571" w:type="dxa"/>
                  <w:vAlign w:val="center"/>
                </w:tcPr>
                <w:p w14:paraId="18A980C4">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rFonts w:hint="eastAsia"/>
                      <w:color w:val="auto"/>
                      <w:lang w:eastAsia="zh-CN"/>
                    </w:rPr>
                    <w:t>废气治理</w:t>
                  </w:r>
                </w:p>
              </w:tc>
              <w:tc>
                <w:tcPr>
                  <w:tcW w:w="4630" w:type="dxa"/>
                  <w:vAlign w:val="center"/>
                </w:tcPr>
                <w:p w14:paraId="3720B8DB">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rFonts w:hint="eastAsia"/>
                      <w:color w:val="auto"/>
                      <w:lang w:eastAsia="zh-CN"/>
                    </w:rPr>
                    <w:t>封闭胶合、喷塑、固化喷漆车间，胶合工序产生的废气经集气罩+二级活性炭处理后，通过15米高排气筒排放；喷粉工序产生的粉尘经负压收集+滤芯过滤+布袋除尘器处理，焊接烟尘经移动式焊接烟尘净化器处理，通过15米高排气筒排放；胶合废气经二级活性吸附处理，固化喷漆废气经负压收集+水帘柜+二级活性吸附处理，通过15米高排气筒排放，颗粒物、VOCs排放满足《大气污染物污染物综合排放标准》(DB31/933-2015)中的标准要求，厂区内VOCs无组织排放执行《挥发性有机物无组织排放控制标准》(GB37822-2019)中的标准要求，烘干固化工段采用天然气燃烧器加热，实行低氮燃烧，燃烧废气排放满足《工业炉窑大气污染物排放标准》(DB31/860-2014)中的标准要求。食堂油烟排放满足《饮食业油烟排放标准》(试行)(GB18483-2001)要求。</w:t>
                  </w:r>
                </w:p>
              </w:tc>
              <w:tc>
                <w:tcPr>
                  <w:tcW w:w="3322" w:type="dxa"/>
                  <w:vAlign w:val="center"/>
                </w:tcPr>
                <w:p w14:paraId="39A86780">
                  <w:pPr>
                    <w:pStyle w:val="26"/>
                    <w:keepNext w:val="0"/>
                    <w:keepLines w:val="0"/>
                    <w:pageBreakBefore w:val="0"/>
                    <w:widowControl w:val="0"/>
                    <w:kinsoku/>
                    <w:overflowPunct/>
                    <w:autoSpaceDE/>
                    <w:autoSpaceDN/>
                    <w:bidi w:val="0"/>
                    <w:snapToGrid w:val="0"/>
                    <w:textAlignment w:val="auto"/>
                    <w:rPr>
                      <w:rFonts w:hint="default"/>
                      <w:color w:val="auto"/>
                      <w:lang w:val="en-US" w:eastAsia="zh-CN"/>
                    </w:rPr>
                  </w:pPr>
                  <w:r>
                    <w:rPr>
                      <w:rFonts w:hint="eastAsia"/>
                      <w:color w:val="auto"/>
                      <w:lang w:eastAsia="zh-CN"/>
                    </w:rPr>
                    <w:t>非甲烷总烃有组织排放及厂区内浓度满足安徽省《固定源挥发性有机物综合排放标准》（</w:t>
                  </w:r>
                  <w:r>
                    <w:rPr>
                      <w:rFonts w:hint="eastAsia"/>
                      <w:color w:val="auto"/>
                      <w:lang w:val="en-US" w:eastAsia="zh-CN"/>
                    </w:rPr>
                    <w:t>DB34/4812.6- 2024</w:t>
                  </w:r>
                  <w:r>
                    <w:rPr>
                      <w:rFonts w:hint="eastAsia"/>
                      <w:color w:val="auto"/>
                      <w:lang w:eastAsia="zh-CN"/>
                    </w:rPr>
                    <w:t>）</w:t>
                  </w:r>
                  <w:r>
                    <w:rPr>
                      <w:rFonts w:hint="eastAsia"/>
                      <w:color w:val="auto"/>
                      <w:lang w:val="en-US" w:eastAsia="zh-CN"/>
                    </w:rPr>
                    <w:t>；颗粒物有组织排放及无组织废气厂界污染物浓度满足上海市《大气污染物综合排放标准》（DB 31/933-2015）</w:t>
                  </w:r>
                </w:p>
              </w:tc>
            </w:tr>
            <w:tr w14:paraId="615E9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1" w:hRule="atLeast"/>
              </w:trPr>
              <w:tc>
                <w:tcPr>
                  <w:tcW w:w="571" w:type="dxa"/>
                  <w:vAlign w:val="center"/>
                </w:tcPr>
                <w:p w14:paraId="0DCA5B5A">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rFonts w:hint="eastAsia"/>
                      <w:color w:val="auto"/>
                      <w:lang w:eastAsia="zh-CN"/>
                    </w:rPr>
                    <w:t>噪声治理</w:t>
                  </w:r>
                </w:p>
              </w:tc>
              <w:tc>
                <w:tcPr>
                  <w:tcW w:w="4630" w:type="dxa"/>
                  <w:vAlign w:val="center"/>
                </w:tcPr>
                <w:p w14:paraId="5A353EDF">
                  <w:pPr>
                    <w:pStyle w:val="26"/>
                    <w:keepNext w:val="0"/>
                    <w:keepLines w:val="0"/>
                    <w:pageBreakBefore w:val="0"/>
                    <w:widowControl w:val="0"/>
                    <w:kinsoku/>
                    <w:overflowPunct/>
                    <w:autoSpaceDE/>
                    <w:autoSpaceDN/>
                    <w:bidi w:val="0"/>
                    <w:snapToGrid w:val="0"/>
                    <w:textAlignment w:val="auto"/>
                    <w:rPr>
                      <w:rFonts w:hint="default"/>
                      <w:color w:val="auto"/>
                    </w:rPr>
                  </w:pPr>
                  <w:r>
                    <w:rPr>
                      <w:rFonts w:hint="eastAsia"/>
                      <w:color w:val="auto"/>
                      <w:lang w:eastAsia="zh-CN"/>
                    </w:rPr>
                    <w:t>剪板机、下料机等噪声源强的减振、降噪及其生产车间封闭，强化企业内部环境管理，规范操作行为，确保厂界环境噪声达到《工业企业厂界环境噪声排放标准》(GB12348-2008)中3类标准，敏感点执行2类标准。</w:t>
                  </w:r>
                </w:p>
              </w:tc>
              <w:tc>
                <w:tcPr>
                  <w:tcW w:w="3322" w:type="dxa"/>
                  <w:vAlign w:val="center"/>
                </w:tcPr>
                <w:p w14:paraId="205FFA06">
                  <w:pPr>
                    <w:pStyle w:val="26"/>
                    <w:keepNext w:val="0"/>
                    <w:keepLines w:val="0"/>
                    <w:pageBreakBefore w:val="0"/>
                    <w:widowControl w:val="0"/>
                    <w:kinsoku/>
                    <w:overflowPunct/>
                    <w:autoSpaceDE/>
                    <w:autoSpaceDN/>
                    <w:bidi w:val="0"/>
                    <w:snapToGrid w:val="0"/>
                    <w:textAlignment w:val="auto"/>
                    <w:rPr>
                      <w:rFonts w:hint="default"/>
                      <w:color w:val="auto"/>
                    </w:rPr>
                  </w:pPr>
                  <w:r>
                    <w:rPr>
                      <w:rFonts w:hint="eastAsia"/>
                      <w:color w:val="auto"/>
                      <w:lang w:eastAsia="zh-CN"/>
                    </w:rPr>
                    <w:t>已落实，厂界环境噪声达到《工业企业厂界环境噪声排放标准》(GB</w:t>
                  </w:r>
                  <w:r>
                    <w:rPr>
                      <w:rFonts w:hint="eastAsia"/>
                      <w:color w:val="auto"/>
                      <w:lang w:val="en-US" w:eastAsia="zh-CN"/>
                    </w:rPr>
                    <w:t xml:space="preserve"> </w:t>
                  </w:r>
                  <w:r>
                    <w:rPr>
                      <w:rFonts w:hint="eastAsia"/>
                      <w:color w:val="auto"/>
                      <w:lang w:eastAsia="zh-CN"/>
                    </w:rPr>
                    <w:t>12348-2008)中3类标准，敏感点符合2类标准。</w:t>
                  </w:r>
                </w:p>
              </w:tc>
            </w:tr>
            <w:tr w14:paraId="73DAF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0" w:hRule="atLeast"/>
              </w:trPr>
              <w:tc>
                <w:tcPr>
                  <w:tcW w:w="571" w:type="dxa"/>
                  <w:vAlign w:val="center"/>
                </w:tcPr>
                <w:p w14:paraId="409602E8">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rFonts w:hint="eastAsia"/>
                      <w:color w:val="auto"/>
                      <w:lang w:eastAsia="zh-CN"/>
                    </w:rPr>
                    <w:t>固废治理</w:t>
                  </w:r>
                </w:p>
              </w:tc>
              <w:tc>
                <w:tcPr>
                  <w:tcW w:w="4630" w:type="dxa"/>
                  <w:vAlign w:val="center"/>
                </w:tcPr>
                <w:p w14:paraId="709246FD">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color w:val="auto"/>
                      <w:sz w:val="21"/>
                      <w:szCs w:val="21"/>
                      <w:lang w:val="zh-CN"/>
                    </w:rPr>
                    <w:t>项目设置垃圾桶，将生活垃圾及时扔进垃圾桶，由环卫部统一清运、处置，</w:t>
                  </w:r>
                  <w:r>
                    <w:rPr>
                      <w:rFonts w:hint="eastAsia"/>
                      <w:color w:val="auto"/>
                      <w:kern w:val="0"/>
                      <w:sz w:val="21"/>
                      <w:szCs w:val="21"/>
                    </w:rPr>
                    <w:t>废槽渣、废润滑油、废润滑油桶、废漆桶、废发泡剂桶、废过滤棉、漆渣、废活性炭</w:t>
                  </w:r>
                  <w:r>
                    <w:rPr>
                      <w:rFonts w:hint="eastAsia"/>
                      <w:color w:val="auto"/>
                      <w:kern w:val="0"/>
                      <w:sz w:val="21"/>
                      <w:szCs w:val="21"/>
                      <w:lang w:eastAsia="zh-CN"/>
                    </w:rPr>
                    <w:t>等</w:t>
                  </w:r>
                  <w:r>
                    <w:rPr>
                      <w:color w:val="auto"/>
                      <w:sz w:val="21"/>
                      <w:szCs w:val="21"/>
                      <w:lang w:val="zh-CN"/>
                    </w:rPr>
                    <w:t>危险废物经收集后，暂存于危险废物暂存场所内，并按危废库管理要求管理，</w:t>
                  </w:r>
                  <w:r>
                    <w:rPr>
                      <w:rFonts w:hint="eastAsia"/>
                      <w:color w:val="auto"/>
                      <w:sz w:val="21"/>
                      <w:szCs w:val="21"/>
                      <w:lang w:val="zh-CN"/>
                    </w:rPr>
                    <w:t>定期</w:t>
                  </w:r>
                  <w:r>
                    <w:rPr>
                      <w:color w:val="auto"/>
                      <w:sz w:val="21"/>
                      <w:szCs w:val="21"/>
                      <w:lang w:val="zh-CN"/>
                    </w:rPr>
                    <w:t>委托有资质单位处置</w:t>
                  </w:r>
                  <w:r>
                    <w:rPr>
                      <w:rFonts w:hint="eastAsia"/>
                      <w:color w:val="auto"/>
                      <w:sz w:val="21"/>
                      <w:szCs w:val="21"/>
                      <w:lang w:val="zh-CN"/>
                    </w:rPr>
                    <w:t>，</w:t>
                  </w:r>
                  <w:r>
                    <w:rPr>
                      <w:color w:val="auto"/>
                      <w:sz w:val="21"/>
                      <w:szCs w:val="21"/>
                      <w:lang w:val="zh-CN"/>
                    </w:rPr>
                    <w:t>危险废物的转运需严格执行联单管理制度，积极配合环保主管部门监管。</w:t>
                  </w:r>
                </w:p>
              </w:tc>
              <w:tc>
                <w:tcPr>
                  <w:tcW w:w="3322" w:type="dxa"/>
                  <w:vAlign w:val="center"/>
                </w:tcPr>
                <w:p w14:paraId="5D36E7E6">
                  <w:pPr>
                    <w:pStyle w:val="26"/>
                    <w:keepNext w:val="0"/>
                    <w:keepLines w:val="0"/>
                    <w:pageBreakBefore w:val="0"/>
                    <w:widowControl w:val="0"/>
                    <w:kinsoku/>
                    <w:overflowPunct/>
                    <w:autoSpaceDE/>
                    <w:autoSpaceDN/>
                    <w:bidi w:val="0"/>
                    <w:snapToGrid w:val="0"/>
                    <w:textAlignment w:val="auto"/>
                    <w:rPr>
                      <w:rFonts w:hint="eastAsia" w:eastAsia="宋体"/>
                      <w:color w:val="auto"/>
                      <w:lang w:eastAsia="zh-CN"/>
                    </w:rPr>
                  </w:pPr>
                  <w:r>
                    <w:rPr>
                      <w:rFonts w:hint="eastAsia"/>
                      <w:color w:val="auto"/>
                      <w:lang w:eastAsia="zh-CN"/>
                    </w:rPr>
                    <w:t>生活垃圾定期由环卫部门统一清运处置，</w:t>
                  </w:r>
                  <w:r>
                    <w:rPr>
                      <w:rFonts w:hint="eastAsia"/>
                      <w:color w:val="auto"/>
                      <w:kern w:val="0"/>
                      <w:sz w:val="21"/>
                      <w:szCs w:val="21"/>
                    </w:rPr>
                    <w:t>废槽渣、废润滑油、废润滑油桶、废漆桶、废发泡剂桶、废过滤棉、漆渣、废活性炭</w:t>
                  </w:r>
                  <w:r>
                    <w:rPr>
                      <w:rFonts w:hint="eastAsia"/>
                      <w:color w:val="auto"/>
                      <w:kern w:val="0"/>
                      <w:sz w:val="21"/>
                      <w:szCs w:val="21"/>
                      <w:lang w:eastAsia="zh-CN"/>
                    </w:rPr>
                    <w:t>等</w:t>
                  </w:r>
                  <w:r>
                    <w:rPr>
                      <w:color w:val="auto"/>
                      <w:sz w:val="21"/>
                      <w:szCs w:val="21"/>
                      <w:lang w:val="zh-CN"/>
                    </w:rPr>
                    <w:t>危险废物经收集后，暂存于危险废物暂存场所内</w:t>
                  </w:r>
                  <w:r>
                    <w:rPr>
                      <w:rFonts w:hint="eastAsia"/>
                      <w:color w:val="auto"/>
                      <w:sz w:val="21"/>
                      <w:szCs w:val="21"/>
                      <w:lang w:val="zh-CN"/>
                    </w:rPr>
                    <w:t>定期委托有资质单位处置</w:t>
                  </w:r>
                </w:p>
              </w:tc>
            </w:tr>
            <w:tr w14:paraId="7C6F6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6" w:hRule="atLeast"/>
              </w:trPr>
              <w:tc>
                <w:tcPr>
                  <w:tcW w:w="571" w:type="dxa"/>
                  <w:vAlign w:val="center"/>
                </w:tcPr>
                <w:p w14:paraId="3F6D4D76">
                  <w:pPr>
                    <w:pStyle w:val="26"/>
                    <w:keepNext w:val="0"/>
                    <w:keepLines w:val="0"/>
                    <w:pageBreakBefore w:val="0"/>
                    <w:widowControl w:val="0"/>
                    <w:kinsoku/>
                    <w:overflowPunct/>
                    <w:autoSpaceDE/>
                    <w:autoSpaceDN/>
                    <w:bidi w:val="0"/>
                    <w:snapToGrid w:val="0"/>
                    <w:textAlignment w:val="auto"/>
                    <w:rPr>
                      <w:rFonts w:hint="eastAsia"/>
                      <w:color w:val="auto"/>
                      <w:lang w:eastAsia="zh-CN"/>
                    </w:rPr>
                  </w:pPr>
                  <w:r>
                    <w:rPr>
                      <w:rFonts w:hint="eastAsia"/>
                      <w:color w:val="auto"/>
                      <w:lang w:eastAsia="zh-CN"/>
                    </w:rPr>
                    <w:t>环评总结论</w:t>
                  </w:r>
                </w:p>
              </w:tc>
              <w:tc>
                <w:tcPr>
                  <w:tcW w:w="4630" w:type="dxa"/>
                  <w:vAlign w:val="center"/>
                </w:tcPr>
                <w:p w14:paraId="52D1D8DA">
                  <w:pPr>
                    <w:pStyle w:val="26"/>
                    <w:keepNext w:val="0"/>
                    <w:keepLines w:val="0"/>
                    <w:pageBreakBefore w:val="0"/>
                    <w:widowControl w:val="0"/>
                    <w:kinsoku/>
                    <w:overflowPunct/>
                    <w:autoSpaceDE/>
                    <w:autoSpaceDN/>
                    <w:bidi w:val="0"/>
                    <w:snapToGrid w:val="0"/>
                    <w:textAlignment w:val="auto"/>
                    <w:rPr>
                      <w:rFonts w:hint="default"/>
                      <w:color w:val="auto"/>
                    </w:rPr>
                  </w:pPr>
                  <w:r>
                    <w:rPr>
                      <w:color w:val="auto"/>
                    </w:rPr>
                    <w:t>项目的建设符合国家和地方的产业政策，符合当地建设用地规划和产业布局要求，该项目建成后落实本评价要求的污染防治措施，认真履行</w:t>
                  </w:r>
                  <w:r>
                    <w:rPr>
                      <w:rFonts w:hint="eastAsia"/>
                      <w:color w:val="auto"/>
                    </w:rPr>
                    <w:t>“</w:t>
                  </w:r>
                  <w:r>
                    <w:rPr>
                      <w:color w:val="auto"/>
                    </w:rPr>
                    <w:t>三同时</w:t>
                  </w:r>
                  <w:r>
                    <w:rPr>
                      <w:rFonts w:hint="eastAsia"/>
                      <w:color w:val="auto"/>
                    </w:rPr>
                    <w:t>”</w:t>
                  </w:r>
                  <w:r>
                    <w:rPr>
                      <w:color w:val="auto"/>
                    </w:rPr>
                    <w:t>制度后，各项污染物均可实现达标排放，不会降低评价区域原有环境质量功能级别。项目建设与区域环境相容。因而从环境保护的角度而言，该项目是可行的。</w:t>
                  </w:r>
                </w:p>
              </w:tc>
              <w:tc>
                <w:tcPr>
                  <w:tcW w:w="3322" w:type="dxa"/>
                  <w:vAlign w:val="center"/>
                </w:tcPr>
                <w:p w14:paraId="46F84EF0">
                  <w:pPr>
                    <w:pStyle w:val="26"/>
                    <w:keepNext w:val="0"/>
                    <w:keepLines w:val="0"/>
                    <w:pageBreakBefore w:val="0"/>
                    <w:widowControl w:val="0"/>
                    <w:kinsoku/>
                    <w:overflowPunct/>
                    <w:autoSpaceDE/>
                    <w:autoSpaceDN/>
                    <w:bidi w:val="0"/>
                    <w:snapToGrid w:val="0"/>
                    <w:textAlignment w:val="auto"/>
                    <w:rPr>
                      <w:rFonts w:hint="eastAsia" w:eastAsia="宋体"/>
                      <w:color w:val="auto"/>
                      <w:lang w:eastAsia="zh-CN"/>
                    </w:rPr>
                  </w:pPr>
                  <w:r>
                    <w:rPr>
                      <w:rFonts w:hint="eastAsia"/>
                      <w:color w:val="auto"/>
                      <w:lang w:eastAsia="zh-CN"/>
                    </w:rPr>
                    <w:t>本</w:t>
                  </w:r>
                  <w:r>
                    <w:rPr>
                      <w:color w:val="auto"/>
                    </w:rPr>
                    <w:t>项目的建设符合国家和地方的产业政策，符合当地建设用地规划和产业布局要求，</w:t>
                  </w:r>
                  <w:r>
                    <w:rPr>
                      <w:rFonts w:hint="eastAsia"/>
                      <w:color w:val="auto"/>
                      <w:lang w:eastAsia="zh-CN"/>
                    </w:rPr>
                    <w:t>本</w:t>
                  </w:r>
                  <w:r>
                    <w:rPr>
                      <w:color w:val="auto"/>
                    </w:rPr>
                    <w:t>项目</w:t>
                  </w:r>
                  <w:r>
                    <w:rPr>
                      <w:rFonts w:hint="eastAsia"/>
                      <w:color w:val="auto"/>
                      <w:lang w:eastAsia="zh-CN"/>
                    </w:rPr>
                    <w:t>已</w:t>
                  </w:r>
                  <w:r>
                    <w:rPr>
                      <w:color w:val="auto"/>
                    </w:rPr>
                    <w:t>落实本</w:t>
                  </w:r>
                  <w:r>
                    <w:rPr>
                      <w:rFonts w:hint="eastAsia"/>
                      <w:color w:val="auto"/>
                      <w:lang w:eastAsia="zh-CN"/>
                    </w:rPr>
                    <w:t>环评</w:t>
                  </w:r>
                  <w:r>
                    <w:rPr>
                      <w:color w:val="auto"/>
                    </w:rPr>
                    <w:t>要求的污染防治措施，认真履行</w:t>
                  </w:r>
                  <w:r>
                    <w:rPr>
                      <w:rFonts w:hint="eastAsia"/>
                      <w:color w:val="auto"/>
                    </w:rPr>
                    <w:t>“</w:t>
                  </w:r>
                  <w:r>
                    <w:rPr>
                      <w:color w:val="auto"/>
                    </w:rPr>
                    <w:t>三同时</w:t>
                  </w:r>
                  <w:r>
                    <w:rPr>
                      <w:rFonts w:hint="eastAsia"/>
                      <w:color w:val="auto"/>
                    </w:rPr>
                    <w:t>”</w:t>
                  </w:r>
                  <w:r>
                    <w:rPr>
                      <w:color w:val="auto"/>
                    </w:rPr>
                    <w:t>制度后，各项污染物均可实现达标排放，不会降低评价区域原有环境质量功能级别。</w:t>
                  </w:r>
                </w:p>
              </w:tc>
            </w:tr>
          </w:tbl>
          <w:p w14:paraId="1D5D30DE">
            <w:pPr>
              <w:pStyle w:val="13"/>
              <w:keepNext w:val="0"/>
              <w:keepLines w:val="0"/>
              <w:pageBreakBefore w:val="0"/>
              <w:kinsoku/>
              <w:overflowPunct/>
              <w:autoSpaceDE/>
              <w:autoSpaceDN/>
              <w:bidi w:val="0"/>
              <w:snapToGrid w:val="0"/>
              <w:textAlignment w:val="auto"/>
              <w:rPr>
                <w:rFonts w:hint="default"/>
                <w:color w:val="auto"/>
                <w:lang w:val="en-US" w:eastAsia="zh-CN"/>
              </w:rPr>
            </w:pPr>
          </w:p>
        </w:tc>
      </w:tr>
    </w:tbl>
    <w:p w14:paraId="10FF3EBB">
      <w:pP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br w:type="page"/>
      </w:r>
    </w:p>
    <w:p w14:paraId="02052A5F">
      <w:pPr>
        <w:spacing w:after="0" w:line="360" w:lineRule="auto"/>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表五</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14:paraId="4315C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7" w:hRule="atLeast"/>
          <w:jc w:val="center"/>
        </w:trPr>
        <w:tc>
          <w:tcPr>
            <w:tcW w:w="8924" w:type="dxa"/>
            <w:noWrap w:val="0"/>
            <w:vAlign w:val="top"/>
          </w:tcPr>
          <w:p w14:paraId="66E9993A">
            <w:pPr>
              <w:spacing w:before="48" w:beforeLines="20" w:line="360" w:lineRule="auto"/>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验收监测质量保证及质量控制：</w:t>
            </w:r>
          </w:p>
          <w:p w14:paraId="76A33E65">
            <w:pPr>
              <w:spacing w:line="360" w:lineRule="auto"/>
              <w:jc w:val="left"/>
              <w:rPr>
                <w:rFonts w:ascii="Times New Roman" w:hAnsi="Times New Roman"/>
                <w:b/>
                <w:color w:val="auto"/>
                <w:sz w:val="24"/>
              </w:rPr>
            </w:pPr>
            <w:r>
              <w:rPr>
                <w:rFonts w:hint="eastAsia"/>
                <w:b/>
                <w:bCs/>
                <w:color w:val="auto"/>
                <w:kern w:val="0"/>
                <w:sz w:val="24"/>
                <w:lang w:val="en-US" w:eastAsia="zh-CN"/>
              </w:rPr>
              <w:t>1、</w:t>
            </w:r>
            <w:r>
              <w:rPr>
                <w:rFonts w:ascii="Times New Roman" w:hAnsi="Times New Roman"/>
                <w:b/>
                <w:bCs/>
                <w:color w:val="auto"/>
                <w:kern w:val="0"/>
                <w:sz w:val="24"/>
              </w:rPr>
              <w:t>监测分析过程中的质量保证和质量控制</w:t>
            </w:r>
          </w:p>
          <w:p w14:paraId="25122273">
            <w:pPr>
              <w:spacing w:line="360" w:lineRule="auto"/>
              <w:ind w:firstLine="480" w:firstLineChars="200"/>
              <w:rPr>
                <w:rFonts w:ascii="Times New Roman" w:hAnsi="Times New Roman"/>
                <w:color w:val="auto"/>
                <w:sz w:val="24"/>
              </w:rPr>
            </w:pPr>
            <w:r>
              <w:rPr>
                <w:rFonts w:ascii="Times New Roman" w:hAnsi="Times New Roman"/>
                <w:color w:val="auto"/>
                <w:kern w:val="0"/>
                <w:sz w:val="24"/>
              </w:rPr>
              <w:t>本次验收监测采样及分析过程均严格按照《环境空气监测质量保证手册》及《环境监测技术规范》等要求进行，实施全程序质量控制。具体质控要求如下：</w:t>
            </w:r>
          </w:p>
          <w:p w14:paraId="5A60972E">
            <w:pPr>
              <w:spacing w:line="360" w:lineRule="auto"/>
              <w:ind w:firstLine="480" w:firstLineChars="200"/>
              <w:rPr>
                <w:rFonts w:ascii="Times New Roman" w:hAnsi="Times New Roman"/>
                <w:color w:val="auto"/>
                <w:sz w:val="24"/>
              </w:rPr>
            </w:pPr>
            <w:r>
              <w:rPr>
                <w:rFonts w:ascii="Times New Roman" w:hAnsi="Times New Roman"/>
                <w:color w:val="auto"/>
                <w:sz w:val="24"/>
              </w:rPr>
              <w:t>（1）及时组织</w:t>
            </w:r>
            <w:r>
              <w:rPr>
                <w:rFonts w:ascii="Times New Roman" w:hAnsi="Times New Roman"/>
                <w:color w:val="auto"/>
                <w:sz w:val="24"/>
                <w:szCs w:val="44"/>
              </w:rPr>
              <w:t>监测</w:t>
            </w:r>
            <w:r>
              <w:rPr>
                <w:rFonts w:ascii="Times New Roman" w:hAnsi="Times New Roman"/>
                <w:color w:val="auto"/>
                <w:sz w:val="24"/>
              </w:rPr>
              <w:t>人员到现场勘察，进行现场点位确认。</w:t>
            </w:r>
          </w:p>
          <w:p w14:paraId="3FAF43EC">
            <w:pPr>
              <w:spacing w:line="360" w:lineRule="auto"/>
              <w:ind w:firstLine="480" w:firstLineChars="200"/>
              <w:rPr>
                <w:rFonts w:ascii="Times New Roman" w:hAnsi="Times New Roman"/>
                <w:color w:val="auto"/>
                <w:kern w:val="0"/>
                <w:sz w:val="24"/>
              </w:rPr>
            </w:pPr>
            <w:r>
              <w:rPr>
                <w:rFonts w:ascii="Times New Roman" w:hAnsi="Times New Roman"/>
                <w:color w:val="auto"/>
                <w:sz w:val="24"/>
              </w:rPr>
              <w:t>（2）</w:t>
            </w:r>
            <w:r>
              <w:rPr>
                <w:rFonts w:ascii="Times New Roman" w:hAnsi="Times New Roman"/>
                <w:color w:val="auto"/>
                <w:kern w:val="0"/>
                <w:sz w:val="24"/>
              </w:rPr>
              <w:t>根据现场</w:t>
            </w:r>
            <w:r>
              <w:rPr>
                <w:rFonts w:ascii="Times New Roman" w:hAnsi="Times New Roman"/>
                <w:color w:val="auto"/>
                <w:sz w:val="24"/>
              </w:rPr>
              <w:t>勘察</w:t>
            </w:r>
            <w:r>
              <w:rPr>
                <w:rFonts w:ascii="Times New Roman" w:hAnsi="Times New Roman"/>
                <w:color w:val="auto"/>
                <w:kern w:val="0"/>
                <w:sz w:val="24"/>
              </w:rPr>
              <w:t>情况，按照</w:t>
            </w:r>
            <w:r>
              <w:rPr>
                <w:rFonts w:ascii="Times New Roman" w:hAnsi="Times New Roman"/>
                <w:color w:val="auto"/>
                <w:sz w:val="24"/>
              </w:rPr>
              <w:t>《大气污染物无组织排放监测技术导则》（</w:t>
            </w:r>
            <w:r>
              <w:rPr>
                <w:rFonts w:hint="eastAsia"/>
                <w:color w:val="auto"/>
                <w:sz w:val="24"/>
                <w:lang w:val="en-US" w:eastAsia="zh-CN"/>
              </w:rPr>
              <w:t xml:space="preserve">HJ/T </w:t>
            </w:r>
            <w:r>
              <w:rPr>
                <w:rFonts w:ascii="Times New Roman" w:hAnsi="Times New Roman"/>
                <w:color w:val="auto"/>
                <w:sz w:val="24"/>
              </w:rPr>
              <w:t>55-2000）</w:t>
            </w:r>
            <w:r>
              <w:rPr>
                <w:rFonts w:ascii="Times New Roman" w:hAnsi="Times New Roman"/>
                <w:color w:val="auto"/>
                <w:kern w:val="0"/>
                <w:sz w:val="24"/>
              </w:rPr>
              <w:t>、《固定污染源监测技术规范》（HJ/T</w:t>
            </w:r>
            <w:r>
              <w:rPr>
                <w:rFonts w:hint="eastAsia"/>
                <w:color w:val="auto"/>
                <w:kern w:val="0"/>
                <w:sz w:val="24"/>
                <w:lang w:val="en-US" w:eastAsia="zh-CN"/>
              </w:rPr>
              <w:t xml:space="preserve"> </w:t>
            </w:r>
            <w:r>
              <w:rPr>
                <w:rFonts w:ascii="Times New Roman" w:hAnsi="Times New Roman"/>
                <w:color w:val="auto"/>
                <w:kern w:val="0"/>
                <w:sz w:val="24"/>
              </w:rPr>
              <w:t>397-2007）、《工业企业厂界环境噪声排放标准》（GB</w:t>
            </w:r>
            <w:r>
              <w:rPr>
                <w:rFonts w:hint="eastAsia"/>
                <w:color w:val="auto"/>
                <w:kern w:val="0"/>
                <w:sz w:val="24"/>
                <w:lang w:val="en-US" w:eastAsia="zh-CN"/>
              </w:rPr>
              <w:t xml:space="preserve"> </w:t>
            </w:r>
            <w:r>
              <w:rPr>
                <w:rFonts w:ascii="Times New Roman" w:hAnsi="Times New Roman"/>
                <w:color w:val="auto"/>
                <w:kern w:val="0"/>
                <w:sz w:val="24"/>
              </w:rPr>
              <w:t>12348-2008），编制现场监测方案和现场监测实施方案。</w:t>
            </w:r>
          </w:p>
          <w:p w14:paraId="7586AB6D">
            <w:pPr>
              <w:spacing w:line="360" w:lineRule="auto"/>
              <w:ind w:firstLine="480" w:firstLineChars="200"/>
              <w:rPr>
                <w:rFonts w:ascii="Times New Roman" w:hAnsi="Times New Roman"/>
                <w:color w:val="auto"/>
                <w:sz w:val="24"/>
              </w:rPr>
            </w:pPr>
            <w:r>
              <w:rPr>
                <w:rFonts w:ascii="Times New Roman" w:hAnsi="Times New Roman"/>
                <w:color w:val="auto"/>
                <w:sz w:val="24"/>
              </w:rPr>
              <w:t>（3）使用的标准方法均为现行有效的方法，且方法最低检出限能满足各项监测因子的最高质量标准。</w:t>
            </w:r>
          </w:p>
          <w:p w14:paraId="5D728FEC">
            <w:pPr>
              <w:spacing w:line="360" w:lineRule="auto"/>
              <w:ind w:firstLine="480" w:firstLineChars="200"/>
              <w:rPr>
                <w:rFonts w:ascii="Times New Roman" w:hAnsi="Times New Roman"/>
                <w:color w:val="auto"/>
                <w:sz w:val="24"/>
              </w:rPr>
            </w:pPr>
            <w:r>
              <w:rPr>
                <w:rFonts w:ascii="Times New Roman" w:hAnsi="Times New Roman"/>
                <w:color w:val="auto"/>
                <w:sz w:val="24"/>
              </w:rPr>
              <w:t>（4）所有的</w:t>
            </w:r>
            <w:r>
              <w:rPr>
                <w:rFonts w:ascii="Times New Roman" w:hAnsi="Times New Roman"/>
                <w:color w:val="auto"/>
                <w:sz w:val="24"/>
                <w:szCs w:val="44"/>
              </w:rPr>
              <w:t>监测</w:t>
            </w:r>
            <w:r>
              <w:rPr>
                <w:rFonts w:ascii="Times New Roman" w:hAnsi="Times New Roman"/>
                <w:color w:val="auto"/>
                <w:sz w:val="24"/>
              </w:rPr>
              <w:t>人员均能持证上岗，对监测过程中涉及的重要技术环节进行了严格的培训。</w:t>
            </w:r>
          </w:p>
          <w:p w14:paraId="56B32F0E">
            <w:pPr>
              <w:spacing w:line="360" w:lineRule="auto"/>
              <w:ind w:firstLine="480" w:firstLineChars="200"/>
              <w:rPr>
                <w:rFonts w:ascii="Times New Roman" w:hAnsi="Times New Roman"/>
                <w:color w:val="auto"/>
                <w:sz w:val="24"/>
              </w:rPr>
            </w:pPr>
            <w:r>
              <w:rPr>
                <w:rFonts w:ascii="Times New Roman" w:hAnsi="Times New Roman"/>
                <w:color w:val="auto"/>
                <w:sz w:val="24"/>
              </w:rPr>
              <w:t>（5）实验室分析仪器均经过省级计量部门鉴定，保证了监测数据的准确性和代表性。</w:t>
            </w:r>
          </w:p>
          <w:p w14:paraId="5E9AD3F4">
            <w:pPr>
              <w:spacing w:line="360" w:lineRule="auto"/>
              <w:ind w:firstLine="480" w:firstLineChars="200"/>
              <w:rPr>
                <w:rFonts w:ascii="Times New Roman" w:hAnsi="Times New Roman"/>
                <w:color w:val="auto"/>
                <w:sz w:val="24"/>
              </w:rPr>
            </w:pPr>
            <w:r>
              <w:rPr>
                <w:rFonts w:ascii="Times New Roman" w:hAnsi="Times New Roman"/>
                <w:color w:val="auto"/>
                <w:sz w:val="24"/>
              </w:rPr>
              <w:t>（6）数据进行三级审核（室主任审核、质量负责人复审、技术负责人签发）。</w:t>
            </w:r>
          </w:p>
          <w:p w14:paraId="68240E56">
            <w:pPr>
              <w:spacing w:line="360" w:lineRule="auto"/>
              <w:ind w:firstLine="480" w:firstLineChars="200"/>
              <w:rPr>
                <w:rFonts w:ascii="Times New Roman" w:hAnsi="Times New Roman"/>
                <w:color w:val="auto"/>
                <w:sz w:val="24"/>
              </w:rPr>
            </w:pPr>
            <w:r>
              <w:rPr>
                <w:rFonts w:ascii="Times New Roman" w:hAnsi="Times New Roman"/>
                <w:color w:val="auto"/>
                <w:sz w:val="24"/>
              </w:rPr>
              <w:t>（7）样品的采集、运输均按相关的技术规范要求进行。</w:t>
            </w:r>
          </w:p>
          <w:p w14:paraId="64EC4DE0">
            <w:pPr>
              <w:spacing w:line="360" w:lineRule="auto"/>
              <w:ind w:firstLine="480" w:firstLineChars="200"/>
              <w:rPr>
                <w:rFonts w:ascii="Times New Roman" w:hAnsi="Times New Roman"/>
                <w:bCs/>
                <w:color w:val="auto"/>
                <w:sz w:val="24"/>
              </w:rPr>
            </w:pPr>
            <w:r>
              <w:rPr>
                <w:rFonts w:ascii="Times New Roman" w:hAnsi="Times New Roman"/>
                <w:color w:val="auto"/>
                <w:sz w:val="24"/>
              </w:rPr>
              <w:t>（8）</w:t>
            </w:r>
            <w:r>
              <w:rPr>
                <w:rFonts w:ascii="Times New Roman" w:hAnsi="Times New Roman"/>
                <w:bCs/>
                <w:color w:val="auto"/>
                <w:sz w:val="24"/>
              </w:rPr>
              <w:t>样品</w:t>
            </w:r>
            <w:r>
              <w:rPr>
                <w:rFonts w:ascii="Times New Roman" w:hAnsi="Times New Roman"/>
                <w:color w:val="auto"/>
                <w:sz w:val="24"/>
              </w:rPr>
              <w:t>分析质量控制</w:t>
            </w:r>
            <w:r>
              <w:rPr>
                <w:rFonts w:ascii="Times New Roman" w:hAnsi="Times New Roman"/>
                <w:bCs/>
                <w:color w:val="auto"/>
                <w:sz w:val="24"/>
              </w:rPr>
              <w:t>：</w:t>
            </w:r>
          </w:p>
          <w:p w14:paraId="411D192A">
            <w:pPr>
              <w:spacing w:line="360" w:lineRule="auto"/>
              <w:ind w:firstLine="480" w:firstLineChars="200"/>
              <w:rPr>
                <w:rFonts w:ascii="Times New Roman" w:hAnsi="Times New Roman"/>
                <w:bCs/>
                <w:color w:val="auto"/>
                <w:sz w:val="24"/>
              </w:rPr>
            </w:pPr>
            <w:r>
              <w:rPr>
                <w:rFonts w:ascii="Times New Roman" w:hAnsi="Times New Roman"/>
                <w:bCs/>
                <w:color w:val="auto"/>
                <w:sz w:val="24"/>
              </w:rPr>
              <w:t>用空白值、标准曲线的相关、截距、斜率评价实验过程的一致性。</w:t>
            </w:r>
          </w:p>
          <w:p w14:paraId="078DBFEE">
            <w:pPr>
              <w:numPr>
                <w:ilvl w:val="0"/>
                <w:numId w:val="0"/>
              </w:numPr>
              <w:bidi w:val="0"/>
              <w:rPr>
                <w:rFonts w:ascii="Times New Roman" w:hAnsi="Times New Roman"/>
                <w:b/>
                <w:bCs/>
                <w:color w:val="auto"/>
              </w:rPr>
            </w:pPr>
            <w:bookmarkStart w:id="4" w:name="_Toc6074"/>
            <w:bookmarkStart w:id="5" w:name="_Toc512519570"/>
            <w:bookmarkStart w:id="6" w:name="_Toc513795210"/>
            <w:r>
              <w:rPr>
                <w:rFonts w:ascii="Times New Roman" w:hAnsi="Times New Roman" w:eastAsia="宋体" w:cs="Times New Roman"/>
                <w:b/>
                <w:bCs/>
                <w:color w:val="auto"/>
                <w:sz w:val="24"/>
                <w:szCs w:val="24"/>
                <w:lang w:val="en-US" w:eastAsia="zh-CN" w:bidi="ar-SA"/>
              </w:rPr>
              <w:t>2</w:t>
            </w:r>
            <w:r>
              <w:rPr>
                <w:rFonts w:hint="eastAsia" w:cs="Times New Roman"/>
                <w:b/>
                <w:bCs/>
                <w:color w:val="auto"/>
                <w:sz w:val="24"/>
                <w:szCs w:val="24"/>
                <w:lang w:val="en-US" w:eastAsia="zh-CN" w:bidi="ar-SA"/>
              </w:rPr>
              <w:t>、</w:t>
            </w:r>
            <w:r>
              <w:rPr>
                <w:rFonts w:ascii="Times New Roman" w:hAnsi="Times New Roman"/>
                <w:b/>
                <w:bCs/>
                <w:color w:val="auto"/>
              </w:rPr>
              <w:t>监测分析方法</w:t>
            </w:r>
            <w:bookmarkEnd w:id="4"/>
            <w:bookmarkEnd w:id="5"/>
            <w:bookmarkEnd w:id="6"/>
          </w:p>
          <w:p w14:paraId="00D1C195">
            <w:pPr>
              <w:numPr>
                <w:ilvl w:val="0"/>
                <w:numId w:val="0"/>
              </w:numPr>
              <w:bidi w:val="0"/>
              <w:spacing w:line="240" w:lineRule="auto"/>
              <w:jc w:val="center"/>
              <w:rPr>
                <w:rFonts w:hint="eastAsia" w:ascii="Times New Roman" w:hAnsi="Times New Roman" w:cs="Times New Roman" w:eastAsiaTheme="minorEastAsia"/>
                <w:b/>
                <w:bCs/>
                <w:color w:val="auto"/>
                <w:sz w:val="24"/>
                <w:szCs w:val="24"/>
                <w:vertAlign w:val="baseline"/>
                <w:lang w:eastAsia="zh-CN"/>
              </w:rPr>
            </w:pPr>
            <w:r>
              <w:rPr>
                <w:rFonts w:hint="eastAsia" w:cs="Times New Roman" w:eastAsiaTheme="minorEastAsia"/>
                <w:b/>
                <w:bCs/>
                <w:color w:val="auto"/>
                <w:sz w:val="24"/>
                <w:szCs w:val="24"/>
                <w:lang w:eastAsia="zh-CN"/>
              </w:rPr>
              <w:t>表</w:t>
            </w:r>
            <w:r>
              <w:rPr>
                <w:rFonts w:hint="eastAsia" w:cs="Times New Roman" w:eastAsiaTheme="minorEastAsia"/>
                <w:b/>
                <w:bCs/>
                <w:color w:val="auto"/>
                <w:sz w:val="24"/>
                <w:szCs w:val="24"/>
                <w:lang w:val="en-US" w:eastAsia="zh-CN"/>
              </w:rPr>
              <w:t xml:space="preserve">5-1  </w:t>
            </w:r>
            <w:r>
              <w:rPr>
                <w:rFonts w:hint="eastAsia" w:cs="Times New Roman" w:eastAsiaTheme="minorEastAsia"/>
                <w:b/>
                <w:bCs/>
                <w:color w:val="auto"/>
                <w:sz w:val="24"/>
                <w:szCs w:val="24"/>
                <w:lang w:eastAsia="zh-CN"/>
              </w:rPr>
              <w:t>检测分析方法一览表</w:t>
            </w:r>
          </w:p>
          <w:tbl>
            <w:tblPr>
              <w:tblStyle w:val="20"/>
              <w:tblW w:w="86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16"/>
              <w:gridCol w:w="866"/>
              <w:gridCol w:w="2441"/>
              <w:gridCol w:w="1923"/>
              <w:gridCol w:w="1282"/>
              <w:gridCol w:w="1336"/>
            </w:tblGrid>
            <w:tr w14:paraId="5759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7" w:hRule="atLeast"/>
              </w:trPr>
              <w:tc>
                <w:tcPr>
                  <w:tcW w:w="816" w:type="dxa"/>
                  <w:vAlign w:val="center"/>
                </w:tcPr>
                <w:p w14:paraId="51D9AFBD">
                  <w:pPr>
                    <w:pStyle w:val="26"/>
                    <w:widowControl w:val="0"/>
                    <w:bidi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项目</w:t>
                  </w:r>
                </w:p>
                <w:p w14:paraId="32C70F2D">
                  <w:pPr>
                    <w:pStyle w:val="26"/>
                    <w:widowControl w:val="0"/>
                    <w:bidi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类型</w:t>
                  </w:r>
                </w:p>
              </w:tc>
              <w:tc>
                <w:tcPr>
                  <w:tcW w:w="866" w:type="dxa"/>
                  <w:vAlign w:val="center"/>
                </w:tcPr>
                <w:p w14:paraId="3A0F425D">
                  <w:pPr>
                    <w:pStyle w:val="26"/>
                    <w:widowControl w:val="0"/>
                    <w:bidi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检测</w:t>
                  </w:r>
                </w:p>
                <w:p w14:paraId="24B6C2CD">
                  <w:pPr>
                    <w:pStyle w:val="26"/>
                    <w:widowControl w:val="0"/>
                    <w:bidi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项目</w:t>
                  </w:r>
                </w:p>
              </w:tc>
              <w:tc>
                <w:tcPr>
                  <w:tcW w:w="2441" w:type="dxa"/>
                  <w:vAlign w:val="center"/>
                </w:tcPr>
                <w:p w14:paraId="053C05A9">
                  <w:pPr>
                    <w:pStyle w:val="26"/>
                    <w:widowControl w:val="0"/>
                    <w:bidi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检测方法</w:t>
                  </w:r>
                </w:p>
              </w:tc>
              <w:tc>
                <w:tcPr>
                  <w:tcW w:w="1923" w:type="dxa"/>
                  <w:vAlign w:val="center"/>
                </w:tcPr>
                <w:p w14:paraId="55C3B268">
                  <w:pPr>
                    <w:pStyle w:val="26"/>
                    <w:widowControl w:val="0"/>
                    <w:bidi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仪器名称</w:t>
                  </w:r>
                </w:p>
              </w:tc>
              <w:tc>
                <w:tcPr>
                  <w:tcW w:w="1282" w:type="dxa"/>
                  <w:vAlign w:val="center"/>
                </w:tcPr>
                <w:p w14:paraId="18D04CF1">
                  <w:pPr>
                    <w:pStyle w:val="26"/>
                    <w:widowControl w:val="0"/>
                    <w:bidi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仪器编号</w:t>
                  </w:r>
                </w:p>
              </w:tc>
              <w:tc>
                <w:tcPr>
                  <w:tcW w:w="1336" w:type="dxa"/>
                  <w:vAlign w:val="center"/>
                </w:tcPr>
                <w:p w14:paraId="78346479">
                  <w:pPr>
                    <w:pStyle w:val="26"/>
                    <w:widowControl w:val="0"/>
                    <w:bidi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检出限</w:t>
                  </w:r>
                </w:p>
              </w:tc>
            </w:tr>
            <w:tr w14:paraId="5D3A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8" w:hRule="atLeast"/>
              </w:trPr>
              <w:tc>
                <w:tcPr>
                  <w:tcW w:w="816" w:type="dxa"/>
                  <w:vMerge w:val="restart"/>
                  <w:vAlign w:val="center"/>
                </w:tcPr>
                <w:p w14:paraId="4361BE05">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无组织废气</w:t>
                  </w:r>
                </w:p>
              </w:tc>
              <w:tc>
                <w:tcPr>
                  <w:tcW w:w="866" w:type="dxa"/>
                  <w:vMerge w:val="restart"/>
                  <w:vAlign w:val="center"/>
                </w:tcPr>
                <w:p w14:paraId="7A5E377E">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总悬浮颗粒物</w:t>
                  </w:r>
                </w:p>
              </w:tc>
              <w:tc>
                <w:tcPr>
                  <w:tcW w:w="2441" w:type="dxa"/>
                  <w:vMerge w:val="restart"/>
                  <w:vAlign w:val="center"/>
                </w:tcPr>
                <w:p w14:paraId="211ADB9C">
                  <w:pPr>
                    <w:pStyle w:val="26"/>
                    <w:widowControl w:val="0"/>
                    <w:bidi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环境空气总悬浮物的测定重量法</w:t>
                  </w:r>
                </w:p>
                <w:p w14:paraId="1A56BF7B">
                  <w:pPr>
                    <w:widowControl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HJ</w:t>
                  </w:r>
                  <w:r>
                    <w:rPr>
                      <w:rFonts w:hint="eastAsia" w:cs="Times New Roman"/>
                      <w:color w:val="auto"/>
                      <w:sz w:val="21"/>
                      <w:szCs w:val="21"/>
                      <w:lang w:val="en-US" w:eastAsia="zh-CN"/>
                    </w:rPr>
                    <w:t xml:space="preserve"> </w:t>
                  </w:r>
                  <w:r>
                    <w:rPr>
                      <w:rFonts w:hint="default" w:ascii="Times New Roman" w:hAnsi="Times New Roman" w:cs="Times New Roman"/>
                      <w:color w:val="auto"/>
                      <w:sz w:val="21"/>
                      <w:szCs w:val="21"/>
                      <w:lang w:val="en-US" w:eastAsia="zh-CN"/>
                    </w:rPr>
                    <w:t>1263-2022</w:t>
                  </w:r>
                </w:p>
              </w:tc>
              <w:tc>
                <w:tcPr>
                  <w:tcW w:w="1923" w:type="dxa"/>
                  <w:vAlign w:val="center"/>
                </w:tcPr>
                <w:p w14:paraId="100C2F72">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恒温恒湿称重系统</w:t>
                  </w:r>
                </w:p>
                <w:p w14:paraId="64D0F551">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HSX-350</w:t>
                  </w:r>
                </w:p>
              </w:tc>
              <w:tc>
                <w:tcPr>
                  <w:tcW w:w="1282" w:type="dxa"/>
                  <w:vAlign w:val="center"/>
                </w:tcPr>
                <w:p w14:paraId="79F66C87">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WZ-FX-017</w:t>
                  </w:r>
                </w:p>
              </w:tc>
              <w:tc>
                <w:tcPr>
                  <w:tcW w:w="1336" w:type="dxa"/>
                  <w:vMerge w:val="restart"/>
                  <w:vAlign w:val="center"/>
                </w:tcPr>
                <w:p w14:paraId="5D7FBB72">
                  <w:pPr>
                    <w:pStyle w:val="26"/>
                    <w:widowControl w:val="0"/>
                    <w:bidi w:val="0"/>
                    <w:spacing w:line="240" w:lineRule="auto"/>
                    <w:jc w:val="center"/>
                    <w:rPr>
                      <w:rFonts w:hint="default" w:ascii="Times New Roman" w:hAnsi="Times New Roman" w:cs="Times New Roman"/>
                      <w:color w:val="auto"/>
                      <w:sz w:val="21"/>
                      <w:szCs w:val="21"/>
                      <w:vertAlign w:val="superscript"/>
                      <w:lang w:val="en-US" w:eastAsia="zh-CN"/>
                    </w:rPr>
                  </w:pPr>
                  <w:r>
                    <w:rPr>
                      <w:rFonts w:hint="default" w:ascii="Times New Roman" w:hAnsi="Times New Roman" w:cs="Times New Roman"/>
                      <w:color w:val="auto"/>
                      <w:sz w:val="21"/>
                      <w:szCs w:val="21"/>
                      <w:lang w:val="en-US" w:eastAsia="zh-CN"/>
                    </w:rPr>
                    <w:t>224μg/m</w:t>
                  </w:r>
                  <w:r>
                    <w:rPr>
                      <w:rFonts w:hint="default" w:ascii="Times New Roman" w:hAnsi="Times New Roman" w:cs="Times New Roman"/>
                      <w:color w:val="auto"/>
                      <w:sz w:val="21"/>
                      <w:szCs w:val="21"/>
                      <w:vertAlign w:val="superscript"/>
                      <w:lang w:val="en-US" w:eastAsia="zh-CN"/>
                    </w:rPr>
                    <w:t>3</w:t>
                  </w:r>
                </w:p>
                <w:p w14:paraId="1440C165">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（以4.5m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计）</w:t>
                  </w:r>
                </w:p>
              </w:tc>
            </w:tr>
            <w:tr w14:paraId="615D5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trPr>
              <w:tc>
                <w:tcPr>
                  <w:tcW w:w="816" w:type="dxa"/>
                  <w:vMerge w:val="continue"/>
                  <w:vAlign w:val="center"/>
                </w:tcPr>
                <w:p w14:paraId="1615E5C0">
                  <w:pPr>
                    <w:pStyle w:val="26"/>
                    <w:widowControl w:val="0"/>
                    <w:bidi w:val="0"/>
                    <w:spacing w:line="240" w:lineRule="auto"/>
                    <w:jc w:val="center"/>
                    <w:rPr>
                      <w:rFonts w:hint="default" w:ascii="Times New Roman" w:hAnsi="Times New Roman" w:cs="Times New Roman"/>
                      <w:color w:val="auto"/>
                      <w:sz w:val="21"/>
                      <w:szCs w:val="21"/>
                    </w:rPr>
                  </w:pPr>
                </w:p>
              </w:tc>
              <w:tc>
                <w:tcPr>
                  <w:tcW w:w="866" w:type="dxa"/>
                  <w:vMerge w:val="continue"/>
                  <w:vAlign w:val="center"/>
                </w:tcPr>
                <w:p w14:paraId="078B2C32">
                  <w:pPr>
                    <w:pStyle w:val="26"/>
                    <w:widowControl w:val="0"/>
                    <w:bidi w:val="0"/>
                    <w:spacing w:line="240" w:lineRule="auto"/>
                    <w:jc w:val="center"/>
                    <w:rPr>
                      <w:rFonts w:hint="default" w:ascii="Times New Roman" w:hAnsi="Times New Roman" w:cs="Times New Roman"/>
                      <w:color w:val="auto"/>
                      <w:sz w:val="21"/>
                      <w:szCs w:val="21"/>
                    </w:rPr>
                  </w:pPr>
                </w:p>
              </w:tc>
              <w:tc>
                <w:tcPr>
                  <w:tcW w:w="2441" w:type="dxa"/>
                  <w:vMerge w:val="continue"/>
                  <w:vAlign w:val="center"/>
                </w:tcPr>
                <w:p w14:paraId="3A9FE83B">
                  <w:pPr>
                    <w:pStyle w:val="26"/>
                    <w:widowControl w:val="0"/>
                    <w:bidi w:val="0"/>
                    <w:spacing w:line="240" w:lineRule="auto"/>
                    <w:jc w:val="center"/>
                    <w:rPr>
                      <w:rFonts w:hint="default" w:ascii="Times New Roman" w:hAnsi="Times New Roman" w:cs="Times New Roman"/>
                      <w:color w:val="auto"/>
                      <w:sz w:val="21"/>
                      <w:szCs w:val="21"/>
                    </w:rPr>
                  </w:pPr>
                </w:p>
              </w:tc>
              <w:tc>
                <w:tcPr>
                  <w:tcW w:w="1923" w:type="dxa"/>
                  <w:vAlign w:val="center"/>
                </w:tcPr>
                <w:p w14:paraId="2AB21EA1">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电子天平（十万分之一）AP125WD</w:t>
                  </w:r>
                </w:p>
              </w:tc>
              <w:tc>
                <w:tcPr>
                  <w:tcW w:w="1282" w:type="dxa"/>
                  <w:vAlign w:val="center"/>
                </w:tcPr>
                <w:p w14:paraId="7E31E5FB">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WZ-FX-001</w:t>
                  </w:r>
                </w:p>
              </w:tc>
              <w:tc>
                <w:tcPr>
                  <w:tcW w:w="1336" w:type="dxa"/>
                  <w:vMerge w:val="continue"/>
                  <w:vAlign w:val="center"/>
                </w:tcPr>
                <w:p w14:paraId="02E2B489">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p>
              </w:tc>
            </w:tr>
            <w:tr w14:paraId="0CDF2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5" w:hRule="atLeast"/>
              </w:trPr>
              <w:tc>
                <w:tcPr>
                  <w:tcW w:w="816" w:type="dxa"/>
                  <w:vMerge w:val="continue"/>
                  <w:vAlign w:val="center"/>
                </w:tcPr>
                <w:p w14:paraId="5A351C05">
                  <w:pPr>
                    <w:pStyle w:val="26"/>
                    <w:widowControl w:val="0"/>
                    <w:bidi w:val="0"/>
                    <w:spacing w:line="240" w:lineRule="auto"/>
                    <w:jc w:val="center"/>
                    <w:rPr>
                      <w:rFonts w:hint="default" w:ascii="Times New Roman" w:hAnsi="Times New Roman" w:cs="Times New Roman"/>
                      <w:color w:val="auto"/>
                      <w:sz w:val="21"/>
                      <w:szCs w:val="21"/>
                    </w:rPr>
                  </w:pPr>
                </w:p>
              </w:tc>
              <w:tc>
                <w:tcPr>
                  <w:tcW w:w="866" w:type="dxa"/>
                  <w:vAlign w:val="center"/>
                </w:tcPr>
                <w:p w14:paraId="74155EAC">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非甲烷总烃</w:t>
                  </w:r>
                </w:p>
              </w:tc>
              <w:tc>
                <w:tcPr>
                  <w:tcW w:w="2441" w:type="dxa"/>
                  <w:vAlign w:val="center"/>
                </w:tcPr>
                <w:p w14:paraId="274C69D9">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环境空气总烃、甲烷和非甲烷总烃的测定直接进样</w:t>
                  </w:r>
                  <w:r>
                    <w:rPr>
                      <w:rFonts w:hint="default" w:ascii="Times New Roman" w:hAnsi="Times New Roman" w:cs="Times New Roman"/>
                      <w:color w:val="auto"/>
                      <w:sz w:val="21"/>
                      <w:szCs w:val="21"/>
                      <w:lang w:val="en-US" w:eastAsia="zh-CN"/>
                    </w:rPr>
                    <w:t>-气相色谱法</w:t>
                  </w:r>
                </w:p>
                <w:p w14:paraId="35E26D33">
                  <w:pPr>
                    <w:widowControl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HJ</w:t>
                  </w:r>
                  <w:r>
                    <w:rPr>
                      <w:rFonts w:hint="eastAsia" w:cs="Times New Roman"/>
                      <w:color w:val="auto"/>
                      <w:sz w:val="21"/>
                      <w:szCs w:val="21"/>
                      <w:lang w:val="en-US" w:eastAsia="zh-CN"/>
                    </w:rPr>
                    <w:t xml:space="preserve"> </w:t>
                  </w:r>
                  <w:r>
                    <w:rPr>
                      <w:rFonts w:hint="default" w:ascii="Times New Roman" w:hAnsi="Times New Roman" w:cs="Times New Roman"/>
                      <w:color w:val="auto"/>
                      <w:sz w:val="21"/>
                      <w:szCs w:val="21"/>
                      <w:lang w:val="en-US" w:eastAsia="zh-CN"/>
                    </w:rPr>
                    <w:t>604-2017</w:t>
                  </w:r>
                </w:p>
              </w:tc>
              <w:tc>
                <w:tcPr>
                  <w:tcW w:w="1923" w:type="dxa"/>
                  <w:vAlign w:val="center"/>
                </w:tcPr>
                <w:p w14:paraId="679B228A">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气相色谱仪</w:t>
                  </w:r>
                </w:p>
                <w:p w14:paraId="4A0BE795">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GC979011</w:t>
                  </w:r>
                </w:p>
              </w:tc>
              <w:tc>
                <w:tcPr>
                  <w:tcW w:w="1282" w:type="dxa"/>
                  <w:vAlign w:val="center"/>
                </w:tcPr>
                <w:p w14:paraId="5591E632">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WZ-FX-007</w:t>
                  </w:r>
                </w:p>
              </w:tc>
              <w:tc>
                <w:tcPr>
                  <w:tcW w:w="1336" w:type="dxa"/>
                  <w:vAlign w:val="center"/>
                </w:tcPr>
                <w:p w14:paraId="394F1484">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0.07mg/m</w:t>
                  </w:r>
                  <w:r>
                    <w:rPr>
                      <w:rFonts w:hint="default" w:ascii="Times New Roman" w:hAnsi="Times New Roman" w:cs="Times New Roman"/>
                      <w:color w:val="auto"/>
                      <w:sz w:val="21"/>
                      <w:szCs w:val="21"/>
                      <w:vertAlign w:val="superscript"/>
                      <w:lang w:val="en-US" w:eastAsia="zh-CN"/>
                    </w:rPr>
                    <w:t>3</w:t>
                  </w:r>
                </w:p>
              </w:tc>
            </w:tr>
            <w:tr w14:paraId="21861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9" w:hRule="atLeast"/>
              </w:trPr>
              <w:tc>
                <w:tcPr>
                  <w:tcW w:w="816" w:type="dxa"/>
                  <w:vMerge w:val="restart"/>
                  <w:vAlign w:val="center"/>
                </w:tcPr>
                <w:p w14:paraId="23DC57C7">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有组织废气</w:t>
                  </w:r>
                </w:p>
              </w:tc>
              <w:tc>
                <w:tcPr>
                  <w:tcW w:w="866" w:type="dxa"/>
                  <w:vMerge w:val="restart"/>
                  <w:vAlign w:val="center"/>
                </w:tcPr>
                <w:p w14:paraId="6800A25B">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低浓度颗粒物</w:t>
                  </w:r>
                </w:p>
              </w:tc>
              <w:tc>
                <w:tcPr>
                  <w:tcW w:w="2441" w:type="dxa"/>
                  <w:vMerge w:val="restart"/>
                  <w:vAlign w:val="center"/>
                </w:tcPr>
                <w:p w14:paraId="69BC1918">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固定污染源废气</w:t>
                  </w:r>
                  <w:r>
                    <w:rPr>
                      <w:rFonts w:hint="default" w:ascii="Times New Roman" w:hAnsi="Times New Roman" w:cs="Times New Roman"/>
                      <w:color w:val="auto"/>
                      <w:sz w:val="21"/>
                      <w:szCs w:val="21"/>
                      <w:lang w:val="en-US" w:eastAsia="zh-CN"/>
                    </w:rPr>
                    <w:t xml:space="preserve"> 低浓度颗粒物的测定 重量法</w:t>
                  </w:r>
                </w:p>
                <w:p w14:paraId="180D5C68">
                  <w:pPr>
                    <w:widowControl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HJ</w:t>
                  </w:r>
                  <w:r>
                    <w:rPr>
                      <w:rFonts w:hint="eastAsia" w:cs="Times New Roman"/>
                      <w:color w:val="auto"/>
                      <w:sz w:val="21"/>
                      <w:szCs w:val="21"/>
                      <w:lang w:val="en-US" w:eastAsia="zh-CN"/>
                    </w:rPr>
                    <w:t xml:space="preserve"> </w:t>
                  </w:r>
                  <w:r>
                    <w:rPr>
                      <w:rFonts w:hint="default" w:ascii="Times New Roman" w:hAnsi="Times New Roman" w:cs="Times New Roman"/>
                      <w:color w:val="auto"/>
                      <w:sz w:val="21"/>
                      <w:szCs w:val="21"/>
                      <w:lang w:val="en-US" w:eastAsia="zh-CN"/>
                    </w:rPr>
                    <w:t>836-2017</w:t>
                  </w:r>
                </w:p>
              </w:tc>
              <w:tc>
                <w:tcPr>
                  <w:tcW w:w="1923" w:type="dxa"/>
                  <w:vAlign w:val="center"/>
                </w:tcPr>
                <w:p w14:paraId="7AC14E93">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恒温恒湿称重系统</w:t>
                  </w:r>
                </w:p>
                <w:p w14:paraId="79B1C1BC">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HSX-350</w:t>
                  </w:r>
                </w:p>
              </w:tc>
              <w:tc>
                <w:tcPr>
                  <w:tcW w:w="1282" w:type="dxa"/>
                  <w:vAlign w:val="center"/>
                </w:tcPr>
                <w:p w14:paraId="32E073C6">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WZ-FX-017</w:t>
                  </w:r>
                </w:p>
              </w:tc>
              <w:tc>
                <w:tcPr>
                  <w:tcW w:w="1336" w:type="dxa"/>
                  <w:vMerge w:val="restart"/>
                  <w:vAlign w:val="center"/>
                </w:tcPr>
                <w:p w14:paraId="5E670A81">
                  <w:pPr>
                    <w:pStyle w:val="26"/>
                    <w:widowControl w:val="0"/>
                    <w:bidi w:val="0"/>
                    <w:spacing w:line="240" w:lineRule="auto"/>
                    <w:jc w:val="center"/>
                    <w:rPr>
                      <w:rFonts w:hint="default" w:ascii="Times New Roman" w:hAnsi="Times New Roman" w:cs="Times New Roman"/>
                      <w:color w:val="auto"/>
                      <w:sz w:val="21"/>
                      <w:szCs w:val="21"/>
                      <w:vertAlign w:val="superscript"/>
                      <w:lang w:val="en-US" w:eastAsia="zh-CN"/>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p w14:paraId="0B6E30DB">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（以1m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计）</w:t>
                  </w:r>
                </w:p>
              </w:tc>
            </w:tr>
            <w:tr w14:paraId="77DFC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816" w:type="dxa"/>
                  <w:vMerge w:val="continue"/>
                  <w:vAlign w:val="center"/>
                </w:tcPr>
                <w:p w14:paraId="4D37A8E9">
                  <w:pPr>
                    <w:pStyle w:val="26"/>
                    <w:widowControl w:val="0"/>
                    <w:bidi w:val="0"/>
                    <w:spacing w:line="240" w:lineRule="auto"/>
                    <w:jc w:val="center"/>
                    <w:rPr>
                      <w:rFonts w:hint="default" w:ascii="Times New Roman" w:hAnsi="Times New Roman" w:cs="Times New Roman"/>
                      <w:color w:val="auto"/>
                      <w:sz w:val="21"/>
                      <w:szCs w:val="21"/>
                    </w:rPr>
                  </w:pPr>
                </w:p>
              </w:tc>
              <w:tc>
                <w:tcPr>
                  <w:tcW w:w="866" w:type="dxa"/>
                  <w:vMerge w:val="continue"/>
                  <w:vAlign w:val="center"/>
                </w:tcPr>
                <w:p w14:paraId="579CE368">
                  <w:pPr>
                    <w:pStyle w:val="26"/>
                    <w:widowControl w:val="0"/>
                    <w:bidi w:val="0"/>
                    <w:spacing w:line="240" w:lineRule="auto"/>
                    <w:jc w:val="center"/>
                    <w:rPr>
                      <w:rFonts w:hint="default" w:ascii="Times New Roman" w:hAnsi="Times New Roman" w:cs="Times New Roman"/>
                      <w:color w:val="auto"/>
                      <w:sz w:val="21"/>
                      <w:szCs w:val="21"/>
                    </w:rPr>
                  </w:pPr>
                </w:p>
              </w:tc>
              <w:tc>
                <w:tcPr>
                  <w:tcW w:w="2441" w:type="dxa"/>
                  <w:vMerge w:val="continue"/>
                  <w:vAlign w:val="center"/>
                </w:tcPr>
                <w:p w14:paraId="0E3CB541">
                  <w:pPr>
                    <w:pStyle w:val="26"/>
                    <w:widowControl w:val="0"/>
                    <w:bidi w:val="0"/>
                    <w:spacing w:line="240" w:lineRule="auto"/>
                    <w:jc w:val="center"/>
                    <w:rPr>
                      <w:rFonts w:hint="default" w:ascii="Times New Roman" w:hAnsi="Times New Roman" w:cs="Times New Roman"/>
                      <w:color w:val="auto"/>
                      <w:sz w:val="21"/>
                      <w:szCs w:val="21"/>
                    </w:rPr>
                  </w:pPr>
                </w:p>
              </w:tc>
              <w:tc>
                <w:tcPr>
                  <w:tcW w:w="1923" w:type="dxa"/>
                  <w:vAlign w:val="center"/>
                </w:tcPr>
                <w:p w14:paraId="26C48BB8">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电子天平（十万分之一）AP125WD</w:t>
                  </w:r>
                </w:p>
              </w:tc>
              <w:tc>
                <w:tcPr>
                  <w:tcW w:w="1282" w:type="dxa"/>
                  <w:vAlign w:val="center"/>
                </w:tcPr>
                <w:p w14:paraId="019767DF">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WZ-FX-001</w:t>
                  </w:r>
                </w:p>
              </w:tc>
              <w:tc>
                <w:tcPr>
                  <w:tcW w:w="1336" w:type="dxa"/>
                  <w:vMerge w:val="continue"/>
                  <w:vAlign w:val="center"/>
                </w:tcPr>
                <w:p w14:paraId="14289A5A">
                  <w:pPr>
                    <w:pStyle w:val="26"/>
                    <w:widowControl w:val="0"/>
                    <w:bidi w:val="0"/>
                    <w:spacing w:line="240" w:lineRule="auto"/>
                    <w:jc w:val="center"/>
                    <w:rPr>
                      <w:rFonts w:hint="default" w:ascii="Times New Roman" w:hAnsi="Times New Roman" w:cs="Times New Roman"/>
                      <w:color w:val="auto"/>
                      <w:sz w:val="21"/>
                      <w:szCs w:val="21"/>
                    </w:rPr>
                  </w:pPr>
                </w:p>
              </w:tc>
            </w:tr>
            <w:tr w14:paraId="3B411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0" w:hRule="atLeast"/>
              </w:trPr>
              <w:tc>
                <w:tcPr>
                  <w:tcW w:w="816" w:type="dxa"/>
                  <w:vMerge w:val="continue"/>
                  <w:vAlign w:val="center"/>
                </w:tcPr>
                <w:p w14:paraId="53CDA7E1">
                  <w:pPr>
                    <w:pStyle w:val="26"/>
                    <w:widowControl w:val="0"/>
                    <w:bidi w:val="0"/>
                    <w:spacing w:line="240" w:lineRule="auto"/>
                    <w:jc w:val="center"/>
                    <w:rPr>
                      <w:rFonts w:hint="default" w:ascii="Times New Roman" w:hAnsi="Times New Roman" w:cs="Times New Roman"/>
                      <w:color w:val="auto"/>
                      <w:sz w:val="21"/>
                      <w:szCs w:val="21"/>
                    </w:rPr>
                  </w:pPr>
                </w:p>
              </w:tc>
              <w:tc>
                <w:tcPr>
                  <w:tcW w:w="866" w:type="dxa"/>
                  <w:vAlign w:val="center"/>
                </w:tcPr>
                <w:p w14:paraId="7B0DCCC8">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非甲烷总烃</w:t>
                  </w:r>
                </w:p>
              </w:tc>
              <w:tc>
                <w:tcPr>
                  <w:tcW w:w="2441" w:type="dxa"/>
                  <w:vAlign w:val="center"/>
                </w:tcPr>
                <w:p w14:paraId="50F17880">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环境空气总烃、甲烷和非甲烷总烃的测定直接进样</w:t>
                  </w:r>
                  <w:r>
                    <w:rPr>
                      <w:rFonts w:hint="default" w:ascii="Times New Roman" w:hAnsi="Times New Roman" w:cs="Times New Roman"/>
                      <w:color w:val="auto"/>
                      <w:sz w:val="21"/>
                      <w:szCs w:val="21"/>
                      <w:lang w:val="en-US" w:eastAsia="zh-CN"/>
                    </w:rPr>
                    <w:t>-气相色谱法</w:t>
                  </w:r>
                </w:p>
                <w:p w14:paraId="2DC8BE27">
                  <w:pPr>
                    <w:widowControl w:val="0"/>
                    <w:spacing w:line="240" w:lineRule="auto"/>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HJ</w:t>
                  </w:r>
                  <w:r>
                    <w:rPr>
                      <w:rFonts w:hint="eastAsia" w:cs="Times New Roman"/>
                      <w:color w:val="auto"/>
                      <w:sz w:val="21"/>
                      <w:szCs w:val="21"/>
                      <w:lang w:val="en-US" w:eastAsia="zh-CN"/>
                    </w:rPr>
                    <w:t xml:space="preserve"> </w:t>
                  </w:r>
                  <w:r>
                    <w:rPr>
                      <w:rFonts w:hint="default" w:ascii="Times New Roman" w:hAnsi="Times New Roman" w:cs="Times New Roman"/>
                      <w:color w:val="auto"/>
                      <w:sz w:val="21"/>
                      <w:szCs w:val="21"/>
                      <w:lang w:val="en-US" w:eastAsia="zh-CN"/>
                    </w:rPr>
                    <w:t>604-2017</w:t>
                  </w:r>
                </w:p>
              </w:tc>
              <w:tc>
                <w:tcPr>
                  <w:tcW w:w="1923" w:type="dxa"/>
                  <w:vAlign w:val="center"/>
                </w:tcPr>
                <w:p w14:paraId="187EFAAE">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气相色谱仪</w:t>
                  </w:r>
                </w:p>
                <w:p w14:paraId="52B62D7D">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GC979011</w:t>
                  </w:r>
                </w:p>
              </w:tc>
              <w:tc>
                <w:tcPr>
                  <w:tcW w:w="1282" w:type="dxa"/>
                  <w:vAlign w:val="center"/>
                </w:tcPr>
                <w:p w14:paraId="239609EE">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WZ-FX-007</w:t>
                  </w:r>
                </w:p>
              </w:tc>
              <w:tc>
                <w:tcPr>
                  <w:tcW w:w="1336" w:type="dxa"/>
                  <w:vAlign w:val="center"/>
                </w:tcPr>
                <w:p w14:paraId="52C1DE53">
                  <w:pPr>
                    <w:pStyle w:val="26"/>
                    <w:widowControl w:val="0"/>
                    <w:bidi w:val="0"/>
                    <w:spacing w:line="240" w:lineRule="auto"/>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0.07mg/m</w:t>
                  </w:r>
                  <w:r>
                    <w:rPr>
                      <w:rFonts w:hint="default" w:ascii="Times New Roman" w:hAnsi="Times New Roman" w:cs="Times New Roman"/>
                      <w:color w:val="auto"/>
                      <w:sz w:val="21"/>
                      <w:szCs w:val="21"/>
                      <w:vertAlign w:val="superscript"/>
                      <w:lang w:val="en-US" w:eastAsia="zh-CN"/>
                    </w:rPr>
                    <w:t>3</w:t>
                  </w:r>
                </w:p>
              </w:tc>
            </w:tr>
            <w:tr w14:paraId="02F5B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5" w:hRule="atLeast"/>
              </w:trPr>
              <w:tc>
                <w:tcPr>
                  <w:tcW w:w="816" w:type="dxa"/>
                  <w:vAlign w:val="center"/>
                </w:tcPr>
                <w:p w14:paraId="5719AE26">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噪声</w:t>
                  </w:r>
                </w:p>
              </w:tc>
              <w:tc>
                <w:tcPr>
                  <w:tcW w:w="866" w:type="dxa"/>
                  <w:vAlign w:val="center"/>
                </w:tcPr>
                <w:p w14:paraId="643C9B74">
                  <w:pPr>
                    <w:pStyle w:val="26"/>
                    <w:widowControl w:val="0"/>
                    <w:bidi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工业企业厂界环境噪声</w:t>
                  </w:r>
                </w:p>
              </w:tc>
              <w:tc>
                <w:tcPr>
                  <w:tcW w:w="2441" w:type="dxa"/>
                  <w:vAlign w:val="center"/>
                </w:tcPr>
                <w:p w14:paraId="7023812B">
                  <w:pPr>
                    <w:pStyle w:val="26"/>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工业企业厂界环境噪声排放标准</w:t>
                  </w:r>
                </w:p>
                <w:p w14:paraId="1C2D6B2D">
                  <w:pPr>
                    <w:widowControl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GB</w:t>
                  </w:r>
                  <w:r>
                    <w:rPr>
                      <w:rFonts w:hint="eastAsia" w:cs="Times New Roman"/>
                      <w:color w:val="auto"/>
                      <w:sz w:val="21"/>
                      <w:szCs w:val="21"/>
                      <w:lang w:val="en-US" w:eastAsia="zh-CN"/>
                    </w:rPr>
                    <w:t xml:space="preserve"> </w:t>
                  </w:r>
                  <w:r>
                    <w:rPr>
                      <w:rFonts w:hint="default" w:ascii="Times New Roman" w:hAnsi="Times New Roman" w:cs="Times New Roman"/>
                      <w:color w:val="auto"/>
                      <w:sz w:val="21"/>
                      <w:szCs w:val="21"/>
                      <w:lang w:val="en-US" w:eastAsia="zh-CN"/>
                    </w:rPr>
                    <w:t>12348-2008</w:t>
                  </w:r>
                </w:p>
              </w:tc>
              <w:tc>
                <w:tcPr>
                  <w:tcW w:w="1923" w:type="dxa"/>
                  <w:vAlign w:val="center"/>
                </w:tcPr>
                <w:p w14:paraId="601CC26A">
                  <w:pPr>
                    <w:pStyle w:val="26"/>
                    <w:widowControl w:val="0"/>
                    <w:bidi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多功能声级计噪声分析仪</w:t>
                  </w:r>
                </w:p>
                <w:p w14:paraId="73E2F4E4">
                  <w:pPr>
                    <w:widowControl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AWA6228+</w:t>
                  </w:r>
                </w:p>
              </w:tc>
              <w:tc>
                <w:tcPr>
                  <w:tcW w:w="1282" w:type="dxa"/>
                  <w:vAlign w:val="center"/>
                </w:tcPr>
                <w:p w14:paraId="0412BAEB">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WZ-CY-019</w:t>
                  </w:r>
                </w:p>
              </w:tc>
              <w:tc>
                <w:tcPr>
                  <w:tcW w:w="1336" w:type="dxa"/>
                  <w:vAlign w:val="center"/>
                </w:tcPr>
                <w:p w14:paraId="0D6D84B7">
                  <w:pPr>
                    <w:pStyle w:val="26"/>
                    <w:widowControl w:val="0"/>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r>
          </w:tbl>
          <w:p w14:paraId="61C7F7F2">
            <w:pPr>
              <w:pStyle w:val="28"/>
              <w:spacing w:before="48" w:beforeLines="20" w:line="360" w:lineRule="auto"/>
              <w:ind w:left="0" w:leftChars="0" w:firstLine="0" w:firstLineChars="0"/>
              <w:rPr>
                <w:rFonts w:hint="default" w:ascii="Times New Roman" w:hAnsi="Times New Roman" w:cs="Times New Roman" w:eastAsiaTheme="minorEastAsia"/>
                <w:color w:val="auto"/>
                <w:sz w:val="24"/>
                <w:szCs w:val="24"/>
              </w:rPr>
            </w:pPr>
          </w:p>
          <w:p w14:paraId="7255F1FF">
            <w:pPr>
              <w:pStyle w:val="28"/>
              <w:spacing w:before="48" w:beforeLines="20" w:line="360" w:lineRule="auto"/>
              <w:rPr>
                <w:rFonts w:hint="default" w:ascii="Times New Roman" w:hAnsi="Times New Roman" w:cs="Times New Roman" w:eastAsiaTheme="minorEastAsia"/>
                <w:color w:val="auto"/>
                <w:sz w:val="24"/>
                <w:szCs w:val="24"/>
              </w:rPr>
            </w:pPr>
          </w:p>
          <w:p w14:paraId="01C439FC">
            <w:pPr>
              <w:pStyle w:val="28"/>
              <w:spacing w:before="48" w:beforeLines="20" w:line="360" w:lineRule="auto"/>
              <w:rPr>
                <w:rFonts w:hint="default" w:ascii="Times New Roman" w:hAnsi="Times New Roman" w:cs="Times New Roman" w:eastAsiaTheme="minorEastAsia"/>
                <w:color w:val="auto"/>
                <w:sz w:val="24"/>
                <w:szCs w:val="24"/>
              </w:rPr>
            </w:pPr>
          </w:p>
          <w:p w14:paraId="7A227981">
            <w:pPr>
              <w:pStyle w:val="28"/>
              <w:spacing w:before="48" w:beforeLines="20" w:line="360" w:lineRule="auto"/>
              <w:rPr>
                <w:rFonts w:hint="default" w:ascii="Times New Roman" w:hAnsi="Times New Roman" w:cs="Times New Roman" w:eastAsiaTheme="minorEastAsia"/>
                <w:color w:val="auto"/>
                <w:sz w:val="24"/>
                <w:szCs w:val="24"/>
              </w:rPr>
            </w:pPr>
          </w:p>
          <w:p w14:paraId="33798761">
            <w:pPr>
              <w:pStyle w:val="28"/>
              <w:spacing w:before="48" w:beforeLines="20" w:line="360" w:lineRule="auto"/>
              <w:rPr>
                <w:rFonts w:hint="default" w:ascii="Times New Roman" w:hAnsi="Times New Roman" w:cs="Times New Roman" w:eastAsiaTheme="minorEastAsia"/>
                <w:color w:val="auto"/>
                <w:sz w:val="24"/>
                <w:szCs w:val="24"/>
              </w:rPr>
            </w:pPr>
          </w:p>
          <w:p w14:paraId="0FFC6B89">
            <w:pPr>
              <w:pStyle w:val="28"/>
              <w:spacing w:before="48" w:beforeLines="20" w:line="360" w:lineRule="auto"/>
              <w:rPr>
                <w:rFonts w:hint="default" w:ascii="Times New Roman" w:hAnsi="Times New Roman" w:cs="Times New Roman" w:eastAsiaTheme="minorEastAsia"/>
                <w:color w:val="auto"/>
                <w:sz w:val="24"/>
                <w:szCs w:val="24"/>
              </w:rPr>
            </w:pPr>
          </w:p>
          <w:p w14:paraId="28D43BFF">
            <w:pPr>
              <w:pStyle w:val="28"/>
              <w:spacing w:before="48" w:beforeLines="20" w:line="360" w:lineRule="auto"/>
              <w:rPr>
                <w:rFonts w:hint="default" w:ascii="Times New Roman" w:hAnsi="Times New Roman" w:cs="Times New Roman" w:eastAsiaTheme="minorEastAsia"/>
                <w:color w:val="auto"/>
                <w:sz w:val="24"/>
                <w:szCs w:val="24"/>
              </w:rPr>
            </w:pPr>
          </w:p>
          <w:p w14:paraId="116F604E">
            <w:pPr>
              <w:pStyle w:val="28"/>
              <w:spacing w:before="48" w:beforeLines="20" w:line="360" w:lineRule="auto"/>
              <w:rPr>
                <w:rFonts w:hint="default" w:ascii="Times New Roman" w:hAnsi="Times New Roman" w:cs="Times New Roman" w:eastAsiaTheme="minorEastAsia"/>
                <w:color w:val="auto"/>
                <w:sz w:val="24"/>
                <w:szCs w:val="24"/>
              </w:rPr>
            </w:pPr>
          </w:p>
          <w:p w14:paraId="3C467E63">
            <w:pPr>
              <w:pStyle w:val="28"/>
              <w:spacing w:before="48" w:beforeLines="20" w:line="360" w:lineRule="auto"/>
              <w:rPr>
                <w:rFonts w:hint="default" w:ascii="Times New Roman" w:hAnsi="Times New Roman" w:cs="Times New Roman" w:eastAsiaTheme="minorEastAsia"/>
                <w:color w:val="auto"/>
                <w:sz w:val="24"/>
                <w:szCs w:val="24"/>
              </w:rPr>
            </w:pPr>
          </w:p>
          <w:p w14:paraId="7BBF74BF">
            <w:pPr>
              <w:pStyle w:val="28"/>
              <w:spacing w:before="48" w:beforeLines="20" w:line="360" w:lineRule="auto"/>
              <w:rPr>
                <w:rFonts w:hint="default" w:ascii="Times New Roman" w:hAnsi="Times New Roman" w:cs="Times New Roman" w:eastAsiaTheme="minorEastAsia"/>
                <w:color w:val="auto"/>
                <w:sz w:val="24"/>
                <w:szCs w:val="24"/>
              </w:rPr>
            </w:pPr>
          </w:p>
          <w:p w14:paraId="53D35D6F">
            <w:pPr>
              <w:pStyle w:val="28"/>
              <w:spacing w:before="48" w:beforeLines="20" w:line="360" w:lineRule="auto"/>
              <w:rPr>
                <w:rFonts w:hint="default" w:ascii="Times New Roman" w:hAnsi="Times New Roman" w:cs="Times New Roman" w:eastAsiaTheme="minorEastAsia"/>
                <w:color w:val="auto"/>
                <w:sz w:val="24"/>
                <w:szCs w:val="24"/>
              </w:rPr>
            </w:pPr>
          </w:p>
          <w:p w14:paraId="4484A4ED">
            <w:pPr>
              <w:pStyle w:val="28"/>
              <w:spacing w:before="48" w:beforeLines="20" w:line="360" w:lineRule="auto"/>
              <w:rPr>
                <w:rFonts w:hint="default" w:ascii="Times New Roman" w:hAnsi="Times New Roman" w:cs="Times New Roman" w:eastAsiaTheme="minorEastAsia"/>
                <w:color w:val="auto"/>
                <w:sz w:val="24"/>
                <w:szCs w:val="24"/>
              </w:rPr>
            </w:pPr>
          </w:p>
          <w:p w14:paraId="7DC205CF">
            <w:pPr>
              <w:pStyle w:val="28"/>
              <w:spacing w:before="48" w:beforeLines="20" w:line="360" w:lineRule="auto"/>
              <w:rPr>
                <w:rFonts w:hint="default" w:ascii="Times New Roman" w:hAnsi="Times New Roman" w:cs="Times New Roman" w:eastAsiaTheme="minorEastAsia"/>
                <w:color w:val="auto"/>
                <w:sz w:val="24"/>
                <w:szCs w:val="24"/>
              </w:rPr>
            </w:pPr>
          </w:p>
          <w:p w14:paraId="2FC0190F">
            <w:pPr>
              <w:pStyle w:val="28"/>
              <w:spacing w:before="48" w:beforeLines="20" w:line="360" w:lineRule="auto"/>
              <w:rPr>
                <w:rFonts w:hint="default" w:ascii="Times New Roman" w:hAnsi="Times New Roman" w:cs="Times New Roman" w:eastAsiaTheme="minorEastAsia"/>
                <w:color w:val="auto"/>
                <w:sz w:val="24"/>
                <w:szCs w:val="24"/>
              </w:rPr>
            </w:pPr>
          </w:p>
          <w:p w14:paraId="3E5F855A">
            <w:pPr>
              <w:pStyle w:val="28"/>
              <w:spacing w:before="48" w:beforeLines="20" w:line="360" w:lineRule="auto"/>
              <w:rPr>
                <w:rFonts w:hint="default" w:ascii="Times New Roman" w:hAnsi="Times New Roman" w:cs="Times New Roman" w:eastAsiaTheme="minorEastAsia"/>
                <w:color w:val="auto"/>
                <w:sz w:val="24"/>
                <w:szCs w:val="24"/>
              </w:rPr>
            </w:pPr>
          </w:p>
          <w:p w14:paraId="4262F568">
            <w:pPr>
              <w:pStyle w:val="28"/>
              <w:spacing w:before="48" w:beforeLines="20" w:line="360" w:lineRule="auto"/>
              <w:rPr>
                <w:rFonts w:hint="default" w:ascii="Times New Roman" w:hAnsi="Times New Roman" w:cs="Times New Roman" w:eastAsiaTheme="minorEastAsia"/>
                <w:color w:val="auto"/>
                <w:sz w:val="24"/>
                <w:szCs w:val="24"/>
              </w:rPr>
            </w:pPr>
          </w:p>
          <w:p w14:paraId="3ED6D9B9">
            <w:pPr>
              <w:pStyle w:val="28"/>
              <w:spacing w:before="48" w:beforeLines="20" w:line="360" w:lineRule="auto"/>
              <w:rPr>
                <w:rFonts w:hint="default" w:ascii="Times New Roman" w:hAnsi="Times New Roman" w:cs="Times New Roman" w:eastAsiaTheme="minorEastAsia"/>
                <w:color w:val="auto"/>
                <w:sz w:val="24"/>
                <w:szCs w:val="24"/>
              </w:rPr>
            </w:pPr>
          </w:p>
          <w:p w14:paraId="2A72D4F5">
            <w:pPr>
              <w:pStyle w:val="28"/>
              <w:spacing w:before="48" w:beforeLines="20" w:line="360" w:lineRule="auto"/>
              <w:rPr>
                <w:rFonts w:hint="default" w:ascii="Times New Roman" w:hAnsi="Times New Roman" w:cs="Times New Roman" w:eastAsiaTheme="minorEastAsia"/>
                <w:color w:val="auto"/>
                <w:sz w:val="32"/>
                <w:szCs w:val="32"/>
              </w:rPr>
            </w:pPr>
          </w:p>
          <w:p w14:paraId="57C17656">
            <w:pPr>
              <w:pStyle w:val="28"/>
              <w:spacing w:before="48" w:beforeLines="20" w:line="360" w:lineRule="auto"/>
              <w:ind w:left="0" w:leftChars="0" w:firstLine="0" w:firstLineChars="0"/>
              <w:rPr>
                <w:rFonts w:hint="default" w:ascii="Times New Roman" w:hAnsi="Times New Roman" w:cs="Times New Roman" w:eastAsiaTheme="minorEastAsia"/>
                <w:color w:val="auto"/>
                <w:sz w:val="32"/>
                <w:szCs w:val="32"/>
              </w:rPr>
            </w:pPr>
          </w:p>
          <w:p w14:paraId="40059B1A">
            <w:pPr>
              <w:pStyle w:val="28"/>
              <w:spacing w:before="48" w:beforeLines="20" w:line="360" w:lineRule="auto"/>
              <w:rPr>
                <w:rFonts w:hint="default" w:ascii="Times New Roman" w:hAnsi="Times New Roman" w:cs="Times New Roman" w:eastAsiaTheme="minorEastAsia"/>
                <w:color w:val="auto"/>
                <w:sz w:val="28"/>
                <w:szCs w:val="28"/>
              </w:rPr>
            </w:pPr>
          </w:p>
          <w:p w14:paraId="05B22E1B">
            <w:pPr>
              <w:pStyle w:val="28"/>
              <w:spacing w:before="48" w:beforeLines="20" w:line="360" w:lineRule="auto"/>
              <w:rPr>
                <w:rFonts w:hint="default" w:ascii="Times New Roman" w:hAnsi="Times New Roman" w:cs="Times New Roman" w:eastAsiaTheme="minorEastAsia"/>
                <w:color w:val="auto"/>
                <w:sz w:val="28"/>
                <w:szCs w:val="28"/>
              </w:rPr>
            </w:pPr>
          </w:p>
          <w:p w14:paraId="3A2C0AA1">
            <w:pPr>
              <w:pStyle w:val="28"/>
              <w:spacing w:before="48" w:beforeLines="20" w:line="360" w:lineRule="auto"/>
              <w:ind w:left="0" w:leftChars="0" w:firstLine="0" w:firstLineChars="0"/>
              <w:rPr>
                <w:rFonts w:hint="default" w:ascii="Times New Roman" w:hAnsi="Times New Roman" w:cs="Times New Roman" w:eastAsiaTheme="minorEastAsia"/>
                <w:color w:val="auto"/>
                <w:sz w:val="40"/>
                <w:szCs w:val="40"/>
              </w:rPr>
            </w:pPr>
          </w:p>
        </w:tc>
      </w:tr>
    </w:tbl>
    <w:p w14:paraId="09A36D96">
      <w:pPr>
        <w:spacing w:after="0" w:line="360" w:lineRule="auto"/>
        <w:rPr>
          <w:rFonts w:hint="default" w:ascii="Times New Roman" w:hAnsi="Times New Roman" w:cs="Times New Roman" w:eastAsiaTheme="minorEastAsia"/>
          <w:b/>
          <w:color w:val="auto"/>
          <w:sz w:val="24"/>
          <w:szCs w:val="24"/>
        </w:rPr>
      </w:pPr>
    </w:p>
    <w:p w14:paraId="6DA49F2C">
      <w:pPr>
        <w:spacing w:after="0" w:line="360" w:lineRule="auto"/>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表六</w:t>
      </w:r>
    </w:p>
    <w:tbl>
      <w:tblPr>
        <w:tblStyle w:val="19"/>
        <w:tblW w:w="8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14:paraId="7F6D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0" w:hRule="atLeast"/>
          <w:jc w:val="center"/>
        </w:trPr>
        <w:tc>
          <w:tcPr>
            <w:tcW w:w="8920" w:type="dxa"/>
            <w:noWrap w:val="0"/>
            <w:vAlign w:val="top"/>
          </w:tcPr>
          <w:p w14:paraId="4F16A1E9">
            <w:pPr>
              <w:spacing w:before="48" w:beforeLines="20" w:line="360" w:lineRule="auto"/>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验收监测内容：</w:t>
            </w:r>
          </w:p>
          <w:p w14:paraId="65A0F3F6">
            <w:pPr>
              <w:pageBreakBefore w:val="0"/>
              <w:numPr>
                <w:ilvl w:val="0"/>
                <w:numId w:val="0"/>
              </w:numPr>
              <w:kinsoku/>
              <w:bidi w:val="0"/>
              <w:spacing w:beforeAutospacing="0" w:afterAutospacing="0" w:line="360" w:lineRule="auto"/>
              <w:outlineLvl w:val="2"/>
              <w:rPr>
                <w:rFonts w:hint="default" w:ascii="Times New Roman" w:hAnsi="Times New Roman" w:eastAsia="宋体" w:cs="Times New Roman"/>
                <w:b/>
                <w:bCs/>
                <w:color w:val="auto"/>
                <w:sz w:val="24"/>
                <w:szCs w:val="24"/>
              </w:rPr>
            </w:pPr>
            <w:bookmarkStart w:id="7" w:name="_Toc4592"/>
            <w:bookmarkStart w:id="8" w:name="_Toc29207"/>
            <w:bookmarkStart w:id="9" w:name="_Toc515359892"/>
            <w:bookmarkStart w:id="10" w:name="_Toc26766"/>
            <w:bookmarkStart w:id="11" w:name="_Toc11881"/>
            <w:bookmarkStart w:id="12" w:name="_Toc515360866"/>
            <w:bookmarkStart w:id="13" w:name="_Toc9522"/>
            <w:bookmarkStart w:id="14" w:name="_Toc13678"/>
            <w:bookmarkStart w:id="15" w:name="_Toc17351"/>
            <w:r>
              <w:rPr>
                <w:rFonts w:hint="eastAsia" w:cs="Times New Roman"/>
                <w:b/>
                <w:bCs/>
                <w:color w:val="auto"/>
                <w:sz w:val="24"/>
                <w:szCs w:val="24"/>
                <w:lang w:val="en-US" w:eastAsia="zh-CN"/>
              </w:rPr>
              <w:t>1、</w:t>
            </w:r>
            <w:r>
              <w:rPr>
                <w:rFonts w:hint="default" w:ascii="Times New Roman" w:hAnsi="Times New Roman" w:eastAsia="宋体" w:cs="Times New Roman"/>
                <w:b/>
                <w:bCs/>
                <w:color w:val="auto"/>
                <w:sz w:val="24"/>
                <w:szCs w:val="24"/>
                <w:lang w:eastAsia="zh-CN"/>
              </w:rPr>
              <w:t>有</w:t>
            </w:r>
            <w:r>
              <w:rPr>
                <w:rFonts w:hint="default" w:ascii="Times New Roman" w:hAnsi="Times New Roman" w:eastAsia="宋体" w:cs="Times New Roman"/>
                <w:b/>
                <w:bCs/>
                <w:color w:val="auto"/>
                <w:sz w:val="24"/>
                <w:szCs w:val="24"/>
              </w:rPr>
              <w:t>组织废气监测</w:t>
            </w:r>
          </w:p>
          <w:bookmarkEnd w:id="7"/>
          <w:bookmarkEnd w:id="8"/>
          <w:p w14:paraId="7F3B6F85">
            <w:pPr>
              <w:pStyle w:val="10"/>
              <w:pageBreakBefore w:val="0"/>
              <w:numPr>
                <w:ilvl w:val="0"/>
                <w:numId w:val="0"/>
              </w:numPr>
              <w:kinsoku/>
              <w:bidi w:val="0"/>
              <w:spacing w:beforeAutospacing="0" w:after="0" w:afterLines="0" w:afterAutospacing="0" w:line="240" w:lineRule="auto"/>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eastAsia="zh-CN"/>
              </w:rPr>
              <w:t>表</w:t>
            </w:r>
            <w:r>
              <w:rPr>
                <w:rFonts w:hint="eastAsia" w:cs="Times New Roman"/>
                <w:b/>
                <w:bCs/>
                <w:color w:val="auto"/>
                <w:sz w:val="24"/>
                <w:szCs w:val="24"/>
                <w:lang w:val="en-US" w:eastAsia="zh-CN"/>
              </w:rPr>
              <w:t>6</w:t>
            </w:r>
            <w:r>
              <w:rPr>
                <w:rFonts w:hint="default"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1</w:t>
            </w:r>
            <w:r>
              <w:rPr>
                <w:rFonts w:hint="eastAsia"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val="en-US" w:eastAsia="zh-CN"/>
              </w:rPr>
              <w:t xml:space="preserve"> 有组织废气监测内容</w:t>
            </w:r>
          </w:p>
          <w:tbl>
            <w:tblPr>
              <w:tblStyle w:val="20"/>
              <w:tblW w:w="4916" w:type="pct"/>
              <w:tblInd w:w="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3"/>
              <w:gridCol w:w="6015"/>
            </w:tblGrid>
            <w:tr w14:paraId="134D9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81" w:type="pct"/>
                  <w:tcBorders>
                    <w:top w:val="single" w:color="auto" w:sz="4" w:space="0"/>
                    <w:left w:val="single" w:color="auto" w:sz="0" w:space="0"/>
                  </w:tcBorders>
                  <w:vAlign w:val="center"/>
                </w:tcPr>
                <w:p w14:paraId="012A8CAF">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排放口名称</w:t>
                  </w:r>
                </w:p>
              </w:tc>
              <w:tc>
                <w:tcPr>
                  <w:tcW w:w="3518" w:type="pct"/>
                  <w:tcBorders>
                    <w:top w:val="single" w:color="auto" w:sz="4" w:space="0"/>
                    <w:right w:val="single" w:color="auto" w:sz="4" w:space="0"/>
                  </w:tcBorders>
                  <w:vAlign w:val="center"/>
                </w:tcPr>
                <w:p w14:paraId="7BB03EDF">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喷粉、喷漆废气</w:t>
                  </w:r>
                  <w:r>
                    <w:rPr>
                      <w:rFonts w:hint="eastAsia" w:ascii="Times New Roman" w:hAnsi="Times New Roman" w:eastAsia="宋体" w:cs="Times New Roman"/>
                      <w:color w:val="auto"/>
                      <w:sz w:val="21"/>
                      <w:szCs w:val="21"/>
                      <w:lang w:val="en-US" w:eastAsia="zh-CN"/>
                    </w:rPr>
                    <w:t>排放口</w:t>
                  </w:r>
                </w:p>
              </w:tc>
            </w:tr>
            <w:tr w14:paraId="656B5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481" w:type="pct"/>
                  <w:tcBorders>
                    <w:left w:val="single" w:color="auto" w:sz="4" w:space="0"/>
                  </w:tcBorders>
                  <w:vAlign w:val="center"/>
                </w:tcPr>
                <w:p w14:paraId="219999A9">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排放口编号</w:t>
                  </w:r>
                </w:p>
              </w:tc>
              <w:tc>
                <w:tcPr>
                  <w:tcW w:w="3518" w:type="pct"/>
                  <w:tcBorders>
                    <w:right w:val="single" w:color="auto" w:sz="4" w:space="0"/>
                  </w:tcBorders>
                  <w:vAlign w:val="center"/>
                </w:tcPr>
                <w:p w14:paraId="762857E7">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DA001</w:t>
                  </w:r>
                  <w:r>
                    <w:rPr>
                      <w:rFonts w:hint="eastAsia" w:cs="Times New Roman"/>
                      <w:color w:val="auto"/>
                      <w:sz w:val="21"/>
                      <w:szCs w:val="21"/>
                      <w:lang w:eastAsia="zh-CN"/>
                    </w:rPr>
                    <w:t>、</w:t>
                  </w:r>
                  <w:r>
                    <w:rPr>
                      <w:rFonts w:hint="eastAsia" w:cs="Times New Roman"/>
                      <w:color w:val="auto"/>
                      <w:sz w:val="21"/>
                      <w:szCs w:val="21"/>
                      <w:lang w:val="en-US" w:eastAsia="zh-CN"/>
                    </w:rPr>
                    <w:t>DA002</w:t>
                  </w:r>
                </w:p>
              </w:tc>
            </w:tr>
            <w:tr w14:paraId="5A8F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481" w:type="pct"/>
                  <w:tcBorders>
                    <w:left w:val="single" w:color="auto" w:sz="4" w:space="0"/>
                  </w:tcBorders>
                  <w:vAlign w:val="center"/>
                </w:tcPr>
                <w:p w14:paraId="09DCCA37">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位置</w:t>
                  </w:r>
                </w:p>
              </w:tc>
              <w:tc>
                <w:tcPr>
                  <w:tcW w:w="3518" w:type="pct"/>
                  <w:tcBorders>
                    <w:right w:val="single" w:color="auto" w:sz="4" w:space="0"/>
                  </w:tcBorders>
                  <w:vAlign w:val="center"/>
                </w:tcPr>
                <w:p w14:paraId="4A988F57">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排气筒出口</w:t>
                  </w:r>
                </w:p>
              </w:tc>
            </w:tr>
            <w:tr w14:paraId="1A66F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481" w:type="pct"/>
                  <w:tcBorders>
                    <w:left w:val="single" w:color="auto" w:sz="4" w:space="0"/>
                  </w:tcBorders>
                  <w:vAlign w:val="center"/>
                </w:tcPr>
                <w:p w14:paraId="4E53D64C">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3518" w:type="pct"/>
                  <w:tcBorders>
                    <w:right w:val="single" w:color="auto" w:sz="4" w:space="0"/>
                  </w:tcBorders>
                  <w:vAlign w:val="center"/>
                </w:tcPr>
                <w:p w14:paraId="70927257">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颗粒物、</w:t>
                  </w:r>
                  <w:r>
                    <w:rPr>
                      <w:rFonts w:hint="eastAsia" w:cs="Times New Roman"/>
                      <w:color w:val="auto"/>
                      <w:sz w:val="21"/>
                      <w:szCs w:val="21"/>
                      <w:lang w:eastAsia="zh-CN"/>
                    </w:rPr>
                    <w:t>非甲烷总烃</w:t>
                  </w:r>
                </w:p>
              </w:tc>
            </w:tr>
            <w:tr w14:paraId="390A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481" w:type="pct"/>
                  <w:tcBorders>
                    <w:left w:val="single" w:color="auto" w:sz="4" w:space="0"/>
                  </w:tcBorders>
                  <w:vAlign w:val="center"/>
                </w:tcPr>
                <w:p w14:paraId="670933E3">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监测频次</w:t>
                  </w:r>
                </w:p>
              </w:tc>
              <w:tc>
                <w:tcPr>
                  <w:tcW w:w="3518" w:type="pct"/>
                  <w:tcBorders>
                    <w:right w:val="single" w:color="auto" w:sz="4" w:space="0"/>
                  </w:tcBorders>
                  <w:vAlign w:val="center"/>
                </w:tcPr>
                <w:p w14:paraId="7E224A76">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连续监测2天，每天监测3次</w:t>
                  </w:r>
                  <w:r>
                    <w:rPr>
                      <w:rFonts w:hint="eastAsia" w:cs="Times New Roman"/>
                      <w:color w:val="auto"/>
                      <w:sz w:val="21"/>
                      <w:szCs w:val="21"/>
                      <w:lang w:eastAsia="zh-CN"/>
                    </w:rPr>
                    <w:t>，共</w:t>
                  </w:r>
                  <w:r>
                    <w:rPr>
                      <w:rFonts w:hint="eastAsia" w:cs="Times New Roman"/>
                      <w:color w:val="auto"/>
                      <w:sz w:val="21"/>
                      <w:szCs w:val="21"/>
                      <w:lang w:val="en-US" w:eastAsia="zh-CN"/>
                    </w:rPr>
                    <w:t>6次</w:t>
                  </w:r>
                </w:p>
              </w:tc>
            </w:tr>
          </w:tbl>
          <w:p w14:paraId="70878752">
            <w:pPr>
              <w:pStyle w:val="29"/>
              <w:pageBreakBefore w:val="0"/>
              <w:widowControl w:val="0"/>
              <w:numPr>
                <w:ilvl w:val="0"/>
                <w:numId w:val="0"/>
              </w:numPr>
              <w:kinsoku/>
              <w:autoSpaceDE w:val="0"/>
              <w:autoSpaceDN w:val="0"/>
              <w:bidi w:val="0"/>
              <w:adjustRightInd w:val="0"/>
              <w:spacing w:beforeAutospacing="0" w:afterAutospacing="0" w:line="360" w:lineRule="auto"/>
              <w:outlineLvl w:val="2"/>
              <w:rPr>
                <w:rFonts w:hint="default" w:ascii="Times New Roman" w:hAnsi="Times New Roman" w:eastAsia="宋体" w:cs="Times New Roman"/>
                <w:b/>
                <w:bCs w:val="0"/>
                <w:color w:val="auto"/>
                <w:sz w:val="24"/>
                <w:szCs w:val="24"/>
                <w:lang w:val="en-US" w:eastAsia="zh-CN"/>
              </w:rPr>
            </w:pPr>
            <w:r>
              <w:rPr>
                <w:rFonts w:hint="eastAsia" w:ascii="Times New Roman" w:hAnsi="Times New Roman" w:eastAsia="宋体" w:cs="Times New Roman"/>
                <w:b/>
                <w:bCs w:val="0"/>
                <w:color w:val="auto"/>
                <w:sz w:val="24"/>
                <w:szCs w:val="24"/>
                <w:lang w:val="en-US" w:eastAsia="zh-CN"/>
              </w:rPr>
              <w:t>2、</w:t>
            </w:r>
            <w:r>
              <w:rPr>
                <w:rFonts w:hint="default" w:ascii="Times New Roman" w:hAnsi="Times New Roman" w:eastAsia="宋体" w:cs="Times New Roman"/>
                <w:b/>
                <w:bCs w:val="0"/>
                <w:color w:val="auto"/>
                <w:sz w:val="24"/>
                <w:szCs w:val="24"/>
                <w:lang w:val="en-US" w:eastAsia="zh-CN"/>
              </w:rPr>
              <w:t>无组织废气监测</w:t>
            </w:r>
          </w:p>
          <w:p w14:paraId="601B4824">
            <w:pPr>
              <w:pStyle w:val="29"/>
              <w:pageBreakBefore w:val="0"/>
              <w:numPr>
                <w:ilvl w:val="0"/>
                <w:numId w:val="0"/>
              </w:numPr>
              <w:kinsoku/>
              <w:bidi w:val="0"/>
              <w:spacing w:beforeAutospacing="0" w:afterAutospacing="0" w:line="240" w:lineRule="auto"/>
              <w:jc w:val="center"/>
              <w:rPr>
                <w:rFonts w:hint="default" w:ascii="Times New Roman" w:hAnsi="Times New Roman" w:eastAsia="宋体" w:cs="Times New Roman"/>
                <w:color w:val="auto"/>
                <w:lang w:val="en-US"/>
              </w:rPr>
            </w:pPr>
            <w:r>
              <w:rPr>
                <w:rFonts w:hint="default" w:ascii="Times New Roman" w:hAnsi="Times New Roman" w:eastAsia="宋体" w:cs="Times New Roman"/>
                <w:color w:val="auto"/>
                <w:lang w:val="en-US" w:eastAsia="zh-CN"/>
              </w:rPr>
              <w:t>表</w:t>
            </w:r>
            <w:r>
              <w:rPr>
                <w:rFonts w:hint="eastAsia" w:ascii="Times New Roman" w:hAnsi="Times New Roman" w:cs="Times New Roman"/>
                <w:color w:val="auto"/>
                <w:lang w:val="en-US" w:eastAsia="zh-CN"/>
              </w:rPr>
              <w:t>6</w:t>
            </w:r>
            <w:r>
              <w:rPr>
                <w:rFonts w:hint="default"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lang w:val="en-US" w:eastAsia="zh-CN"/>
              </w:rPr>
              <w:t xml:space="preserve"> </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t>无组织废气监测内容</w:t>
            </w:r>
          </w:p>
          <w:tbl>
            <w:tblPr>
              <w:tblStyle w:val="19"/>
              <w:tblW w:w="49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3"/>
              <w:gridCol w:w="6030"/>
            </w:tblGrid>
            <w:tr w14:paraId="1B43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470" w:type="pct"/>
                  <w:tcBorders>
                    <w:top w:val="single" w:color="auto" w:sz="4" w:space="0"/>
                    <w:left w:val="single" w:color="auto" w:sz="0" w:space="0"/>
                  </w:tcBorders>
                  <w:noWrap w:val="0"/>
                  <w:vAlign w:val="center"/>
                </w:tcPr>
                <w:p w14:paraId="1EF3B785">
                  <w:pPr>
                    <w:pageBreakBefore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监测项目</w:t>
                  </w:r>
                </w:p>
              </w:tc>
              <w:tc>
                <w:tcPr>
                  <w:tcW w:w="3529" w:type="pct"/>
                  <w:tcBorders>
                    <w:top w:val="single" w:color="auto" w:sz="4" w:space="0"/>
                    <w:right w:val="single" w:color="auto" w:sz="4" w:space="0"/>
                  </w:tcBorders>
                  <w:noWrap w:val="0"/>
                  <w:vAlign w:val="center"/>
                </w:tcPr>
                <w:p w14:paraId="1F5683FB">
                  <w:pPr>
                    <w:pageBreakBefore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颗粒物、</w:t>
                  </w:r>
                  <w:r>
                    <w:rPr>
                      <w:rFonts w:hint="eastAsia" w:cs="Times New Roman"/>
                      <w:color w:val="auto"/>
                      <w:sz w:val="21"/>
                      <w:szCs w:val="21"/>
                      <w:lang w:val="en-US" w:eastAsia="zh-CN"/>
                    </w:rPr>
                    <w:t>非甲烷总烃</w:t>
                  </w:r>
                </w:p>
              </w:tc>
            </w:tr>
            <w:tr w14:paraId="2379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470" w:type="pct"/>
                  <w:tcBorders>
                    <w:left w:val="single" w:color="auto" w:sz="4" w:space="0"/>
                  </w:tcBorders>
                  <w:noWrap w:val="0"/>
                  <w:vAlign w:val="center"/>
                </w:tcPr>
                <w:p w14:paraId="5BE21A5E">
                  <w:pPr>
                    <w:pageBreakBefore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监测点位</w:t>
                  </w:r>
                </w:p>
              </w:tc>
              <w:tc>
                <w:tcPr>
                  <w:tcW w:w="3529" w:type="pct"/>
                  <w:tcBorders>
                    <w:right w:val="single" w:color="auto" w:sz="4" w:space="0"/>
                  </w:tcBorders>
                  <w:noWrap w:val="0"/>
                  <w:vAlign w:val="center"/>
                </w:tcPr>
                <w:p w14:paraId="45C91C4E">
                  <w:pPr>
                    <w:pageBreakBefore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在项目厂界上风向设置1个参照点（G</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），厂界下风向设置3个监控点（G</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，G</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，G</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w:t>
                  </w:r>
                </w:p>
              </w:tc>
            </w:tr>
            <w:tr w14:paraId="70B90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70" w:type="pct"/>
                  <w:tcBorders>
                    <w:left w:val="single" w:color="auto" w:sz="4" w:space="0"/>
                  </w:tcBorders>
                  <w:noWrap w:val="0"/>
                  <w:vAlign w:val="center"/>
                </w:tcPr>
                <w:p w14:paraId="75FDDFC7">
                  <w:pPr>
                    <w:pageBreakBefore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监测频次</w:t>
                  </w:r>
                </w:p>
              </w:tc>
              <w:tc>
                <w:tcPr>
                  <w:tcW w:w="3529" w:type="pct"/>
                  <w:tcBorders>
                    <w:right w:val="single" w:color="auto" w:sz="4" w:space="0"/>
                  </w:tcBorders>
                  <w:noWrap w:val="0"/>
                  <w:vAlign w:val="center"/>
                </w:tcPr>
                <w:p w14:paraId="45A7A6D3">
                  <w:pPr>
                    <w:pageBreakBefore w:val="0"/>
                    <w:kinsoku/>
                    <w:bidi w:val="0"/>
                    <w:spacing w:beforeAutospacing="0"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连续监测2天，每天监测3次，共6次</w:t>
                  </w:r>
                </w:p>
              </w:tc>
            </w:tr>
            <w:bookmarkEnd w:id="9"/>
            <w:bookmarkEnd w:id="10"/>
            <w:bookmarkEnd w:id="11"/>
            <w:bookmarkEnd w:id="12"/>
            <w:bookmarkEnd w:id="13"/>
            <w:bookmarkEnd w:id="14"/>
            <w:bookmarkEnd w:id="15"/>
          </w:tbl>
          <w:p w14:paraId="6E80610A">
            <w:pPr>
              <w:pageBreakBefore w:val="0"/>
              <w:tabs>
                <w:tab w:val="right" w:pos="8704"/>
              </w:tabs>
              <w:kinsoku/>
              <w:bidi w:val="0"/>
              <w:spacing w:beforeAutospacing="0" w:afterAutospacing="0" w:line="360" w:lineRule="auto"/>
              <w:jc w:val="left"/>
              <w:outlineLvl w:val="1"/>
              <w:rPr>
                <w:rFonts w:hint="eastAsia" w:ascii="Times New Roman" w:hAnsi="Times New Roman" w:eastAsia="宋体" w:cs="Times New Roman"/>
                <w:b/>
                <w:color w:val="auto"/>
                <w:sz w:val="24"/>
                <w:szCs w:val="24"/>
                <w:lang w:val="en-US" w:eastAsia="zh-CN"/>
              </w:rPr>
            </w:pPr>
            <w:bookmarkStart w:id="16" w:name="_Toc22348"/>
            <w:bookmarkStart w:id="17" w:name="_Toc9239"/>
            <w:bookmarkStart w:id="18" w:name="_Toc515360867"/>
            <w:bookmarkStart w:id="19" w:name="_Toc8873"/>
            <w:bookmarkStart w:id="20" w:name="_Toc23958"/>
            <w:bookmarkStart w:id="21" w:name="_Toc12248"/>
            <w:bookmarkStart w:id="22" w:name="_Toc9610"/>
            <w:bookmarkStart w:id="23" w:name="_Toc16758"/>
            <w:bookmarkStart w:id="24" w:name="_Toc515359893"/>
            <w:r>
              <w:rPr>
                <w:rFonts w:hint="eastAsia" w:cs="Times New Roman"/>
                <w:b/>
                <w:color w:val="auto"/>
                <w:sz w:val="24"/>
                <w:szCs w:val="24"/>
                <w:lang w:val="en-US" w:eastAsia="zh-CN"/>
              </w:rPr>
              <w:t>3、</w:t>
            </w:r>
            <w:r>
              <w:rPr>
                <w:rFonts w:hint="default" w:ascii="Times New Roman" w:hAnsi="Times New Roman" w:eastAsia="宋体" w:cs="Times New Roman"/>
                <w:b/>
                <w:color w:val="auto"/>
                <w:sz w:val="24"/>
                <w:szCs w:val="24"/>
              </w:rPr>
              <w:t>噪声</w:t>
            </w:r>
            <w:bookmarkEnd w:id="16"/>
            <w:r>
              <w:rPr>
                <w:rFonts w:hint="eastAsia" w:cs="Times New Roman"/>
                <w:b/>
                <w:color w:val="auto"/>
                <w:sz w:val="24"/>
                <w:szCs w:val="24"/>
                <w:lang w:eastAsia="zh-CN"/>
              </w:rPr>
              <w:tab/>
            </w:r>
          </w:p>
          <w:bookmarkEnd w:id="17"/>
          <w:bookmarkEnd w:id="18"/>
          <w:bookmarkEnd w:id="19"/>
          <w:bookmarkEnd w:id="20"/>
          <w:bookmarkEnd w:id="21"/>
          <w:bookmarkEnd w:id="22"/>
          <w:bookmarkEnd w:id="23"/>
          <w:bookmarkEnd w:id="24"/>
          <w:p w14:paraId="33953710">
            <w:pPr>
              <w:pStyle w:val="29"/>
              <w:pageBreakBefore w:val="0"/>
              <w:numPr>
                <w:ilvl w:val="0"/>
                <w:numId w:val="0"/>
              </w:numPr>
              <w:kinsoku/>
              <w:bidi w:val="0"/>
              <w:spacing w:beforeAutospacing="0" w:afterAutospacing="0"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w:t>
            </w:r>
            <w:r>
              <w:rPr>
                <w:rFonts w:hint="eastAsia" w:ascii="Times New Roman" w:hAnsi="Times New Roman" w:cs="Times New Roman"/>
                <w:color w:val="auto"/>
                <w:lang w:val="en-US" w:eastAsia="zh-CN"/>
              </w:rPr>
              <w:t>6</w:t>
            </w:r>
            <w:r>
              <w:rPr>
                <w:rFonts w:hint="default"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 xml:space="preserve">3 </w:t>
            </w:r>
            <w:r>
              <w:rPr>
                <w:rFonts w:hint="default" w:ascii="Times New Roman" w:hAnsi="Times New Roman" w:eastAsia="宋体" w:cs="Times New Roman"/>
                <w:color w:val="auto"/>
                <w:lang w:val="en-US" w:eastAsia="zh-CN"/>
              </w:rPr>
              <w:t xml:space="preserve"> 噪声监测内容</w:t>
            </w:r>
          </w:p>
          <w:tbl>
            <w:tblPr>
              <w:tblStyle w:val="20"/>
              <w:tblW w:w="49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5"/>
              <w:gridCol w:w="6029"/>
            </w:tblGrid>
            <w:tr w14:paraId="45CA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471" w:type="pct"/>
                  <w:tcBorders>
                    <w:top w:val="single" w:color="auto" w:sz="4" w:space="0"/>
                    <w:left w:val="single" w:color="auto" w:sz="0" w:space="0"/>
                  </w:tcBorders>
                  <w:vAlign w:val="center"/>
                </w:tcPr>
                <w:p w14:paraId="75DD2EDA">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监测项目</w:t>
                  </w:r>
                </w:p>
              </w:tc>
              <w:tc>
                <w:tcPr>
                  <w:tcW w:w="3528" w:type="pct"/>
                  <w:tcBorders>
                    <w:top w:val="single" w:color="auto" w:sz="4" w:space="0"/>
                    <w:right w:val="single" w:color="auto" w:sz="4" w:space="0"/>
                  </w:tcBorders>
                  <w:vAlign w:val="center"/>
                </w:tcPr>
                <w:p w14:paraId="2789EF54">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Leq</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eastAsia="zh-CN"/>
                    </w:rPr>
                    <w:t>A</w:t>
                  </w:r>
                  <w:r>
                    <w:rPr>
                      <w:rFonts w:hint="eastAsia" w:ascii="Times New Roman" w:hAnsi="Times New Roman" w:eastAsia="宋体" w:cs="Times New Roman"/>
                      <w:color w:val="auto"/>
                      <w:sz w:val="21"/>
                      <w:szCs w:val="21"/>
                      <w:lang w:eastAsia="zh-CN"/>
                    </w:rPr>
                    <w:t>）</w:t>
                  </w:r>
                </w:p>
              </w:tc>
            </w:tr>
            <w:tr w14:paraId="3F84D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471" w:type="pct"/>
                  <w:tcBorders>
                    <w:left w:val="single" w:color="auto" w:sz="4" w:space="0"/>
                  </w:tcBorders>
                  <w:vAlign w:val="center"/>
                </w:tcPr>
                <w:p w14:paraId="69A104BE">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监测点位</w:t>
                  </w:r>
                </w:p>
              </w:tc>
              <w:tc>
                <w:tcPr>
                  <w:tcW w:w="3528" w:type="pct"/>
                  <w:tcBorders>
                    <w:right w:val="single" w:color="auto" w:sz="4" w:space="0"/>
                  </w:tcBorders>
                  <w:vAlign w:val="center"/>
                </w:tcPr>
                <w:p w14:paraId="2CDD0843">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项目四至厂界外1m（</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），共</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个点位</w:t>
                  </w:r>
                </w:p>
              </w:tc>
            </w:tr>
            <w:tr w14:paraId="178C1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71" w:type="pct"/>
                  <w:tcBorders>
                    <w:left w:val="single" w:color="auto" w:sz="4" w:space="0"/>
                  </w:tcBorders>
                  <w:vAlign w:val="center"/>
                </w:tcPr>
                <w:p w14:paraId="030D9BE9">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监测频次</w:t>
                  </w:r>
                </w:p>
              </w:tc>
              <w:tc>
                <w:tcPr>
                  <w:tcW w:w="3528" w:type="pct"/>
                  <w:tcBorders>
                    <w:right w:val="single" w:color="auto" w:sz="4" w:space="0"/>
                  </w:tcBorders>
                  <w:vAlign w:val="center"/>
                </w:tcPr>
                <w:p w14:paraId="5BB26C7B">
                  <w:pPr>
                    <w:pageBreakBefore w:val="0"/>
                    <w:widowControl w:val="0"/>
                    <w:kinsoku/>
                    <w:bidi w:val="0"/>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连续监测2天，每天昼夜间各监测1次，共</w:t>
                  </w: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lang w:eastAsia="zh-CN"/>
                    </w:rPr>
                    <w:t>次</w:t>
                  </w:r>
                </w:p>
              </w:tc>
            </w:tr>
          </w:tbl>
          <w:p w14:paraId="19F6E82F">
            <w:pPr>
              <w:bidi w:val="0"/>
              <w:spacing w:line="360" w:lineRule="auto"/>
              <w:rPr>
                <w:rFonts w:hint="default"/>
                <w:color w:val="auto"/>
                <w:sz w:val="24"/>
                <w:szCs w:val="24"/>
                <w:lang w:val="en-US" w:eastAsia="zh-CN"/>
              </w:rPr>
            </w:pPr>
            <w:r>
              <w:rPr>
                <w:rFonts w:hint="eastAsia" w:cs="Times New Roman" w:eastAsiaTheme="minorEastAsia"/>
                <w:b/>
                <w:bCs/>
                <w:color w:val="auto"/>
                <w:sz w:val="24"/>
                <w:szCs w:val="24"/>
                <w:lang w:val="en-US" w:eastAsia="zh-CN"/>
              </w:rPr>
              <w:t>4、监测点位</w:t>
            </w:r>
          </w:p>
          <w:p w14:paraId="3CB0CFCD">
            <w:pPr>
              <w:pStyle w:val="13"/>
              <w:spacing w:line="240" w:lineRule="auto"/>
              <w:ind w:left="0" w:leftChars="0" w:firstLine="0" w:firstLineChars="0"/>
              <w:jc w:val="center"/>
              <w:rPr>
                <w:rFonts w:hint="default"/>
                <w:color w:val="auto"/>
              </w:rPr>
            </w:pPr>
            <w:r>
              <w:rPr>
                <w:rFonts w:hint="default"/>
                <w:color w:val="auto"/>
                <w:lang w:val="en-US" w:eastAsia="zh-CN"/>
              </w:rPr>
              <w:drawing>
                <wp:inline distT="0" distB="0" distL="114300" distR="114300">
                  <wp:extent cx="5321935" cy="3569970"/>
                  <wp:effectExtent l="0" t="0" r="12065" b="11430"/>
                  <wp:docPr id="3" name="图片 3" descr="微信截图_20240723172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截图_20240723172740"/>
                          <pic:cNvPicPr>
                            <a:picLocks noChangeAspect="1"/>
                          </pic:cNvPicPr>
                        </pic:nvPicPr>
                        <pic:blipFill>
                          <a:blip r:embed="rId13"/>
                          <a:srcRect r="81"/>
                          <a:stretch>
                            <a:fillRect/>
                          </a:stretch>
                        </pic:blipFill>
                        <pic:spPr>
                          <a:xfrm>
                            <a:off x="0" y="0"/>
                            <a:ext cx="5321935" cy="3569970"/>
                          </a:xfrm>
                          <a:prstGeom prst="rect">
                            <a:avLst/>
                          </a:prstGeom>
                        </pic:spPr>
                      </pic:pic>
                    </a:graphicData>
                  </a:graphic>
                </wp:inline>
              </w:drawing>
            </w:r>
          </w:p>
        </w:tc>
      </w:tr>
    </w:tbl>
    <w:p w14:paraId="49F9E64C">
      <w:pP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br w:type="page"/>
      </w:r>
    </w:p>
    <w:p w14:paraId="1B48950C">
      <w:pPr>
        <w:spacing w:after="0" w:line="360" w:lineRule="auto"/>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表七</w:t>
      </w:r>
    </w:p>
    <w:tbl>
      <w:tblPr>
        <w:tblStyle w:val="19"/>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0"/>
      </w:tblGrid>
      <w:tr w14:paraId="58B5E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7" w:hRule="atLeast"/>
          <w:jc w:val="center"/>
        </w:trPr>
        <w:tc>
          <w:tcPr>
            <w:tcW w:w="8840" w:type="dxa"/>
            <w:noWrap w:val="0"/>
            <w:vAlign w:val="top"/>
          </w:tcPr>
          <w:p w14:paraId="482D0CEF">
            <w:pPr>
              <w:spacing w:before="48" w:beforeLines="20" w:line="360" w:lineRule="auto"/>
              <w:rPr>
                <w:rFonts w:hint="default" w:ascii="Times New Roman" w:hAnsi="Times New Roman" w:cs="Times New Roman" w:eastAsiaTheme="minorEastAsia"/>
                <w:b/>
                <w:bCs/>
                <w:color w:val="auto"/>
                <w:sz w:val="24"/>
                <w:szCs w:val="24"/>
              </w:rPr>
            </w:pPr>
            <w:r>
              <w:rPr>
                <w:rFonts w:hint="eastAsia" w:cs="Times New Roman" w:eastAsiaTheme="minorEastAsia"/>
                <w:b/>
                <w:bCs/>
                <w:color w:val="auto"/>
                <w:sz w:val="24"/>
                <w:szCs w:val="24"/>
                <w:lang w:val="en-US" w:eastAsia="zh-CN"/>
              </w:rPr>
              <w:t>1、</w:t>
            </w:r>
            <w:r>
              <w:rPr>
                <w:rFonts w:hint="default" w:ascii="Times New Roman" w:hAnsi="Times New Roman" w:cs="Times New Roman" w:eastAsiaTheme="minorEastAsia"/>
                <w:b/>
                <w:bCs/>
                <w:color w:val="auto"/>
                <w:sz w:val="24"/>
                <w:szCs w:val="24"/>
              </w:rPr>
              <w:t>验收监测期间生产工况记录：</w:t>
            </w:r>
          </w:p>
          <w:p w14:paraId="18ED961A">
            <w:pPr>
              <w:ind w:firstLine="480" w:firstLineChars="200"/>
              <w:jc w:val="left"/>
              <w:outlineLvl w:val="9"/>
              <w:rPr>
                <w:rFonts w:hint="default" w:ascii="Times New Roman" w:hAnsi="Times New Roman" w:eastAsia="宋体" w:cs="Times New Roman"/>
                <w:bCs/>
                <w:color w:val="auto"/>
                <w:sz w:val="24"/>
              </w:rPr>
            </w:pPr>
            <w:bookmarkStart w:id="25" w:name="_Toc513795213"/>
            <w:bookmarkStart w:id="26" w:name="_Toc508806192"/>
            <w:bookmarkStart w:id="27" w:name="_Toc510513648"/>
            <w:bookmarkStart w:id="28" w:name="_Toc512519573"/>
            <w:bookmarkStart w:id="29" w:name="_Toc503769153"/>
            <w:r>
              <w:rPr>
                <w:rFonts w:hint="default" w:ascii="Times New Roman" w:hAnsi="Times New Roman" w:eastAsia="宋体" w:cs="Times New Roman"/>
                <w:bCs/>
                <w:color w:val="auto"/>
                <w:sz w:val="24"/>
              </w:rPr>
              <w:t>项目区在监测期间正常生产，各环保设施运行正常，通过现场勘察，项目区环保设施均在正常工作，未发现任何环保设备无故停止运行，同时，本次验收记录了</w:t>
            </w:r>
            <w:r>
              <w:rPr>
                <w:rFonts w:hint="eastAsia" w:ascii="Times New Roman" w:hAnsi="Times New Roman" w:eastAsia="宋体" w:cs="Times New Roman"/>
                <w:bCs/>
                <w:color w:val="auto"/>
                <w:sz w:val="24"/>
                <w:lang w:eastAsia="zh-CN"/>
              </w:rPr>
              <w:t>验收监测</w:t>
            </w:r>
            <w:r>
              <w:rPr>
                <w:rFonts w:hint="eastAsia" w:cs="Times New Roman"/>
                <w:bCs/>
                <w:color w:val="auto"/>
                <w:sz w:val="24"/>
                <w:lang w:val="en-US" w:eastAsia="zh-CN"/>
              </w:rPr>
              <w:t>2024年6月27日~6月28日</w:t>
            </w:r>
            <w:r>
              <w:rPr>
                <w:rFonts w:hint="eastAsia" w:ascii="Times New Roman" w:hAnsi="Times New Roman" w:eastAsia="宋体" w:cs="Times New Roman"/>
                <w:bCs/>
                <w:color w:val="auto"/>
                <w:sz w:val="24"/>
                <w:lang w:val="en-US" w:eastAsia="zh-CN"/>
              </w:rPr>
              <w:t>2</w:t>
            </w:r>
            <w:r>
              <w:rPr>
                <w:rFonts w:hint="default" w:ascii="Times New Roman" w:hAnsi="Times New Roman" w:eastAsia="宋体" w:cs="Times New Roman"/>
                <w:bCs/>
                <w:color w:val="auto"/>
                <w:sz w:val="24"/>
              </w:rPr>
              <w:t>天的生产工况，验收期间企业均达到生产负荷的</w:t>
            </w:r>
            <w:r>
              <w:rPr>
                <w:rFonts w:hint="eastAsia" w:cs="Times New Roman"/>
                <w:bCs/>
                <w:color w:val="auto"/>
                <w:sz w:val="24"/>
                <w:lang w:val="en-US" w:eastAsia="zh-CN"/>
              </w:rPr>
              <w:t>80</w:t>
            </w:r>
            <w:r>
              <w:rPr>
                <w:rFonts w:hint="default" w:ascii="Times New Roman" w:hAnsi="Times New Roman" w:eastAsia="宋体" w:cs="Times New Roman"/>
                <w:bCs/>
                <w:color w:val="auto"/>
                <w:sz w:val="24"/>
              </w:rPr>
              <w:t>%以上，本项目符合验收条件。</w:t>
            </w:r>
            <w:bookmarkEnd w:id="25"/>
            <w:bookmarkEnd w:id="26"/>
            <w:bookmarkEnd w:id="27"/>
            <w:bookmarkEnd w:id="28"/>
            <w:bookmarkEnd w:id="29"/>
          </w:p>
          <w:p w14:paraId="2ED8CC81">
            <w:pPr>
              <w:spacing w:line="240" w:lineRule="auto"/>
              <w:jc w:val="center"/>
              <w:outlineLvl w:val="9"/>
              <w:rPr>
                <w:rFonts w:hint="default" w:ascii="Times New Roman" w:hAnsi="Times New Roman" w:eastAsia="宋体" w:cs="Times New Roman"/>
                <w:b/>
                <w:bCs/>
                <w:color w:val="auto"/>
                <w:sz w:val="24"/>
              </w:rPr>
            </w:pPr>
            <w:bookmarkStart w:id="30" w:name="_Toc512519574"/>
            <w:bookmarkStart w:id="31" w:name="_Toc513795214"/>
            <w:bookmarkStart w:id="32" w:name="_Toc510513649"/>
            <w:r>
              <w:rPr>
                <w:rFonts w:hint="default" w:ascii="Times New Roman" w:hAnsi="Times New Roman" w:eastAsia="宋体" w:cs="Times New Roman"/>
                <w:b/>
                <w:bCs/>
                <w:color w:val="auto"/>
                <w:sz w:val="24"/>
              </w:rPr>
              <w:t>表7</w:t>
            </w:r>
            <w:r>
              <w:rPr>
                <w:rFonts w:hint="eastAsia" w:cs="Times New Roman"/>
                <w:b/>
                <w:bCs/>
                <w:color w:val="auto"/>
                <w:sz w:val="24"/>
                <w:lang w:val="en-US" w:eastAsia="zh-CN"/>
              </w:rPr>
              <w:t>-</w:t>
            </w:r>
            <w:r>
              <w:rPr>
                <w:rFonts w:hint="default" w:ascii="Times New Roman" w:hAnsi="Times New Roman" w:eastAsia="宋体" w:cs="Times New Roman"/>
                <w:b/>
                <w:bCs/>
                <w:color w:val="auto"/>
                <w:sz w:val="24"/>
              </w:rPr>
              <w:t>1  项目区生产工况表</w:t>
            </w:r>
            <w:bookmarkEnd w:id="30"/>
            <w:bookmarkEnd w:id="31"/>
            <w:bookmarkEnd w:id="32"/>
          </w:p>
          <w:tbl>
            <w:tblPr>
              <w:tblStyle w:val="19"/>
              <w:tblW w:w="8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6"/>
              <w:gridCol w:w="2941"/>
              <w:gridCol w:w="2942"/>
            </w:tblGrid>
            <w:tr w14:paraId="56863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2756" w:type="dxa"/>
                  <w:tcBorders>
                    <w:tl2br w:val="single" w:color="auto" w:sz="4" w:space="0"/>
                  </w:tcBorders>
                  <w:noWrap w:val="0"/>
                  <w:vAlign w:val="center"/>
                </w:tcPr>
                <w:p w14:paraId="7C0D03FE">
                  <w:pPr>
                    <w:pStyle w:val="30"/>
                    <w:bidi w:val="0"/>
                    <w:spacing w:line="240" w:lineRule="auto"/>
                    <w:jc w:val="right"/>
                    <w:rPr>
                      <w:rFonts w:hint="default"/>
                      <w:b/>
                      <w:bCs w:val="0"/>
                      <w:color w:val="auto"/>
                      <w:sz w:val="21"/>
                      <w:szCs w:val="21"/>
                    </w:rPr>
                  </w:pPr>
                  <w:bookmarkStart w:id="33" w:name="_Toc510513650"/>
                  <w:bookmarkStart w:id="34" w:name="_Toc513795215"/>
                  <w:bookmarkStart w:id="35" w:name="_Toc512519575"/>
                  <w:r>
                    <w:rPr>
                      <w:rFonts w:hint="default"/>
                      <w:b/>
                      <w:bCs w:val="0"/>
                      <w:color w:val="auto"/>
                      <w:sz w:val="21"/>
                      <w:szCs w:val="21"/>
                    </w:rPr>
                    <w:t>日期</w:t>
                  </w:r>
                  <w:bookmarkEnd w:id="33"/>
                  <w:bookmarkEnd w:id="34"/>
                  <w:bookmarkEnd w:id="35"/>
                </w:p>
                <w:p w14:paraId="6C1033D9">
                  <w:pPr>
                    <w:spacing w:line="240" w:lineRule="auto"/>
                    <w:jc w:val="left"/>
                    <w:outlineLvl w:val="9"/>
                    <w:rPr>
                      <w:rFonts w:hint="default" w:ascii="Times New Roman" w:hAnsi="Times New Roman" w:eastAsia="宋体" w:cs="Times New Roman"/>
                      <w:b/>
                      <w:bCs/>
                      <w:color w:val="auto"/>
                      <w:sz w:val="21"/>
                      <w:szCs w:val="21"/>
                    </w:rPr>
                  </w:pPr>
                  <w:bookmarkStart w:id="36" w:name="_Toc513795216"/>
                  <w:bookmarkStart w:id="37" w:name="_Toc512519576"/>
                  <w:bookmarkStart w:id="38" w:name="_Toc510513651"/>
                  <w:r>
                    <w:rPr>
                      <w:rFonts w:hint="default" w:ascii="Times New Roman" w:hAnsi="Times New Roman" w:eastAsia="宋体" w:cs="Times New Roman"/>
                      <w:b/>
                      <w:bCs/>
                      <w:color w:val="auto"/>
                      <w:sz w:val="21"/>
                      <w:szCs w:val="21"/>
                    </w:rPr>
                    <w:t>项目</w:t>
                  </w:r>
                  <w:bookmarkEnd w:id="36"/>
                  <w:bookmarkEnd w:id="37"/>
                  <w:bookmarkEnd w:id="38"/>
                </w:p>
              </w:tc>
              <w:tc>
                <w:tcPr>
                  <w:tcW w:w="2941" w:type="dxa"/>
                  <w:noWrap w:val="0"/>
                  <w:vAlign w:val="center"/>
                </w:tcPr>
                <w:p w14:paraId="24E464AD">
                  <w:pPr>
                    <w:spacing w:line="240" w:lineRule="auto"/>
                    <w:jc w:val="center"/>
                    <w:outlineLvl w:val="9"/>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2024.6.27</w:t>
                  </w:r>
                </w:p>
              </w:tc>
              <w:tc>
                <w:tcPr>
                  <w:tcW w:w="2942" w:type="dxa"/>
                  <w:noWrap w:val="0"/>
                  <w:vAlign w:val="center"/>
                </w:tcPr>
                <w:p w14:paraId="515522C5">
                  <w:pPr>
                    <w:spacing w:line="240" w:lineRule="auto"/>
                    <w:jc w:val="center"/>
                    <w:outlineLvl w:val="9"/>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2024.6.28</w:t>
                  </w:r>
                </w:p>
              </w:tc>
            </w:tr>
            <w:tr w14:paraId="3EB1B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2756" w:type="dxa"/>
                  <w:noWrap w:val="0"/>
                  <w:vAlign w:val="center"/>
                </w:tcPr>
                <w:p w14:paraId="40C645B3">
                  <w:pPr>
                    <w:spacing w:line="240" w:lineRule="auto"/>
                    <w:jc w:val="center"/>
                    <w:outlineLvl w:val="9"/>
                    <w:rPr>
                      <w:rFonts w:hint="default" w:ascii="Times New Roman" w:hAnsi="Times New Roman" w:eastAsia="宋体" w:cs="Times New Roman"/>
                      <w:color w:val="auto"/>
                      <w:sz w:val="21"/>
                      <w:szCs w:val="21"/>
                    </w:rPr>
                  </w:pPr>
                  <w:bookmarkStart w:id="39" w:name="_Toc510513657"/>
                  <w:bookmarkStart w:id="40" w:name="_Toc512519582"/>
                  <w:bookmarkStart w:id="41" w:name="_Toc513795222"/>
                  <w:r>
                    <w:rPr>
                      <w:rFonts w:hint="default" w:ascii="Times New Roman" w:hAnsi="Times New Roman" w:eastAsia="宋体" w:cs="Times New Roman"/>
                      <w:color w:val="auto"/>
                      <w:sz w:val="21"/>
                      <w:szCs w:val="21"/>
                    </w:rPr>
                    <w:t>实际生产能力</w:t>
                  </w:r>
                  <w:bookmarkEnd w:id="39"/>
                  <w:bookmarkEnd w:id="40"/>
                  <w:bookmarkEnd w:id="41"/>
                </w:p>
              </w:tc>
              <w:tc>
                <w:tcPr>
                  <w:tcW w:w="5883" w:type="dxa"/>
                  <w:gridSpan w:val="2"/>
                  <w:noWrap w:val="0"/>
                  <w:vAlign w:val="center"/>
                </w:tcPr>
                <w:p w14:paraId="6D25F7C6">
                  <w:pPr>
                    <w:spacing w:line="240" w:lineRule="auto"/>
                    <w:jc w:val="center"/>
                    <w:outlineLvl w:val="9"/>
                    <w:rPr>
                      <w:rFonts w:hint="default" w:ascii="Times New Roman" w:hAnsi="Times New Roman" w:eastAsia="宋体" w:cs="Times New Roman"/>
                      <w:bCs/>
                      <w:color w:val="auto"/>
                      <w:sz w:val="21"/>
                      <w:szCs w:val="21"/>
                      <w:lang w:val="en-US" w:eastAsia="zh-CN"/>
                    </w:rPr>
                  </w:pPr>
                  <w:r>
                    <w:rPr>
                      <w:b w:val="0"/>
                      <w:bCs w:val="0"/>
                      <w:color w:val="auto"/>
                      <w:kern w:val="0"/>
                      <w:sz w:val="21"/>
                      <w:szCs w:val="21"/>
                      <w:lang w:val="zh-CN"/>
                    </w:rPr>
                    <w:t>年产</w:t>
                  </w:r>
                  <w:r>
                    <w:rPr>
                      <w:rFonts w:hint="eastAsia"/>
                      <w:b w:val="0"/>
                      <w:bCs w:val="0"/>
                      <w:color w:val="auto"/>
                      <w:kern w:val="0"/>
                      <w:sz w:val="21"/>
                      <w:szCs w:val="21"/>
                    </w:rPr>
                    <w:t>10000樘</w:t>
                  </w:r>
                  <w:r>
                    <w:rPr>
                      <w:rFonts w:hint="eastAsia" w:eastAsia="新宋体"/>
                      <w:b w:val="0"/>
                      <w:bCs w:val="0"/>
                      <w:color w:val="auto"/>
                      <w:kern w:val="0"/>
                      <w:sz w:val="21"/>
                      <w:szCs w:val="21"/>
                    </w:rPr>
                    <w:t>钢制非标门</w:t>
                  </w:r>
                </w:p>
              </w:tc>
            </w:tr>
            <w:tr w14:paraId="221EC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756" w:type="dxa"/>
                  <w:noWrap w:val="0"/>
                  <w:vAlign w:val="center"/>
                </w:tcPr>
                <w:p w14:paraId="06AE67E6">
                  <w:pPr>
                    <w:spacing w:line="240" w:lineRule="auto"/>
                    <w:jc w:val="center"/>
                    <w:outlineLvl w:val="9"/>
                    <w:rPr>
                      <w:rFonts w:hint="default" w:ascii="Times New Roman" w:hAnsi="Times New Roman" w:eastAsia="宋体" w:cs="Times New Roman"/>
                      <w:color w:val="auto"/>
                      <w:sz w:val="21"/>
                      <w:szCs w:val="21"/>
                    </w:rPr>
                  </w:pPr>
                  <w:bookmarkStart w:id="42" w:name="_Toc512519585"/>
                  <w:bookmarkStart w:id="43" w:name="_Toc513795225"/>
                  <w:bookmarkStart w:id="44" w:name="_Toc510513660"/>
                  <w:r>
                    <w:rPr>
                      <w:rFonts w:hint="default" w:ascii="Times New Roman" w:hAnsi="Times New Roman" w:eastAsia="宋体" w:cs="Times New Roman"/>
                      <w:color w:val="auto"/>
                      <w:sz w:val="21"/>
                      <w:szCs w:val="21"/>
                    </w:rPr>
                    <w:t>实际产量</w:t>
                  </w:r>
                  <w:bookmarkEnd w:id="42"/>
                  <w:bookmarkEnd w:id="43"/>
                  <w:bookmarkEnd w:id="44"/>
                </w:p>
              </w:tc>
              <w:tc>
                <w:tcPr>
                  <w:tcW w:w="2941" w:type="dxa"/>
                  <w:noWrap w:val="0"/>
                  <w:vAlign w:val="center"/>
                </w:tcPr>
                <w:p w14:paraId="4A40588E">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30樘/d</w:t>
                  </w:r>
                </w:p>
              </w:tc>
              <w:tc>
                <w:tcPr>
                  <w:tcW w:w="2942" w:type="dxa"/>
                  <w:noWrap w:val="0"/>
                  <w:vAlign w:val="center"/>
                </w:tcPr>
                <w:p w14:paraId="7A633052">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28樘/d</w:t>
                  </w:r>
                </w:p>
              </w:tc>
            </w:tr>
            <w:tr w14:paraId="07960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756" w:type="dxa"/>
                  <w:noWrap w:val="0"/>
                  <w:vAlign w:val="center"/>
                </w:tcPr>
                <w:p w14:paraId="3B726535">
                  <w:pPr>
                    <w:spacing w:line="240" w:lineRule="auto"/>
                    <w:jc w:val="center"/>
                    <w:outlineLvl w:val="9"/>
                    <w:rPr>
                      <w:rFonts w:hint="default" w:ascii="Times New Roman" w:hAnsi="Times New Roman" w:eastAsia="宋体" w:cs="Times New Roman"/>
                      <w:color w:val="auto"/>
                      <w:sz w:val="21"/>
                      <w:szCs w:val="21"/>
                    </w:rPr>
                  </w:pPr>
                  <w:bookmarkStart w:id="45" w:name="_Toc512519586"/>
                  <w:bookmarkStart w:id="46" w:name="_Toc513795226"/>
                  <w:bookmarkStart w:id="47" w:name="_Toc510513661"/>
                  <w:r>
                    <w:rPr>
                      <w:rFonts w:hint="default" w:ascii="Times New Roman" w:hAnsi="Times New Roman" w:eastAsia="宋体" w:cs="Times New Roman"/>
                      <w:color w:val="auto"/>
                      <w:sz w:val="21"/>
                      <w:szCs w:val="21"/>
                    </w:rPr>
                    <w:t>生产负荷（％）</w:t>
                  </w:r>
                  <w:bookmarkEnd w:id="45"/>
                  <w:bookmarkEnd w:id="46"/>
                  <w:bookmarkEnd w:id="47"/>
                </w:p>
              </w:tc>
              <w:tc>
                <w:tcPr>
                  <w:tcW w:w="2941" w:type="dxa"/>
                  <w:noWrap w:val="0"/>
                  <w:vAlign w:val="center"/>
                </w:tcPr>
                <w:p w14:paraId="02C9A2D3">
                  <w:pPr>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90%</w:t>
                  </w:r>
                </w:p>
              </w:tc>
              <w:tc>
                <w:tcPr>
                  <w:tcW w:w="2942" w:type="dxa"/>
                  <w:noWrap w:val="0"/>
                  <w:vAlign w:val="center"/>
                </w:tcPr>
                <w:p w14:paraId="007E73D7">
                  <w:pPr>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84%</w:t>
                  </w:r>
                </w:p>
              </w:tc>
            </w:tr>
          </w:tbl>
          <w:p w14:paraId="30D08716">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cs="Times New Roman" w:eastAsiaTheme="minorEastAsia"/>
                <w:b/>
                <w:bCs/>
                <w:color w:val="auto"/>
                <w:sz w:val="24"/>
                <w:szCs w:val="24"/>
                <w:lang w:val="en-US" w:eastAsia="zh-CN"/>
              </w:rPr>
            </w:pPr>
            <w:r>
              <w:rPr>
                <w:rFonts w:hint="eastAsia" w:cs="Times New Roman" w:eastAsiaTheme="minorEastAsia"/>
                <w:b/>
                <w:bCs/>
                <w:color w:val="auto"/>
                <w:sz w:val="24"/>
                <w:szCs w:val="24"/>
                <w:lang w:val="en-US" w:eastAsia="zh-CN"/>
              </w:rPr>
              <w:t>2、废气</w:t>
            </w:r>
          </w:p>
          <w:p w14:paraId="02B55706">
            <w:pPr>
              <w:keepNext w:val="0"/>
              <w:keepLines w:val="0"/>
              <w:pageBreakBefore w:val="0"/>
              <w:widowControl/>
              <w:kinsoku/>
              <w:wordWrap/>
              <w:overflowPunct/>
              <w:topLinePunct w:val="0"/>
              <w:autoSpaceDE/>
              <w:autoSpaceDN/>
              <w:bidi w:val="0"/>
              <w:adjustRightInd w:val="0"/>
              <w:snapToGrid w:val="0"/>
              <w:spacing w:line="360" w:lineRule="auto"/>
              <w:ind w:firstLine="482" w:firstLineChars="200"/>
              <w:textAlignment w:val="auto"/>
              <w:rPr>
                <w:rFonts w:hint="eastAsia" w:cs="Times New Roman" w:eastAsiaTheme="minorEastAsia"/>
                <w:b/>
                <w:bCs/>
                <w:color w:val="auto"/>
                <w:sz w:val="24"/>
                <w:szCs w:val="24"/>
                <w:lang w:val="en-US" w:eastAsia="zh-CN"/>
              </w:rPr>
            </w:pPr>
            <w:r>
              <w:rPr>
                <w:rFonts w:hint="eastAsia" w:cs="Times New Roman" w:eastAsiaTheme="minorEastAsia"/>
                <w:b/>
                <w:bCs/>
                <w:color w:val="auto"/>
                <w:sz w:val="24"/>
                <w:szCs w:val="24"/>
                <w:lang w:val="en-US" w:eastAsia="zh-CN"/>
              </w:rPr>
              <w:t>2.1 有组织废气</w:t>
            </w:r>
          </w:p>
          <w:p w14:paraId="6F7BF28C">
            <w:pPr>
              <w:pStyle w:val="13"/>
              <w:keepNext w:val="0"/>
              <w:keepLines w:val="0"/>
              <w:pageBreakBefore w:val="0"/>
              <w:widowControl/>
              <w:kinsoku/>
              <w:wordWrap w:val="0"/>
              <w:overflowPunct/>
              <w:topLinePunct/>
              <w:autoSpaceDE/>
              <w:autoSpaceDN/>
              <w:bidi w:val="0"/>
              <w:adjustRightInd w:val="0"/>
              <w:snapToGrid w:val="0"/>
              <w:spacing w:line="240" w:lineRule="auto"/>
              <w:ind w:left="0" w:leftChars="0" w:firstLine="0" w:firstLineChars="0"/>
              <w:jc w:val="center"/>
              <w:textAlignment w:val="auto"/>
              <w:rPr>
                <w:rFonts w:hint="eastAsia"/>
                <w:b/>
                <w:bCs/>
                <w:color w:val="auto"/>
                <w:lang w:val="en-US" w:eastAsia="zh-CN"/>
              </w:rPr>
            </w:pPr>
            <w:r>
              <w:rPr>
                <w:rFonts w:hint="eastAsia"/>
                <w:b/>
                <w:bCs/>
                <w:color w:val="auto"/>
                <w:lang w:val="en-US" w:eastAsia="zh-CN"/>
              </w:rPr>
              <w:t>表7-2  有组织废气检测结果</w:t>
            </w:r>
          </w:p>
          <w:tbl>
            <w:tblPr>
              <w:tblStyle w:val="20"/>
              <w:tblW w:w="8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504"/>
              <w:gridCol w:w="244"/>
              <w:gridCol w:w="856"/>
              <w:gridCol w:w="690"/>
              <w:gridCol w:w="154"/>
              <w:gridCol w:w="1134"/>
              <w:gridCol w:w="974"/>
              <w:gridCol w:w="194"/>
              <w:gridCol w:w="917"/>
              <w:gridCol w:w="862"/>
              <w:gridCol w:w="73"/>
              <w:gridCol w:w="1146"/>
            </w:tblGrid>
            <w:tr w14:paraId="72DBF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313" w:type="dxa"/>
                  <w:gridSpan w:val="7"/>
                  <w:vAlign w:val="center"/>
                </w:tcPr>
                <w:p w14:paraId="6AF2C0DB">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采样日期：2024.06.27</w:t>
                  </w:r>
                </w:p>
              </w:tc>
              <w:tc>
                <w:tcPr>
                  <w:tcW w:w="4166" w:type="dxa"/>
                  <w:gridSpan w:val="6"/>
                  <w:vAlign w:val="center"/>
                </w:tcPr>
                <w:p w14:paraId="1C001710">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检测日期：2024.06.28~2024.07.02</w:t>
                  </w:r>
                </w:p>
              </w:tc>
            </w:tr>
            <w:tr w14:paraId="7AAB9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1235" w:type="dxa"/>
                  <w:gridSpan w:val="2"/>
                  <w:vMerge w:val="restart"/>
                  <w:vAlign w:val="center"/>
                </w:tcPr>
                <w:p w14:paraId="6EDF17D0">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喷粉废气出口</w:t>
                  </w:r>
                </w:p>
              </w:tc>
              <w:tc>
                <w:tcPr>
                  <w:tcW w:w="1790" w:type="dxa"/>
                  <w:gridSpan w:val="3"/>
                  <w:vAlign w:val="center"/>
                </w:tcPr>
                <w:p w14:paraId="3D082C60">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口径（m）</w:t>
                  </w:r>
                </w:p>
              </w:tc>
              <w:tc>
                <w:tcPr>
                  <w:tcW w:w="1288" w:type="dxa"/>
                  <w:gridSpan w:val="2"/>
                  <w:vAlign w:val="center"/>
                </w:tcPr>
                <w:p w14:paraId="4D17225F">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Φ0.5</w:t>
                  </w:r>
                </w:p>
              </w:tc>
              <w:tc>
                <w:tcPr>
                  <w:tcW w:w="1168" w:type="dxa"/>
                  <w:gridSpan w:val="2"/>
                  <w:vMerge w:val="restart"/>
                  <w:vAlign w:val="center"/>
                </w:tcPr>
                <w:p w14:paraId="43DEA6DD">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喷漆废气出口</w:t>
                  </w:r>
                </w:p>
              </w:tc>
              <w:tc>
                <w:tcPr>
                  <w:tcW w:w="1779" w:type="dxa"/>
                  <w:gridSpan w:val="2"/>
                  <w:vAlign w:val="center"/>
                </w:tcPr>
                <w:p w14:paraId="637C8C25">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口径（m）</w:t>
                  </w:r>
                </w:p>
              </w:tc>
              <w:tc>
                <w:tcPr>
                  <w:tcW w:w="1219" w:type="dxa"/>
                  <w:gridSpan w:val="2"/>
                  <w:vAlign w:val="center"/>
                </w:tcPr>
                <w:p w14:paraId="6D3EE73D">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Φ0.6</w:t>
                  </w:r>
                </w:p>
              </w:tc>
            </w:tr>
            <w:tr w14:paraId="575C6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235" w:type="dxa"/>
                  <w:gridSpan w:val="2"/>
                  <w:vMerge w:val="continue"/>
                  <w:vAlign w:val="center"/>
                </w:tcPr>
                <w:p w14:paraId="71EBA3A7">
                  <w:pPr>
                    <w:pStyle w:val="26"/>
                    <w:widowControl w:val="0"/>
                    <w:bidi w:val="0"/>
                    <w:jc w:val="center"/>
                    <w:rPr>
                      <w:rFonts w:hint="default" w:ascii="Times New Roman" w:hAnsi="Times New Roman" w:cs="Times New Roman"/>
                      <w:color w:val="auto"/>
                      <w:sz w:val="21"/>
                      <w:szCs w:val="21"/>
                      <w:lang w:val="en-US" w:eastAsia="zh-CN"/>
                    </w:rPr>
                  </w:pPr>
                </w:p>
              </w:tc>
              <w:tc>
                <w:tcPr>
                  <w:tcW w:w="1790" w:type="dxa"/>
                  <w:gridSpan w:val="3"/>
                  <w:vAlign w:val="center"/>
                </w:tcPr>
                <w:p w14:paraId="0E61718D">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排气筒高度（m）</w:t>
                  </w:r>
                </w:p>
              </w:tc>
              <w:tc>
                <w:tcPr>
                  <w:tcW w:w="1288" w:type="dxa"/>
                  <w:gridSpan w:val="2"/>
                  <w:vAlign w:val="center"/>
                </w:tcPr>
                <w:p w14:paraId="76B48007">
                  <w:pPr>
                    <w:pStyle w:val="26"/>
                    <w:widowControl w:val="0"/>
                    <w:bidi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15</w:t>
                  </w:r>
                </w:p>
              </w:tc>
              <w:tc>
                <w:tcPr>
                  <w:tcW w:w="1168" w:type="dxa"/>
                  <w:gridSpan w:val="2"/>
                  <w:vMerge w:val="continue"/>
                  <w:vAlign w:val="center"/>
                </w:tcPr>
                <w:p w14:paraId="3723FB03">
                  <w:pPr>
                    <w:pStyle w:val="26"/>
                    <w:widowControl w:val="0"/>
                    <w:bidi w:val="0"/>
                    <w:jc w:val="center"/>
                    <w:rPr>
                      <w:rFonts w:hint="default" w:ascii="Times New Roman" w:hAnsi="Times New Roman" w:cs="Times New Roman"/>
                      <w:color w:val="auto"/>
                      <w:sz w:val="21"/>
                      <w:szCs w:val="21"/>
                      <w:lang w:val="en-US" w:eastAsia="zh-CN"/>
                    </w:rPr>
                  </w:pPr>
                </w:p>
              </w:tc>
              <w:tc>
                <w:tcPr>
                  <w:tcW w:w="1779" w:type="dxa"/>
                  <w:gridSpan w:val="2"/>
                  <w:vAlign w:val="center"/>
                </w:tcPr>
                <w:p w14:paraId="36877B20">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排气筒高度（m）</w:t>
                  </w:r>
                </w:p>
              </w:tc>
              <w:tc>
                <w:tcPr>
                  <w:tcW w:w="1219" w:type="dxa"/>
                  <w:gridSpan w:val="2"/>
                  <w:vAlign w:val="center"/>
                </w:tcPr>
                <w:p w14:paraId="0469DB59">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20</w:t>
                  </w:r>
                </w:p>
              </w:tc>
            </w:tr>
            <w:tr w14:paraId="0E501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479" w:type="dxa"/>
                  <w:gridSpan w:val="13"/>
                  <w:vAlign w:val="center"/>
                </w:tcPr>
                <w:p w14:paraId="5BEBE453">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检测项目及结果</w:t>
                  </w:r>
                </w:p>
              </w:tc>
            </w:tr>
            <w:tr w14:paraId="0C23A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731" w:type="dxa"/>
                  <w:vAlign w:val="center"/>
                </w:tcPr>
                <w:p w14:paraId="342C7B78">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监测点位</w:t>
                  </w:r>
                </w:p>
              </w:tc>
              <w:tc>
                <w:tcPr>
                  <w:tcW w:w="748" w:type="dxa"/>
                  <w:gridSpan w:val="2"/>
                  <w:vAlign w:val="center"/>
                </w:tcPr>
                <w:p w14:paraId="57F36AAC">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检测项目</w:t>
                  </w:r>
                </w:p>
              </w:tc>
              <w:tc>
                <w:tcPr>
                  <w:tcW w:w="856" w:type="dxa"/>
                  <w:vAlign w:val="center"/>
                </w:tcPr>
                <w:p w14:paraId="06A3038E">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w:t>
                  </w:r>
                </w:p>
                <w:p w14:paraId="1975851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频次</w:t>
                  </w:r>
                </w:p>
              </w:tc>
              <w:tc>
                <w:tcPr>
                  <w:tcW w:w="844" w:type="dxa"/>
                  <w:gridSpan w:val="2"/>
                  <w:vAlign w:val="center"/>
                </w:tcPr>
                <w:p w14:paraId="47E2455E">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流速</w:t>
                  </w:r>
                </w:p>
                <w:p w14:paraId="0E15CEC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（m/s）</w:t>
                  </w:r>
                </w:p>
              </w:tc>
              <w:tc>
                <w:tcPr>
                  <w:tcW w:w="1134" w:type="dxa"/>
                  <w:vAlign w:val="center"/>
                </w:tcPr>
                <w:p w14:paraId="316FA71D">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标杆流量（m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/h）</w:t>
                  </w:r>
                </w:p>
              </w:tc>
              <w:tc>
                <w:tcPr>
                  <w:tcW w:w="974" w:type="dxa"/>
                  <w:vAlign w:val="center"/>
                </w:tcPr>
                <w:p w14:paraId="6252DB0C">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单位</w:t>
                  </w:r>
                </w:p>
              </w:tc>
              <w:tc>
                <w:tcPr>
                  <w:tcW w:w="1111" w:type="dxa"/>
                  <w:gridSpan w:val="2"/>
                  <w:vAlign w:val="center"/>
                </w:tcPr>
                <w:p w14:paraId="781EA530">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检测结果</w:t>
                  </w:r>
                </w:p>
              </w:tc>
              <w:tc>
                <w:tcPr>
                  <w:tcW w:w="935" w:type="dxa"/>
                  <w:gridSpan w:val="2"/>
                  <w:vAlign w:val="center"/>
                </w:tcPr>
                <w:p w14:paraId="21AEFA3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平均值</w:t>
                  </w:r>
                </w:p>
              </w:tc>
              <w:tc>
                <w:tcPr>
                  <w:tcW w:w="1146" w:type="dxa"/>
                  <w:vAlign w:val="center"/>
                </w:tcPr>
                <w:p w14:paraId="6306EA3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排放速率（kg/h）</w:t>
                  </w:r>
                </w:p>
              </w:tc>
            </w:tr>
            <w:tr w14:paraId="69F01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restart"/>
                  <w:vAlign w:val="center"/>
                </w:tcPr>
                <w:p w14:paraId="63623FEC">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喷粉废气出口</w:t>
                  </w:r>
                </w:p>
              </w:tc>
              <w:tc>
                <w:tcPr>
                  <w:tcW w:w="748" w:type="dxa"/>
                  <w:gridSpan w:val="2"/>
                  <w:vMerge w:val="restart"/>
                  <w:vAlign w:val="center"/>
                </w:tcPr>
                <w:p w14:paraId="7C56BB72">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低浓度颗粒物</w:t>
                  </w:r>
                </w:p>
              </w:tc>
              <w:tc>
                <w:tcPr>
                  <w:tcW w:w="856" w:type="dxa"/>
                  <w:vAlign w:val="center"/>
                </w:tcPr>
                <w:p w14:paraId="3C12399A">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第一次</w:t>
                  </w:r>
                </w:p>
              </w:tc>
              <w:tc>
                <w:tcPr>
                  <w:tcW w:w="844" w:type="dxa"/>
                  <w:gridSpan w:val="2"/>
                  <w:vAlign w:val="center"/>
                </w:tcPr>
                <w:p w14:paraId="5F5187BD">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4.8</w:t>
                  </w:r>
                </w:p>
              </w:tc>
              <w:tc>
                <w:tcPr>
                  <w:tcW w:w="1134" w:type="dxa"/>
                  <w:vAlign w:val="center"/>
                </w:tcPr>
                <w:p w14:paraId="46409FE3">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2846</w:t>
                  </w:r>
                </w:p>
              </w:tc>
              <w:tc>
                <w:tcPr>
                  <w:tcW w:w="974" w:type="dxa"/>
                  <w:vAlign w:val="center"/>
                </w:tcPr>
                <w:p w14:paraId="5C3CDD29">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050BBA56">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2.5</w:t>
                  </w:r>
                </w:p>
              </w:tc>
              <w:tc>
                <w:tcPr>
                  <w:tcW w:w="935" w:type="dxa"/>
                  <w:gridSpan w:val="2"/>
                  <w:vMerge w:val="restart"/>
                  <w:vAlign w:val="center"/>
                </w:tcPr>
                <w:p w14:paraId="37000C99">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3.9</w:t>
                  </w:r>
                </w:p>
              </w:tc>
              <w:tc>
                <w:tcPr>
                  <w:tcW w:w="1146" w:type="dxa"/>
                  <w:vMerge w:val="restart"/>
                  <w:vAlign w:val="center"/>
                </w:tcPr>
                <w:p w14:paraId="64A40007">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1.11×10</w:t>
                  </w:r>
                  <w:r>
                    <w:rPr>
                      <w:rFonts w:hint="default" w:ascii="Times New Roman" w:hAnsi="Times New Roman" w:cs="Times New Roman"/>
                      <w:color w:val="auto"/>
                      <w:sz w:val="21"/>
                      <w:szCs w:val="21"/>
                      <w:vertAlign w:val="superscript"/>
                      <w:lang w:val="en-US" w:eastAsia="zh-CN"/>
                    </w:rPr>
                    <w:t>-2</w:t>
                  </w:r>
                </w:p>
              </w:tc>
            </w:tr>
            <w:tr w14:paraId="2F814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continue"/>
                  <w:vAlign w:val="center"/>
                </w:tcPr>
                <w:p w14:paraId="10502962">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5693CC8C">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16F9E53B">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第二次</w:t>
                  </w:r>
                </w:p>
              </w:tc>
              <w:tc>
                <w:tcPr>
                  <w:tcW w:w="844" w:type="dxa"/>
                  <w:gridSpan w:val="2"/>
                  <w:vAlign w:val="center"/>
                </w:tcPr>
                <w:p w14:paraId="5BBC8E24">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4.9</w:t>
                  </w:r>
                </w:p>
              </w:tc>
              <w:tc>
                <w:tcPr>
                  <w:tcW w:w="1134" w:type="dxa"/>
                  <w:vAlign w:val="center"/>
                </w:tcPr>
                <w:p w14:paraId="260D81FF">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2925</w:t>
                  </w:r>
                </w:p>
              </w:tc>
              <w:tc>
                <w:tcPr>
                  <w:tcW w:w="974" w:type="dxa"/>
                  <w:vAlign w:val="center"/>
                </w:tcPr>
                <w:p w14:paraId="0BA7022F">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76BB8224">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5.8</w:t>
                  </w:r>
                </w:p>
              </w:tc>
              <w:tc>
                <w:tcPr>
                  <w:tcW w:w="935" w:type="dxa"/>
                  <w:gridSpan w:val="2"/>
                  <w:vMerge w:val="continue"/>
                  <w:vAlign w:val="center"/>
                </w:tcPr>
                <w:p w14:paraId="748077AE">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7632CA15">
                  <w:pPr>
                    <w:pStyle w:val="26"/>
                    <w:widowControl w:val="0"/>
                    <w:bidi w:val="0"/>
                    <w:jc w:val="center"/>
                    <w:rPr>
                      <w:rFonts w:hint="default" w:ascii="Times New Roman" w:hAnsi="Times New Roman" w:cs="Times New Roman"/>
                      <w:color w:val="auto"/>
                      <w:sz w:val="21"/>
                      <w:szCs w:val="21"/>
                      <w:lang w:val="en-US" w:eastAsia="zh-CN"/>
                    </w:rPr>
                  </w:pPr>
                </w:p>
              </w:tc>
            </w:tr>
            <w:tr w14:paraId="42F5B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continue"/>
                  <w:vAlign w:val="center"/>
                </w:tcPr>
                <w:p w14:paraId="4B4835A2">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6331BB2A">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54F28D63">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第三次</w:t>
                  </w:r>
                </w:p>
              </w:tc>
              <w:tc>
                <w:tcPr>
                  <w:tcW w:w="844" w:type="dxa"/>
                  <w:gridSpan w:val="2"/>
                  <w:vAlign w:val="center"/>
                </w:tcPr>
                <w:p w14:paraId="25694EA9">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4.7</w:t>
                  </w:r>
                </w:p>
              </w:tc>
              <w:tc>
                <w:tcPr>
                  <w:tcW w:w="1134" w:type="dxa"/>
                  <w:vAlign w:val="center"/>
                </w:tcPr>
                <w:p w14:paraId="3303D8BA">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2825</w:t>
                  </w:r>
                </w:p>
              </w:tc>
              <w:tc>
                <w:tcPr>
                  <w:tcW w:w="974" w:type="dxa"/>
                  <w:vAlign w:val="center"/>
                </w:tcPr>
                <w:p w14:paraId="5AA6465D">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60BB7F15">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3.3</w:t>
                  </w:r>
                </w:p>
              </w:tc>
              <w:tc>
                <w:tcPr>
                  <w:tcW w:w="935" w:type="dxa"/>
                  <w:gridSpan w:val="2"/>
                  <w:vMerge w:val="continue"/>
                  <w:vAlign w:val="center"/>
                </w:tcPr>
                <w:p w14:paraId="3C549576">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665AD494">
                  <w:pPr>
                    <w:pStyle w:val="26"/>
                    <w:widowControl w:val="0"/>
                    <w:bidi w:val="0"/>
                    <w:jc w:val="center"/>
                    <w:rPr>
                      <w:rFonts w:hint="default" w:ascii="Times New Roman" w:hAnsi="Times New Roman" w:cs="Times New Roman"/>
                      <w:color w:val="auto"/>
                      <w:sz w:val="21"/>
                      <w:szCs w:val="21"/>
                      <w:lang w:val="en-US" w:eastAsia="zh-CN"/>
                    </w:rPr>
                  </w:pPr>
                </w:p>
              </w:tc>
            </w:tr>
            <w:tr w14:paraId="10F01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restart"/>
                  <w:vAlign w:val="center"/>
                </w:tcPr>
                <w:p w14:paraId="2CC2CF67">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喷漆废气出口</w:t>
                  </w:r>
                </w:p>
              </w:tc>
              <w:tc>
                <w:tcPr>
                  <w:tcW w:w="748" w:type="dxa"/>
                  <w:gridSpan w:val="2"/>
                  <w:vMerge w:val="restart"/>
                  <w:vAlign w:val="center"/>
                </w:tcPr>
                <w:p w14:paraId="6FEEE437">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856" w:type="dxa"/>
                  <w:vAlign w:val="center"/>
                </w:tcPr>
                <w:p w14:paraId="240F5425">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第一次</w:t>
                  </w:r>
                </w:p>
              </w:tc>
              <w:tc>
                <w:tcPr>
                  <w:tcW w:w="844" w:type="dxa"/>
                  <w:gridSpan w:val="2"/>
                  <w:vAlign w:val="center"/>
                </w:tcPr>
                <w:p w14:paraId="7478ABF6">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6.1</w:t>
                  </w:r>
                </w:p>
              </w:tc>
              <w:tc>
                <w:tcPr>
                  <w:tcW w:w="1134" w:type="dxa"/>
                  <w:vAlign w:val="center"/>
                </w:tcPr>
                <w:p w14:paraId="482274D3">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5231</w:t>
                  </w:r>
                </w:p>
              </w:tc>
              <w:tc>
                <w:tcPr>
                  <w:tcW w:w="974" w:type="dxa"/>
                  <w:vAlign w:val="center"/>
                </w:tcPr>
                <w:p w14:paraId="195620F4">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1CE5B5CA">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5.04</w:t>
                  </w:r>
                </w:p>
              </w:tc>
              <w:tc>
                <w:tcPr>
                  <w:tcW w:w="935" w:type="dxa"/>
                  <w:gridSpan w:val="2"/>
                  <w:vMerge w:val="restart"/>
                  <w:vAlign w:val="center"/>
                </w:tcPr>
                <w:p w14:paraId="01F669B9">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4.91</w:t>
                  </w:r>
                </w:p>
              </w:tc>
              <w:tc>
                <w:tcPr>
                  <w:tcW w:w="1146" w:type="dxa"/>
                  <w:vMerge w:val="restart"/>
                  <w:vAlign w:val="center"/>
                </w:tcPr>
                <w:p w14:paraId="47A51D59">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2.57×10</w:t>
                  </w:r>
                  <w:r>
                    <w:rPr>
                      <w:rFonts w:hint="default" w:ascii="Times New Roman" w:hAnsi="Times New Roman" w:cs="Times New Roman"/>
                      <w:color w:val="auto"/>
                      <w:sz w:val="21"/>
                      <w:szCs w:val="21"/>
                      <w:vertAlign w:val="superscript"/>
                      <w:lang w:val="en-US" w:eastAsia="zh-CN"/>
                    </w:rPr>
                    <w:t>-2</w:t>
                  </w:r>
                </w:p>
              </w:tc>
            </w:tr>
            <w:tr w14:paraId="2F531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continue"/>
                  <w:vAlign w:val="center"/>
                </w:tcPr>
                <w:p w14:paraId="54E2F2F1">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2230D57D">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67DF17D0">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第二次</w:t>
                  </w:r>
                </w:p>
              </w:tc>
              <w:tc>
                <w:tcPr>
                  <w:tcW w:w="844" w:type="dxa"/>
                  <w:gridSpan w:val="2"/>
                  <w:vAlign w:val="center"/>
                </w:tcPr>
                <w:p w14:paraId="5D90C986">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6.1</w:t>
                  </w:r>
                </w:p>
              </w:tc>
              <w:tc>
                <w:tcPr>
                  <w:tcW w:w="1134" w:type="dxa"/>
                  <w:vAlign w:val="center"/>
                </w:tcPr>
                <w:p w14:paraId="3FD29FEF">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5223</w:t>
                  </w:r>
                </w:p>
              </w:tc>
              <w:tc>
                <w:tcPr>
                  <w:tcW w:w="974" w:type="dxa"/>
                  <w:vAlign w:val="center"/>
                </w:tcPr>
                <w:p w14:paraId="4B5189EB">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372AE728">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4.84</w:t>
                  </w:r>
                </w:p>
              </w:tc>
              <w:tc>
                <w:tcPr>
                  <w:tcW w:w="935" w:type="dxa"/>
                  <w:gridSpan w:val="2"/>
                  <w:vMerge w:val="continue"/>
                  <w:vAlign w:val="center"/>
                </w:tcPr>
                <w:p w14:paraId="419B5306">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18DDD156">
                  <w:pPr>
                    <w:pStyle w:val="26"/>
                    <w:widowControl w:val="0"/>
                    <w:bidi w:val="0"/>
                    <w:jc w:val="center"/>
                    <w:rPr>
                      <w:rFonts w:hint="default" w:ascii="Times New Roman" w:hAnsi="Times New Roman" w:cs="Times New Roman"/>
                      <w:color w:val="auto"/>
                      <w:sz w:val="21"/>
                      <w:szCs w:val="21"/>
                      <w:lang w:val="en-US" w:eastAsia="zh-CN"/>
                    </w:rPr>
                  </w:pPr>
                </w:p>
              </w:tc>
            </w:tr>
            <w:tr w14:paraId="65E69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continue"/>
                  <w:vAlign w:val="center"/>
                </w:tcPr>
                <w:p w14:paraId="6AC3D678">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279530D4">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7BF67803">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第三次</w:t>
                  </w:r>
                </w:p>
              </w:tc>
              <w:tc>
                <w:tcPr>
                  <w:tcW w:w="844" w:type="dxa"/>
                  <w:gridSpan w:val="2"/>
                  <w:vAlign w:val="center"/>
                </w:tcPr>
                <w:p w14:paraId="2C8EF525">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6.1</w:t>
                  </w:r>
                </w:p>
              </w:tc>
              <w:tc>
                <w:tcPr>
                  <w:tcW w:w="1134" w:type="dxa"/>
                  <w:vAlign w:val="center"/>
                </w:tcPr>
                <w:p w14:paraId="65DCCFA2">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5236</w:t>
                  </w:r>
                </w:p>
              </w:tc>
              <w:tc>
                <w:tcPr>
                  <w:tcW w:w="974" w:type="dxa"/>
                  <w:vAlign w:val="center"/>
                </w:tcPr>
                <w:p w14:paraId="240DF0EB">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6BC55F17">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4.84</w:t>
                  </w:r>
                </w:p>
              </w:tc>
              <w:tc>
                <w:tcPr>
                  <w:tcW w:w="935" w:type="dxa"/>
                  <w:gridSpan w:val="2"/>
                  <w:vMerge w:val="continue"/>
                  <w:vAlign w:val="center"/>
                </w:tcPr>
                <w:p w14:paraId="591A4B1A">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09F43F3E">
                  <w:pPr>
                    <w:pStyle w:val="26"/>
                    <w:widowControl w:val="0"/>
                    <w:bidi w:val="0"/>
                    <w:jc w:val="center"/>
                    <w:rPr>
                      <w:rFonts w:hint="default" w:ascii="Times New Roman" w:hAnsi="Times New Roman" w:cs="Times New Roman"/>
                      <w:color w:val="auto"/>
                      <w:sz w:val="21"/>
                      <w:szCs w:val="21"/>
                      <w:lang w:val="en-US" w:eastAsia="zh-CN"/>
                    </w:rPr>
                  </w:pPr>
                </w:p>
              </w:tc>
            </w:tr>
            <w:tr w14:paraId="5D2D7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313" w:type="dxa"/>
                  <w:gridSpan w:val="7"/>
                  <w:vAlign w:val="center"/>
                </w:tcPr>
                <w:p w14:paraId="528FE3FC">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采样日期：2024.06.28</w:t>
                  </w:r>
                </w:p>
              </w:tc>
              <w:tc>
                <w:tcPr>
                  <w:tcW w:w="4166" w:type="dxa"/>
                  <w:gridSpan w:val="6"/>
                  <w:vAlign w:val="center"/>
                </w:tcPr>
                <w:p w14:paraId="3ED96D55">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检测日期：2024.06.28~2024.07.02</w:t>
                  </w:r>
                </w:p>
              </w:tc>
            </w:tr>
            <w:tr w14:paraId="5C331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235" w:type="dxa"/>
                  <w:gridSpan w:val="2"/>
                  <w:vMerge w:val="restart"/>
                  <w:vAlign w:val="center"/>
                </w:tcPr>
                <w:p w14:paraId="70806167">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喷粉废气出口</w:t>
                  </w:r>
                </w:p>
              </w:tc>
              <w:tc>
                <w:tcPr>
                  <w:tcW w:w="1790" w:type="dxa"/>
                  <w:gridSpan w:val="3"/>
                  <w:vAlign w:val="center"/>
                </w:tcPr>
                <w:p w14:paraId="1B373FA5">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口径（m）</w:t>
                  </w:r>
                </w:p>
              </w:tc>
              <w:tc>
                <w:tcPr>
                  <w:tcW w:w="1288" w:type="dxa"/>
                  <w:gridSpan w:val="2"/>
                  <w:vAlign w:val="center"/>
                </w:tcPr>
                <w:p w14:paraId="3F119D60">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Φ0.5</w:t>
                  </w:r>
                </w:p>
              </w:tc>
              <w:tc>
                <w:tcPr>
                  <w:tcW w:w="1168" w:type="dxa"/>
                  <w:gridSpan w:val="2"/>
                  <w:vMerge w:val="restart"/>
                  <w:vAlign w:val="center"/>
                </w:tcPr>
                <w:p w14:paraId="53F664C8">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喷漆废气出口</w:t>
                  </w:r>
                </w:p>
              </w:tc>
              <w:tc>
                <w:tcPr>
                  <w:tcW w:w="1779" w:type="dxa"/>
                  <w:gridSpan w:val="2"/>
                  <w:vAlign w:val="center"/>
                </w:tcPr>
                <w:p w14:paraId="055C33A3">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口径（m）</w:t>
                  </w:r>
                </w:p>
              </w:tc>
              <w:tc>
                <w:tcPr>
                  <w:tcW w:w="1219" w:type="dxa"/>
                  <w:gridSpan w:val="2"/>
                  <w:vAlign w:val="center"/>
                </w:tcPr>
                <w:p w14:paraId="037C5BA0">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Φ0.6</w:t>
                  </w:r>
                </w:p>
              </w:tc>
            </w:tr>
            <w:tr w14:paraId="7DE93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1235" w:type="dxa"/>
                  <w:gridSpan w:val="2"/>
                  <w:vMerge w:val="continue"/>
                  <w:vAlign w:val="center"/>
                </w:tcPr>
                <w:p w14:paraId="112D7209">
                  <w:pPr>
                    <w:pStyle w:val="26"/>
                    <w:widowControl w:val="0"/>
                    <w:bidi w:val="0"/>
                    <w:jc w:val="center"/>
                    <w:rPr>
                      <w:rFonts w:hint="default" w:ascii="Times New Roman" w:hAnsi="Times New Roman" w:cs="Times New Roman"/>
                      <w:color w:val="auto"/>
                      <w:sz w:val="21"/>
                      <w:szCs w:val="21"/>
                      <w:lang w:val="en-US" w:eastAsia="zh-CN"/>
                    </w:rPr>
                  </w:pPr>
                </w:p>
              </w:tc>
              <w:tc>
                <w:tcPr>
                  <w:tcW w:w="1790" w:type="dxa"/>
                  <w:gridSpan w:val="3"/>
                  <w:vAlign w:val="center"/>
                </w:tcPr>
                <w:p w14:paraId="57F086BE">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排气筒高度（m）</w:t>
                  </w:r>
                </w:p>
              </w:tc>
              <w:tc>
                <w:tcPr>
                  <w:tcW w:w="1288" w:type="dxa"/>
                  <w:gridSpan w:val="2"/>
                  <w:vAlign w:val="center"/>
                </w:tcPr>
                <w:p w14:paraId="4715FEC9">
                  <w:pPr>
                    <w:pStyle w:val="26"/>
                    <w:widowControl w:val="0"/>
                    <w:bidi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15</w:t>
                  </w:r>
                </w:p>
              </w:tc>
              <w:tc>
                <w:tcPr>
                  <w:tcW w:w="1168" w:type="dxa"/>
                  <w:gridSpan w:val="2"/>
                  <w:vMerge w:val="continue"/>
                  <w:vAlign w:val="center"/>
                </w:tcPr>
                <w:p w14:paraId="6844EF99">
                  <w:pPr>
                    <w:pStyle w:val="26"/>
                    <w:widowControl w:val="0"/>
                    <w:bidi w:val="0"/>
                    <w:jc w:val="center"/>
                    <w:rPr>
                      <w:rFonts w:hint="default" w:ascii="Times New Roman" w:hAnsi="Times New Roman" w:cs="Times New Roman"/>
                      <w:color w:val="auto"/>
                      <w:sz w:val="21"/>
                      <w:szCs w:val="21"/>
                      <w:lang w:val="en-US" w:eastAsia="zh-CN"/>
                    </w:rPr>
                  </w:pPr>
                </w:p>
              </w:tc>
              <w:tc>
                <w:tcPr>
                  <w:tcW w:w="1779" w:type="dxa"/>
                  <w:gridSpan w:val="2"/>
                  <w:vAlign w:val="center"/>
                </w:tcPr>
                <w:p w14:paraId="61A6C732">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排气筒高度（m）</w:t>
                  </w:r>
                </w:p>
              </w:tc>
              <w:tc>
                <w:tcPr>
                  <w:tcW w:w="1219" w:type="dxa"/>
                  <w:gridSpan w:val="2"/>
                  <w:vAlign w:val="center"/>
                </w:tcPr>
                <w:p w14:paraId="32F24F55">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20</w:t>
                  </w:r>
                </w:p>
              </w:tc>
            </w:tr>
            <w:tr w14:paraId="52AE7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479" w:type="dxa"/>
                  <w:gridSpan w:val="13"/>
                  <w:vAlign w:val="center"/>
                </w:tcPr>
                <w:p w14:paraId="7A4B93E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检测项目及结果</w:t>
                  </w:r>
                </w:p>
              </w:tc>
            </w:tr>
            <w:tr w14:paraId="59541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731" w:type="dxa"/>
                  <w:vAlign w:val="center"/>
                </w:tcPr>
                <w:p w14:paraId="0AC443B0">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监测点位</w:t>
                  </w:r>
                </w:p>
              </w:tc>
              <w:tc>
                <w:tcPr>
                  <w:tcW w:w="748" w:type="dxa"/>
                  <w:gridSpan w:val="2"/>
                  <w:vAlign w:val="center"/>
                </w:tcPr>
                <w:p w14:paraId="67B79C0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检测项目</w:t>
                  </w:r>
                </w:p>
              </w:tc>
              <w:tc>
                <w:tcPr>
                  <w:tcW w:w="856" w:type="dxa"/>
                  <w:vAlign w:val="center"/>
                </w:tcPr>
                <w:p w14:paraId="3064CC9A">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w:t>
                  </w:r>
                </w:p>
                <w:p w14:paraId="6FBF03B3">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频次</w:t>
                  </w:r>
                </w:p>
              </w:tc>
              <w:tc>
                <w:tcPr>
                  <w:tcW w:w="844" w:type="dxa"/>
                  <w:gridSpan w:val="2"/>
                  <w:vAlign w:val="center"/>
                </w:tcPr>
                <w:p w14:paraId="0BCC631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流速</w:t>
                  </w:r>
                </w:p>
                <w:p w14:paraId="35F1A20D">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（m/s）</w:t>
                  </w:r>
                </w:p>
              </w:tc>
              <w:tc>
                <w:tcPr>
                  <w:tcW w:w="1134" w:type="dxa"/>
                  <w:vAlign w:val="center"/>
                </w:tcPr>
                <w:p w14:paraId="3F0B809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标杆流量（m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/h）</w:t>
                  </w:r>
                </w:p>
              </w:tc>
              <w:tc>
                <w:tcPr>
                  <w:tcW w:w="974" w:type="dxa"/>
                  <w:vAlign w:val="center"/>
                </w:tcPr>
                <w:p w14:paraId="4DA41F8F">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单位</w:t>
                  </w:r>
                </w:p>
              </w:tc>
              <w:tc>
                <w:tcPr>
                  <w:tcW w:w="1111" w:type="dxa"/>
                  <w:gridSpan w:val="2"/>
                  <w:vAlign w:val="center"/>
                </w:tcPr>
                <w:p w14:paraId="11BFFD53">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检测结果</w:t>
                  </w:r>
                </w:p>
              </w:tc>
              <w:tc>
                <w:tcPr>
                  <w:tcW w:w="935" w:type="dxa"/>
                  <w:gridSpan w:val="2"/>
                  <w:vAlign w:val="center"/>
                </w:tcPr>
                <w:p w14:paraId="2E7E7D4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平均值</w:t>
                  </w:r>
                </w:p>
              </w:tc>
              <w:tc>
                <w:tcPr>
                  <w:tcW w:w="1146" w:type="dxa"/>
                  <w:vAlign w:val="center"/>
                </w:tcPr>
                <w:p w14:paraId="37D73071">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排放速率（kg/h）</w:t>
                  </w:r>
                </w:p>
              </w:tc>
            </w:tr>
            <w:tr w14:paraId="56BA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restart"/>
                  <w:vAlign w:val="center"/>
                </w:tcPr>
                <w:p w14:paraId="4A9EF0E6">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喷粉废气出口</w:t>
                  </w:r>
                </w:p>
              </w:tc>
              <w:tc>
                <w:tcPr>
                  <w:tcW w:w="748" w:type="dxa"/>
                  <w:gridSpan w:val="2"/>
                  <w:vMerge w:val="restart"/>
                  <w:vAlign w:val="center"/>
                </w:tcPr>
                <w:p w14:paraId="471F7015">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低浓度颗粒物</w:t>
                  </w:r>
                </w:p>
              </w:tc>
              <w:tc>
                <w:tcPr>
                  <w:tcW w:w="856" w:type="dxa"/>
                  <w:vAlign w:val="center"/>
                </w:tcPr>
                <w:p w14:paraId="0DF4E4A0">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第一次</w:t>
                  </w:r>
                </w:p>
              </w:tc>
              <w:tc>
                <w:tcPr>
                  <w:tcW w:w="844" w:type="dxa"/>
                  <w:gridSpan w:val="2"/>
                  <w:vAlign w:val="center"/>
                </w:tcPr>
                <w:p w14:paraId="646828F0">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4.7</w:t>
                  </w:r>
                </w:p>
              </w:tc>
              <w:tc>
                <w:tcPr>
                  <w:tcW w:w="1134" w:type="dxa"/>
                  <w:vAlign w:val="center"/>
                </w:tcPr>
                <w:p w14:paraId="60D2FC23">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2780</w:t>
                  </w:r>
                </w:p>
              </w:tc>
              <w:tc>
                <w:tcPr>
                  <w:tcW w:w="974" w:type="dxa"/>
                  <w:vAlign w:val="center"/>
                </w:tcPr>
                <w:p w14:paraId="19D88A9A">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720036E5">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2.3</w:t>
                  </w:r>
                </w:p>
              </w:tc>
              <w:tc>
                <w:tcPr>
                  <w:tcW w:w="935" w:type="dxa"/>
                  <w:gridSpan w:val="2"/>
                  <w:vMerge w:val="restart"/>
                  <w:vAlign w:val="center"/>
                </w:tcPr>
                <w:p w14:paraId="5DBA9704">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3.2</w:t>
                  </w:r>
                </w:p>
              </w:tc>
              <w:tc>
                <w:tcPr>
                  <w:tcW w:w="1146" w:type="dxa"/>
                  <w:vMerge w:val="restart"/>
                  <w:vAlign w:val="center"/>
                </w:tcPr>
                <w:p w14:paraId="56B9F557">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8.88×10</w:t>
                  </w:r>
                  <w:r>
                    <w:rPr>
                      <w:rFonts w:hint="default" w:ascii="Times New Roman" w:hAnsi="Times New Roman" w:cs="Times New Roman"/>
                      <w:color w:val="auto"/>
                      <w:sz w:val="21"/>
                      <w:szCs w:val="21"/>
                      <w:vertAlign w:val="superscript"/>
                      <w:lang w:val="en-US" w:eastAsia="zh-CN"/>
                    </w:rPr>
                    <w:t>-3</w:t>
                  </w:r>
                </w:p>
              </w:tc>
            </w:tr>
            <w:tr w14:paraId="1618A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continue"/>
                  <w:vAlign w:val="center"/>
                </w:tcPr>
                <w:p w14:paraId="74F972DC">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2FCD45D6">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7A547A64">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第二次</w:t>
                  </w:r>
                </w:p>
              </w:tc>
              <w:tc>
                <w:tcPr>
                  <w:tcW w:w="844" w:type="dxa"/>
                  <w:gridSpan w:val="2"/>
                  <w:vAlign w:val="center"/>
                </w:tcPr>
                <w:p w14:paraId="041C1964">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4.5</w:t>
                  </w:r>
                </w:p>
              </w:tc>
              <w:tc>
                <w:tcPr>
                  <w:tcW w:w="1134" w:type="dxa"/>
                  <w:vAlign w:val="center"/>
                </w:tcPr>
                <w:p w14:paraId="10F1C491">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2669</w:t>
                  </w:r>
                </w:p>
              </w:tc>
              <w:tc>
                <w:tcPr>
                  <w:tcW w:w="974" w:type="dxa"/>
                  <w:vAlign w:val="center"/>
                </w:tcPr>
                <w:p w14:paraId="75AD055A">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0B8A60A1">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3.3</w:t>
                  </w:r>
                </w:p>
              </w:tc>
              <w:tc>
                <w:tcPr>
                  <w:tcW w:w="935" w:type="dxa"/>
                  <w:gridSpan w:val="2"/>
                  <w:vMerge w:val="continue"/>
                  <w:vAlign w:val="center"/>
                </w:tcPr>
                <w:p w14:paraId="2BDB65ED">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4ABD2BDF">
                  <w:pPr>
                    <w:pStyle w:val="26"/>
                    <w:widowControl w:val="0"/>
                    <w:bidi w:val="0"/>
                    <w:jc w:val="center"/>
                    <w:rPr>
                      <w:rFonts w:hint="default" w:ascii="Times New Roman" w:hAnsi="Times New Roman" w:cs="Times New Roman"/>
                      <w:color w:val="auto"/>
                      <w:sz w:val="21"/>
                      <w:szCs w:val="21"/>
                      <w:lang w:val="en-US" w:eastAsia="zh-CN"/>
                    </w:rPr>
                  </w:pPr>
                </w:p>
              </w:tc>
            </w:tr>
            <w:tr w14:paraId="41C86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continue"/>
                  <w:vAlign w:val="center"/>
                </w:tcPr>
                <w:p w14:paraId="0EA1817B">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7D35218C">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18FF3B22">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第三次</w:t>
                  </w:r>
                </w:p>
              </w:tc>
              <w:tc>
                <w:tcPr>
                  <w:tcW w:w="844" w:type="dxa"/>
                  <w:gridSpan w:val="2"/>
                  <w:vAlign w:val="center"/>
                </w:tcPr>
                <w:p w14:paraId="5E2E7110">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4.7</w:t>
                  </w:r>
                </w:p>
              </w:tc>
              <w:tc>
                <w:tcPr>
                  <w:tcW w:w="1134" w:type="dxa"/>
                  <w:vAlign w:val="center"/>
                </w:tcPr>
                <w:p w14:paraId="161FF1F2">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2791</w:t>
                  </w:r>
                </w:p>
              </w:tc>
              <w:tc>
                <w:tcPr>
                  <w:tcW w:w="974" w:type="dxa"/>
                  <w:vAlign w:val="center"/>
                </w:tcPr>
                <w:p w14:paraId="362071C3">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400C57F5">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4.1</w:t>
                  </w:r>
                </w:p>
              </w:tc>
              <w:tc>
                <w:tcPr>
                  <w:tcW w:w="935" w:type="dxa"/>
                  <w:gridSpan w:val="2"/>
                  <w:vMerge w:val="continue"/>
                  <w:vAlign w:val="center"/>
                </w:tcPr>
                <w:p w14:paraId="0B783D84">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6999E695">
                  <w:pPr>
                    <w:pStyle w:val="26"/>
                    <w:widowControl w:val="0"/>
                    <w:bidi w:val="0"/>
                    <w:jc w:val="center"/>
                    <w:rPr>
                      <w:rFonts w:hint="default" w:ascii="Times New Roman" w:hAnsi="Times New Roman" w:cs="Times New Roman"/>
                      <w:color w:val="auto"/>
                      <w:sz w:val="21"/>
                      <w:szCs w:val="21"/>
                      <w:lang w:val="en-US" w:eastAsia="zh-CN"/>
                    </w:rPr>
                  </w:pPr>
                </w:p>
              </w:tc>
            </w:tr>
            <w:tr w14:paraId="739BC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restart"/>
                  <w:vAlign w:val="center"/>
                </w:tcPr>
                <w:p w14:paraId="522C1DC4">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喷漆废气出口</w:t>
                  </w:r>
                </w:p>
              </w:tc>
              <w:tc>
                <w:tcPr>
                  <w:tcW w:w="748" w:type="dxa"/>
                  <w:gridSpan w:val="2"/>
                  <w:vMerge w:val="restart"/>
                  <w:vAlign w:val="center"/>
                </w:tcPr>
                <w:p w14:paraId="0E2ED2EA">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856" w:type="dxa"/>
                  <w:vAlign w:val="center"/>
                </w:tcPr>
                <w:p w14:paraId="1BF1CC89">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第一次</w:t>
                  </w:r>
                </w:p>
              </w:tc>
              <w:tc>
                <w:tcPr>
                  <w:tcW w:w="844" w:type="dxa"/>
                  <w:gridSpan w:val="2"/>
                  <w:vAlign w:val="center"/>
                </w:tcPr>
                <w:p w14:paraId="10D08F9D">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6.1</w:t>
                  </w:r>
                </w:p>
              </w:tc>
              <w:tc>
                <w:tcPr>
                  <w:tcW w:w="1134" w:type="dxa"/>
                  <w:vAlign w:val="center"/>
                </w:tcPr>
                <w:p w14:paraId="003CC651">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5201</w:t>
                  </w:r>
                </w:p>
              </w:tc>
              <w:tc>
                <w:tcPr>
                  <w:tcW w:w="974" w:type="dxa"/>
                  <w:vAlign w:val="center"/>
                </w:tcPr>
                <w:p w14:paraId="68DA9E27">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3B3A8987">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4.39</w:t>
                  </w:r>
                </w:p>
              </w:tc>
              <w:tc>
                <w:tcPr>
                  <w:tcW w:w="935" w:type="dxa"/>
                  <w:gridSpan w:val="2"/>
                  <w:vMerge w:val="restart"/>
                  <w:vAlign w:val="center"/>
                </w:tcPr>
                <w:p w14:paraId="2F471A3D">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4.33</w:t>
                  </w:r>
                </w:p>
              </w:tc>
              <w:tc>
                <w:tcPr>
                  <w:tcW w:w="1146" w:type="dxa"/>
                  <w:vMerge w:val="restart"/>
                  <w:vAlign w:val="center"/>
                </w:tcPr>
                <w:p w14:paraId="2FAA6D6D">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2.27×10</w:t>
                  </w:r>
                  <w:r>
                    <w:rPr>
                      <w:rFonts w:hint="default" w:ascii="Times New Roman" w:hAnsi="Times New Roman" w:cs="Times New Roman"/>
                      <w:color w:val="auto"/>
                      <w:sz w:val="21"/>
                      <w:szCs w:val="21"/>
                      <w:vertAlign w:val="superscript"/>
                      <w:lang w:val="en-US" w:eastAsia="zh-CN"/>
                    </w:rPr>
                    <w:t>-2</w:t>
                  </w:r>
                </w:p>
              </w:tc>
            </w:tr>
            <w:tr w14:paraId="201CD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31" w:type="dxa"/>
                  <w:vMerge w:val="continue"/>
                  <w:vAlign w:val="center"/>
                </w:tcPr>
                <w:p w14:paraId="02A25839">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52A85DAC">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4199C07C">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第二次</w:t>
                  </w:r>
                </w:p>
              </w:tc>
              <w:tc>
                <w:tcPr>
                  <w:tcW w:w="844" w:type="dxa"/>
                  <w:gridSpan w:val="2"/>
                  <w:vAlign w:val="center"/>
                </w:tcPr>
                <w:p w14:paraId="64D486BE">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6.2</w:t>
                  </w:r>
                </w:p>
              </w:tc>
              <w:tc>
                <w:tcPr>
                  <w:tcW w:w="1134" w:type="dxa"/>
                  <w:vAlign w:val="center"/>
                </w:tcPr>
                <w:p w14:paraId="0BC824AE">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5276</w:t>
                  </w:r>
                </w:p>
              </w:tc>
              <w:tc>
                <w:tcPr>
                  <w:tcW w:w="974" w:type="dxa"/>
                  <w:vAlign w:val="center"/>
                </w:tcPr>
                <w:p w14:paraId="3E75DFAC">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27312369">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4.29</w:t>
                  </w:r>
                </w:p>
              </w:tc>
              <w:tc>
                <w:tcPr>
                  <w:tcW w:w="935" w:type="dxa"/>
                  <w:gridSpan w:val="2"/>
                  <w:vMerge w:val="continue"/>
                  <w:vAlign w:val="center"/>
                </w:tcPr>
                <w:p w14:paraId="356F5116">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15125AAA">
                  <w:pPr>
                    <w:pStyle w:val="26"/>
                    <w:widowControl w:val="0"/>
                    <w:bidi w:val="0"/>
                    <w:jc w:val="center"/>
                    <w:rPr>
                      <w:rFonts w:hint="default" w:ascii="Times New Roman" w:hAnsi="Times New Roman" w:cs="Times New Roman"/>
                      <w:color w:val="auto"/>
                      <w:sz w:val="21"/>
                      <w:szCs w:val="21"/>
                      <w:lang w:val="en-US" w:eastAsia="zh-CN"/>
                    </w:rPr>
                  </w:pPr>
                </w:p>
              </w:tc>
            </w:tr>
            <w:tr w14:paraId="1EB59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31" w:type="dxa"/>
                  <w:vMerge w:val="continue"/>
                  <w:vAlign w:val="center"/>
                </w:tcPr>
                <w:p w14:paraId="39513EE1">
                  <w:pPr>
                    <w:pStyle w:val="26"/>
                    <w:widowControl w:val="0"/>
                    <w:bidi w:val="0"/>
                    <w:jc w:val="center"/>
                    <w:rPr>
                      <w:rFonts w:hint="default" w:ascii="Times New Roman" w:hAnsi="Times New Roman" w:cs="Times New Roman"/>
                      <w:color w:val="auto"/>
                      <w:sz w:val="21"/>
                      <w:szCs w:val="21"/>
                      <w:lang w:val="en-US" w:eastAsia="zh-CN"/>
                    </w:rPr>
                  </w:pPr>
                </w:p>
              </w:tc>
              <w:tc>
                <w:tcPr>
                  <w:tcW w:w="748" w:type="dxa"/>
                  <w:gridSpan w:val="2"/>
                  <w:vMerge w:val="continue"/>
                  <w:vAlign w:val="center"/>
                </w:tcPr>
                <w:p w14:paraId="3C263711">
                  <w:pPr>
                    <w:pStyle w:val="26"/>
                    <w:widowControl w:val="0"/>
                    <w:bidi w:val="0"/>
                    <w:jc w:val="center"/>
                    <w:rPr>
                      <w:rFonts w:hint="default" w:ascii="Times New Roman" w:hAnsi="Times New Roman" w:cs="Times New Roman"/>
                      <w:color w:val="auto"/>
                      <w:sz w:val="21"/>
                      <w:szCs w:val="21"/>
                      <w:lang w:val="en-US" w:eastAsia="zh-CN"/>
                    </w:rPr>
                  </w:pPr>
                </w:p>
              </w:tc>
              <w:tc>
                <w:tcPr>
                  <w:tcW w:w="856" w:type="dxa"/>
                  <w:vAlign w:val="center"/>
                </w:tcPr>
                <w:p w14:paraId="60BC6C90">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第三次</w:t>
                  </w:r>
                </w:p>
              </w:tc>
              <w:tc>
                <w:tcPr>
                  <w:tcW w:w="844" w:type="dxa"/>
                  <w:gridSpan w:val="2"/>
                  <w:vAlign w:val="center"/>
                </w:tcPr>
                <w:p w14:paraId="5EFAB0CF">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6.2</w:t>
                  </w:r>
                </w:p>
              </w:tc>
              <w:tc>
                <w:tcPr>
                  <w:tcW w:w="1134" w:type="dxa"/>
                  <w:vAlign w:val="center"/>
                </w:tcPr>
                <w:p w14:paraId="052B12DB">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5280</w:t>
                  </w:r>
                </w:p>
              </w:tc>
              <w:tc>
                <w:tcPr>
                  <w:tcW w:w="974" w:type="dxa"/>
                  <w:vAlign w:val="center"/>
                </w:tcPr>
                <w:p w14:paraId="75E0764E">
                  <w:pPr>
                    <w:pStyle w:val="26"/>
                    <w:widowControl w:val="0"/>
                    <w:bidi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111" w:type="dxa"/>
                  <w:gridSpan w:val="2"/>
                  <w:vAlign w:val="center"/>
                </w:tcPr>
                <w:p w14:paraId="647FDABB">
                  <w:pPr>
                    <w:pStyle w:val="26"/>
                    <w:widowControl w:val="0"/>
                    <w:bidi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4.30</w:t>
                  </w:r>
                </w:p>
              </w:tc>
              <w:tc>
                <w:tcPr>
                  <w:tcW w:w="935" w:type="dxa"/>
                  <w:gridSpan w:val="2"/>
                  <w:vMerge w:val="continue"/>
                  <w:vAlign w:val="center"/>
                </w:tcPr>
                <w:p w14:paraId="4C1449B7">
                  <w:pPr>
                    <w:pStyle w:val="26"/>
                    <w:widowControl w:val="0"/>
                    <w:bidi w:val="0"/>
                    <w:jc w:val="center"/>
                    <w:rPr>
                      <w:rFonts w:hint="default" w:ascii="Times New Roman" w:hAnsi="Times New Roman" w:cs="Times New Roman"/>
                      <w:color w:val="auto"/>
                      <w:sz w:val="21"/>
                      <w:szCs w:val="21"/>
                      <w:lang w:val="en-US" w:eastAsia="zh-CN"/>
                    </w:rPr>
                  </w:pPr>
                </w:p>
              </w:tc>
              <w:tc>
                <w:tcPr>
                  <w:tcW w:w="1146" w:type="dxa"/>
                  <w:vMerge w:val="continue"/>
                  <w:vAlign w:val="center"/>
                </w:tcPr>
                <w:p w14:paraId="784E7F5C">
                  <w:pPr>
                    <w:pStyle w:val="26"/>
                    <w:widowControl w:val="0"/>
                    <w:bidi w:val="0"/>
                    <w:jc w:val="center"/>
                    <w:rPr>
                      <w:rFonts w:hint="default" w:ascii="Times New Roman" w:hAnsi="Times New Roman" w:cs="Times New Roman"/>
                      <w:color w:val="auto"/>
                      <w:sz w:val="21"/>
                      <w:szCs w:val="21"/>
                      <w:lang w:val="en-US" w:eastAsia="zh-CN"/>
                    </w:rPr>
                  </w:pPr>
                </w:p>
              </w:tc>
            </w:tr>
          </w:tbl>
          <w:p w14:paraId="3F0D9EDC">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Fonts w:hint="default" w:cs="Times New Roman" w:eastAsiaTheme="minorEastAsia"/>
                <w:b/>
                <w:bCs/>
                <w:color w:val="auto"/>
                <w:szCs w:val="24"/>
                <w:lang w:val="en-US" w:eastAsia="zh-CN"/>
              </w:rPr>
            </w:pPr>
            <w:r>
              <w:rPr>
                <w:rFonts w:hint="eastAsia" w:ascii="宋体" w:hAnsi="宋体" w:eastAsia="宋体" w:cs="宋体"/>
                <w:color w:val="auto"/>
                <w:sz w:val="24"/>
                <w:lang w:val="en-US" w:eastAsia="zh-CN"/>
              </w:rPr>
              <w:t>根据监测结果表明，验收监测期间，</w:t>
            </w:r>
            <w:r>
              <w:rPr>
                <w:rFonts w:hint="eastAsia" w:ascii="宋体" w:hAnsi="宋体" w:eastAsia="宋体" w:cs="宋体"/>
                <w:color w:val="auto"/>
                <w:sz w:val="24"/>
              </w:rPr>
              <w:t>颗粒物</w:t>
            </w:r>
            <w:r>
              <w:rPr>
                <w:rFonts w:hint="eastAsia" w:ascii="宋体" w:hAnsi="宋体" w:cs="宋体"/>
                <w:color w:val="auto"/>
                <w:sz w:val="24"/>
                <w:lang w:eastAsia="zh-CN"/>
              </w:rPr>
              <w:t>有组织排放满足</w:t>
            </w:r>
            <w:r>
              <w:rPr>
                <w:rFonts w:hint="eastAsia"/>
                <w:color w:val="auto"/>
                <w:sz w:val="24"/>
                <w:lang w:eastAsia="zh-CN"/>
              </w:rPr>
              <w:t>上海市</w:t>
            </w:r>
            <w:r>
              <w:rPr>
                <w:rFonts w:hint="eastAsia"/>
                <w:color w:val="auto"/>
                <w:sz w:val="24"/>
              </w:rPr>
              <w:t>《大气污染物综合排放标准》（DB31/933-2015）</w:t>
            </w:r>
            <w:r>
              <w:rPr>
                <w:rFonts w:hint="eastAsia"/>
                <w:color w:val="auto"/>
                <w:sz w:val="24"/>
                <w:lang w:val="en-US" w:eastAsia="zh-CN"/>
              </w:rPr>
              <w:t>中有组织废气排放限值要求</w:t>
            </w:r>
            <w:r>
              <w:rPr>
                <w:rFonts w:hint="eastAsia"/>
                <w:color w:val="auto"/>
                <w:sz w:val="24"/>
                <w:lang w:eastAsia="zh-CN"/>
              </w:rPr>
              <w:t>；非甲烷总烃有组织排放满足安徽省《固定源挥发性有机物综合排放标准》（</w:t>
            </w:r>
            <w:r>
              <w:rPr>
                <w:rFonts w:hint="eastAsia"/>
                <w:color w:val="auto"/>
                <w:sz w:val="24"/>
                <w:lang w:val="en-US" w:eastAsia="zh-CN"/>
              </w:rPr>
              <w:t>DB34/4812.6-2024</w:t>
            </w:r>
            <w:r>
              <w:rPr>
                <w:rFonts w:hint="eastAsia"/>
                <w:color w:val="auto"/>
                <w:sz w:val="24"/>
                <w:lang w:eastAsia="zh-CN"/>
              </w:rPr>
              <w:t>）中有组织废</w:t>
            </w:r>
            <w:r>
              <w:rPr>
                <w:rFonts w:hint="eastAsia"/>
                <w:color w:val="auto"/>
                <w:sz w:val="24"/>
                <w:lang w:val="en-US" w:eastAsia="zh-CN"/>
              </w:rPr>
              <w:t>气排放限值要求。</w:t>
            </w:r>
          </w:p>
          <w:p w14:paraId="598C0CC4">
            <w:pPr>
              <w:keepNext w:val="0"/>
              <w:keepLines w:val="0"/>
              <w:pageBreakBefore w:val="0"/>
              <w:widowControl/>
              <w:kinsoku/>
              <w:wordWrap/>
              <w:overflowPunct/>
              <w:topLinePunct w:val="0"/>
              <w:autoSpaceDE/>
              <w:autoSpaceDN/>
              <w:bidi w:val="0"/>
              <w:snapToGrid w:val="0"/>
              <w:spacing w:line="360" w:lineRule="auto"/>
              <w:ind w:firstLine="482" w:firstLineChars="200"/>
              <w:jc w:val="left"/>
              <w:textAlignment w:val="auto"/>
              <w:rPr>
                <w:rFonts w:hint="eastAsia"/>
                <w:b/>
                <w:bCs/>
                <w:color w:val="auto"/>
                <w:lang w:val="en-US" w:eastAsia="zh-CN"/>
              </w:rPr>
            </w:pPr>
            <w:r>
              <w:rPr>
                <w:rFonts w:hint="eastAsia" w:cs="Times New Roman" w:eastAsiaTheme="minorEastAsia"/>
                <w:b/>
                <w:bCs/>
                <w:color w:val="auto"/>
                <w:szCs w:val="24"/>
                <w:lang w:val="en-US" w:eastAsia="zh-CN"/>
              </w:rPr>
              <w:t>2.2</w:t>
            </w:r>
            <w:r>
              <w:rPr>
                <w:rFonts w:hint="eastAsia"/>
                <w:b/>
                <w:bCs/>
                <w:color w:val="auto"/>
                <w:lang w:val="en-US" w:eastAsia="zh-CN"/>
              </w:rPr>
              <w:t xml:space="preserve"> 无组织废气</w:t>
            </w:r>
          </w:p>
          <w:p w14:paraId="3E82AE83">
            <w:pPr>
              <w:pStyle w:val="13"/>
              <w:keepNext w:val="0"/>
              <w:keepLines w:val="0"/>
              <w:pageBreakBefore w:val="0"/>
              <w:widowControl/>
              <w:kinsoku/>
              <w:wordWrap w:val="0"/>
              <w:overflowPunct/>
              <w:topLinePunct/>
              <w:autoSpaceDE/>
              <w:autoSpaceDN/>
              <w:bidi w:val="0"/>
              <w:adjustRightInd w:val="0"/>
              <w:snapToGrid w:val="0"/>
              <w:spacing w:line="240" w:lineRule="auto"/>
              <w:ind w:left="0" w:leftChars="0" w:firstLine="0" w:firstLineChars="0"/>
              <w:jc w:val="center"/>
              <w:textAlignment w:val="auto"/>
              <w:rPr>
                <w:rFonts w:hint="eastAsia"/>
                <w:b/>
                <w:bCs/>
                <w:color w:val="auto"/>
                <w:lang w:val="en-US" w:eastAsia="zh-CN"/>
              </w:rPr>
            </w:pPr>
            <w:r>
              <w:rPr>
                <w:rFonts w:hint="eastAsia"/>
                <w:b/>
                <w:bCs/>
                <w:color w:val="auto"/>
                <w:lang w:val="en-US" w:eastAsia="zh-CN"/>
              </w:rPr>
              <w:t>表7-3  无组织废气检测结果</w:t>
            </w:r>
          </w:p>
          <w:tbl>
            <w:tblPr>
              <w:tblStyle w:val="20"/>
              <w:tblW w:w="86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1772"/>
              <w:gridCol w:w="1023"/>
              <w:gridCol w:w="880"/>
              <w:gridCol w:w="16"/>
              <w:gridCol w:w="299"/>
              <w:gridCol w:w="591"/>
              <w:gridCol w:w="626"/>
              <w:gridCol w:w="249"/>
              <w:gridCol w:w="919"/>
            </w:tblGrid>
            <w:tr w14:paraId="6EEA6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6" w:type="dxa"/>
                  <w:gridSpan w:val="2"/>
                  <w:vAlign w:val="center"/>
                </w:tcPr>
                <w:p w14:paraId="611363F7">
                  <w:pPr>
                    <w:pStyle w:val="26"/>
                    <w:widowControl w:val="0"/>
                    <w:bidi w:val="0"/>
                    <w:ind w:firstLine="0" w:firstLineChars="0"/>
                    <w:jc w:val="center"/>
                    <w:rPr>
                      <w:rFonts w:hint="default"/>
                      <w:color w:val="auto"/>
                      <w:lang w:val="en-US" w:eastAsia="zh-CN"/>
                    </w:rPr>
                  </w:pPr>
                  <w:r>
                    <w:rPr>
                      <w:rFonts w:hint="default" w:ascii="Times New Roman" w:hAnsi="Times New Roman" w:cs="Times New Roman"/>
                      <w:color w:val="auto"/>
                      <w:sz w:val="21"/>
                      <w:szCs w:val="21"/>
                      <w:lang w:val="en-US" w:eastAsia="zh-CN"/>
                    </w:rPr>
                    <w:t>采样日期：2024.06.27</w:t>
                  </w:r>
                </w:p>
              </w:tc>
              <w:tc>
                <w:tcPr>
                  <w:tcW w:w="4603" w:type="dxa"/>
                  <w:gridSpan w:val="8"/>
                  <w:vAlign w:val="center"/>
                </w:tcPr>
                <w:p w14:paraId="292979AA">
                  <w:pPr>
                    <w:pStyle w:val="26"/>
                    <w:widowControl w:val="0"/>
                    <w:bidi w:val="0"/>
                    <w:ind w:firstLine="0" w:firstLineChars="0"/>
                    <w:jc w:val="center"/>
                    <w:rPr>
                      <w:rFonts w:hint="eastAsia"/>
                      <w:color w:val="auto"/>
                      <w:lang w:val="en-US" w:eastAsia="zh-CN"/>
                    </w:rPr>
                  </w:pPr>
                  <w:r>
                    <w:rPr>
                      <w:rFonts w:hint="default" w:ascii="Times New Roman" w:hAnsi="Times New Roman" w:cs="Times New Roman"/>
                      <w:color w:val="auto"/>
                      <w:sz w:val="21"/>
                      <w:szCs w:val="21"/>
                      <w:lang w:val="en-US" w:eastAsia="zh-CN"/>
                    </w:rPr>
                    <w:t>检测日期：2024.06.28~2024.07.02</w:t>
                  </w:r>
                </w:p>
              </w:tc>
            </w:tr>
            <w:tr w14:paraId="7BC9D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264" w:type="dxa"/>
                  <w:vAlign w:val="center"/>
                </w:tcPr>
                <w:p w14:paraId="33718E93">
                  <w:pPr>
                    <w:pStyle w:val="26"/>
                    <w:widowControl w:val="0"/>
                    <w:bidi w:val="0"/>
                    <w:jc w:val="center"/>
                    <w:rPr>
                      <w:rFonts w:hint="eastAsia"/>
                      <w:color w:val="auto"/>
                      <w:lang w:val="en-US" w:eastAsia="zh-CN"/>
                    </w:rPr>
                  </w:pPr>
                  <w:r>
                    <w:rPr>
                      <w:rFonts w:hint="eastAsia"/>
                      <w:color w:val="auto"/>
                      <w:lang w:val="en-US" w:eastAsia="zh-CN"/>
                    </w:rPr>
                    <w:t>环境条件</w:t>
                  </w:r>
                </w:p>
              </w:tc>
              <w:tc>
                <w:tcPr>
                  <w:tcW w:w="6375" w:type="dxa"/>
                  <w:gridSpan w:val="9"/>
                  <w:vAlign w:val="center"/>
                </w:tcPr>
                <w:p w14:paraId="680F08DB">
                  <w:pPr>
                    <w:pStyle w:val="26"/>
                    <w:widowControl w:val="0"/>
                    <w:bidi w:val="0"/>
                    <w:jc w:val="center"/>
                    <w:rPr>
                      <w:rFonts w:hint="default"/>
                      <w:color w:val="auto"/>
                      <w:lang w:val="en-US" w:eastAsia="zh-CN"/>
                    </w:rPr>
                  </w:pPr>
                  <w:r>
                    <w:rPr>
                      <w:rFonts w:hint="eastAsia"/>
                      <w:color w:val="auto"/>
                      <w:lang w:val="en-US" w:eastAsia="zh-CN"/>
                    </w:rPr>
                    <w:t>多云、气温：23.3~31.2℃、大气压：100.73~100.99kPa、风速：2.4~2.6m/s、风向：北、湿度：40~41%RH</w:t>
                  </w:r>
                </w:p>
              </w:tc>
            </w:tr>
            <w:tr w14:paraId="4531C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639" w:type="dxa"/>
                  <w:gridSpan w:val="10"/>
                  <w:vAlign w:val="center"/>
                </w:tcPr>
                <w:p w14:paraId="35EE25F4">
                  <w:pPr>
                    <w:pStyle w:val="26"/>
                    <w:widowControl w:val="0"/>
                    <w:bidi w:val="0"/>
                    <w:jc w:val="center"/>
                    <w:rPr>
                      <w:rFonts w:hint="default"/>
                      <w:color w:val="auto"/>
                      <w:lang w:val="en-US" w:eastAsia="zh-CN"/>
                    </w:rPr>
                  </w:pPr>
                  <w:r>
                    <w:rPr>
                      <w:rFonts w:hint="eastAsia"/>
                      <w:color w:val="auto"/>
                      <w:lang w:val="en-US" w:eastAsia="zh-CN"/>
                    </w:rPr>
                    <w:t>检测项目及结果</w:t>
                  </w:r>
                </w:p>
              </w:tc>
            </w:tr>
            <w:tr w14:paraId="2B307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restart"/>
                  <w:vAlign w:val="center"/>
                </w:tcPr>
                <w:p w14:paraId="64E15723">
                  <w:pPr>
                    <w:pStyle w:val="26"/>
                    <w:widowControl w:val="0"/>
                    <w:bidi w:val="0"/>
                    <w:jc w:val="center"/>
                    <w:rPr>
                      <w:rFonts w:hint="eastAsia"/>
                      <w:color w:val="auto"/>
                      <w:lang w:val="en-US" w:eastAsia="zh-CN"/>
                    </w:rPr>
                  </w:pPr>
                  <w:r>
                    <w:rPr>
                      <w:rFonts w:hint="eastAsia"/>
                      <w:color w:val="auto"/>
                      <w:lang w:val="en-US" w:eastAsia="zh-CN"/>
                    </w:rPr>
                    <w:t>检测点位</w:t>
                  </w:r>
                </w:p>
              </w:tc>
              <w:tc>
                <w:tcPr>
                  <w:tcW w:w="1772" w:type="dxa"/>
                  <w:vMerge w:val="restart"/>
                  <w:vAlign w:val="center"/>
                </w:tcPr>
                <w:p w14:paraId="549DB2BF">
                  <w:pPr>
                    <w:pStyle w:val="26"/>
                    <w:widowControl w:val="0"/>
                    <w:bidi w:val="0"/>
                    <w:jc w:val="center"/>
                    <w:rPr>
                      <w:rFonts w:hint="eastAsia"/>
                      <w:color w:val="auto"/>
                      <w:lang w:val="en-US" w:eastAsia="zh-CN"/>
                    </w:rPr>
                  </w:pPr>
                  <w:r>
                    <w:rPr>
                      <w:rFonts w:hint="eastAsia"/>
                      <w:color w:val="auto"/>
                      <w:lang w:val="en-US" w:eastAsia="zh-CN"/>
                    </w:rPr>
                    <w:t>检测项目</w:t>
                  </w:r>
                </w:p>
              </w:tc>
              <w:tc>
                <w:tcPr>
                  <w:tcW w:w="1023" w:type="dxa"/>
                  <w:vMerge w:val="restart"/>
                  <w:vAlign w:val="center"/>
                </w:tcPr>
                <w:p w14:paraId="1E69C5DA">
                  <w:pPr>
                    <w:pStyle w:val="26"/>
                    <w:widowControl w:val="0"/>
                    <w:bidi w:val="0"/>
                    <w:jc w:val="center"/>
                    <w:rPr>
                      <w:rFonts w:hint="eastAsia"/>
                      <w:color w:val="auto"/>
                      <w:lang w:val="en-US" w:eastAsia="zh-CN"/>
                    </w:rPr>
                  </w:pPr>
                  <w:r>
                    <w:rPr>
                      <w:rFonts w:hint="eastAsia"/>
                      <w:color w:val="auto"/>
                      <w:lang w:val="en-US" w:eastAsia="zh-CN"/>
                    </w:rPr>
                    <w:t>单位</w:t>
                  </w:r>
                </w:p>
              </w:tc>
              <w:tc>
                <w:tcPr>
                  <w:tcW w:w="3580" w:type="dxa"/>
                  <w:gridSpan w:val="7"/>
                  <w:vAlign w:val="center"/>
                </w:tcPr>
                <w:p w14:paraId="7C257A15">
                  <w:pPr>
                    <w:pStyle w:val="26"/>
                    <w:widowControl w:val="0"/>
                    <w:bidi w:val="0"/>
                    <w:jc w:val="center"/>
                    <w:rPr>
                      <w:rFonts w:hint="eastAsia"/>
                      <w:color w:val="auto"/>
                      <w:lang w:val="en-US" w:eastAsia="zh-CN"/>
                    </w:rPr>
                  </w:pPr>
                  <w:r>
                    <w:rPr>
                      <w:rFonts w:hint="eastAsia"/>
                      <w:color w:val="auto"/>
                      <w:lang w:val="en-US" w:eastAsia="zh-CN"/>
                    </w:rPr>
                    <w:t>检测结果</w:t>
                  </w:r>
                </w:p>
              </w:tc>
            </w:tr>
            <w:tr w14:paraId="5F3CB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2C777C27">
                  <w:pPr>
                    <w:pStyle w:val="26"/>
                    <w:widowControl w:val="0"/>
                    <w:bidi w:val="0"/>
                    <w:jc w:val="center"/>
                    <w:rPr>
                      <w:color w:val="auto"/>
                    </w:rPr>
                  </w:pPr>
                </w:p>
              </w:tc>
              <w:tc>
                <w:tcPr>
                  <w:tcW w:w="1772" w:type="dxa"/>
                  <w:vMerge w:val="continue"/>
                  <w:vAlign w:val="center"/>
                </w:tcPr>
                <w:p w14:paraId="4F259ACC">
                  <w:pPr>
                    <w:pStyle w:val="26"/>
                    <w:widowControl w:val="0"/>
                    <w:bidi w:val="0"/>
                    <w:jc w:val="center"/>
                    <w:rPr>
                      <w:color w:val="auto"/>
                    </w:rPr>
                  </w:pPr>
                </w:p>
              </w:tc>
              <w:tc>
                <w:tcPr>
                  <w:tcW w:w="1023" w:type="dxa"/>
                  <w:vMerge w:val="continue"/>
                  <w:vAlign w:val="center"/>
                </w:tcPr>
                <w:p w14:paraId="5D4562A3">
                  <w:pPr>
                    <w:pStyle w:val="26"/>
                    <w:widowControl w:val="0"/>
                    <w:bidi w:val="0"/>
                    <w:jc w:val="center"/>
                    <w:rPr>
                      <w:color w:val="auto"/>
                    </w:rPr>
                  </w:pPr>
                </w:p>
              </w:tc>
              <w:tc>
                <w:tcPr>
                  <w:tcW w:w="1195" w:type="dxa"/>
                  <w:gridSpan w:val="3"/>
                  <w:vAlign w:val="center"/>
                </w:tcPr>
                <w:p w14:paraId="453C6F3C">
                  <w:pPr>
                    <w:pStyle w:val="26"/>
                    <w:widowControl w:val="0"/>
                    <w:bidi w:val="0"/>
                    <w:jc w:val="center"/>
                    <w:rPr>
                      <w:rFonts w:hint="eastAsia"/>
                      <w:color w:val="auto"/>
                      <w:lang w:val="en-US" w:eastAsia="zh-CN"/>
                    </w:rPr>
                  </w:pPr>
                  <w:r>
                    <w:rPr>
                      <w:rFonts w:hint="eastAsia"/>
                      <w:color w:val="auto"/>
                      <w:lang w:val="en-US" w:eastAsia="zh-CN"/>
                    </w:rPr>
                    <w:t>第一次</w:t>
                  </w:r>
                </w:p>
              </w:tc>
              <w:tc>
                <w:tcPr>
                  <w:tcW w:w="1217" w:type="dxa"/>
                  <w:gridSpan w:val="2"/>
                  <w:vAlign w:val="center"/>
                </w:tcPr>
                <w:p w14:paraId="3ED849A2">
                  <w:pPr>
                    <w:pStyle w:val="26"/>
                    <w:widowControl w:val="0"/>
                    <w:bidi w:val="0"/>
                    <w:jc w:val="center"/>
                    <w:rPr>
                      <w:rFonts w:hint="eastAsia"/>
                      <w:color w:val="auto"/>
                      <w:lang w:val="en-US" w:eastAsia="zh-CN"/>
                    </w:rPr>
                  </w:pPr>
                  <w:r>
                    <w:rPr>
                      <w:rFonts w:hint="eastAsia"/>
                      <w:color w:val="auto"/>
                      <w:lang w:val="en-US" w:eastAsia="zh-CN"/>
                    </w:rPr>
                    <w:t>第二次</w:t>
                  </w:r>
                </w:p>
              </w:tc>
              <w:tc>
                <w:tcPr>
                  <w:tcW w:w="1168" w:type="dxa"/>
                  <w:gridSpan w:val="2"/>
                  <w:vAlign w:val="center"/>
                </w:tcPr>
                <w:p w14:paraId="078E0877">
                  <w:pPr>
                    <w:pStyle w:val="26"/>
                    <w:widowControl w:val="0"/>
                    <w:bidi w:val="0"/>
                    <w:jc w:val="center"/>
                    <w:rPr>
                      <w:rFonts w:hint="eastAsia"/>
                      <w:color w:val="auto"/>
                      <w:lang w:val="en-US" w:eastAsia="zh-CN"/>
                    </w:rPr>
                  </w:pPr>
                  <w:r>
                    <w:rPr>
                      <w:rFonts w:hint="eastAsia"/>
                      <w:color w:val="auto"/>
                      <w:lang w:val="en-US" w:eastAsia="zh-CN"/>
                    </w:rPr>
                    <w:t>第三次</w:t>
                  </w:r>
                </w:p>
              </w:tc>
            </w:tr>
            <w:tr w14:paraId="1726A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restart"/>
                  <w:vAlign w:val="center"/>
                </w:tcPr>
                <w:p w14:paraId="3D4772ED">
                  <w:pPr>
                    <w:pStyle w:val="26"/>
                    <w:widowControl w:val="0"/>
                    <w:bidi w:val="0"/>
                    <w:spacing w:line="240" w:lineRule="auto"/>
                    <w:jc w:val="center"/>
                    <w:rPr>
                      <w:rFonts w:hint="default"/>
                      <w:color w:val="auto"/>
                      <w:lang w:val="en-US" w:eastAsia="zh-CN"/>
                    </w:rPr>
                  </w:pPr>
                  <w:r>
                    <w:rPr>
                      <w:rFonts w:hint="eastAsia"/>
                      <w:color w:val="auto"/>
                      <w:lang w:val="en-US" w:eastAsia="zh-CN"/>
                    </w:rPr>
                    <w:t>北厂界外上风向G1</w:t>
                  </w:r>
                </w:p>
              </w:tc>
              <w:tc>
                <w:tcPr>
                  <w:tcW w:w="1772" w:type="dxa"/>
                  <w:vAlign w:val="center"/>
                </w:tcPr>
                <w:p w14:paraId="258335F4">
                  <w:pPr>
                    <w:pStyle w:val="26"/>
                    <w:widowControl w:val="0"/>
                    <w:bidi w:val="0"/>
                    <w:jc w:val="center"/>
                    <w:rPr>
                      <w:rFonts w:hint="default"/>
                      <w:color w:val="auto"/>
                      <w:lang w:val="en-US" w:eastAsia="zh-CN"/>
                    </w:rPr>
                  </w:pPr>
                  <w:r>
                    <w:rPr>
                      <w:rFonts w:hint="eastAsia"/>
                      <w:color w:val="auto"/>
                      <w:lang w:val="en-US" w:eastAsia="zh-CN"/>
                    </w:rPr>
                    <w:t>总悬浮颗粒物</w:t>
                  </w:r>
                </w:p>
              </w:tc>
              <w:tc>
                <w:tcPr>
                  <w:tcW w:w="1023" w:type="dxa"/>
                  <w:vAlign w:val="center"/>
                </w:tcPr>
                <w:p w14:paraId="0ED4AA64">
                  <w:pPr>
                    <w:pStyle w:val="26"/>
                    <w:widowControl w:val="0"/>
                    <w:bidi w:val="0"/>
                    <w:jc w:val="center"/>
                    <w:rPr>
                      <w:rFonts w:hint="default"/>
                      <w:color w:val="auto"/>
                      <w:lang w:val="en-US" w:eastAsia="zh-CN"/>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25362EE5">
                  <w:pPr>
                    <w:pStyle w:val="26"/>
                    <w:widowControl w:val="0"/>
                    <w:bidi w:val="0"/>
                    <w:jc w:val="center"/>
                    <w:rPr>
                      <w:rFonts w:hint="default"/>
                      <w:color w:val="auto"/>
                      <w:lang w:val="en-US" w:eastAsia="zh-CN"/>
                    </w:rPr>
                  </w:pPr>
                  <w:r>
                    <w:rPr>
                      <w:rFonts w:hint="eastAsia"/>
                      <w:color w:val="auto"/>
                      <w:lang w:val="en-US" w:eastAsia="zh-CN"/>
                    </w:rPr>
                    <w:t>＜224</w:t>
                  </w:r>
                </w:p>
              </w:tc>
              <w:tc>
                <w:tcPr>
                  <w:tcW w:w="1217" w:type="dxa"/>
                  <w:gridSpan w:val="2"/>
                  <w:vAlign w:val="center"/>
                </w:tcPr>
                <w:p w14:paraId="6767F102">
                  <w:pPr>
                    <w:pStyle w:val="26"/>
                    <w:widowControl w:val="0"/>
                    <w:bidi w:val="0"/>
                    <w:jc w:val="center"/>
                    <w:rPr>
                      <w:rFonts w:hint="eastAsia"/>
                      <w:color w:val="auto"/>
                      <w:lang w:val="en-US" w:eastAsia="zh-CN"/>
                    </w:rPr>
                  </w:pPr>
                  <w:r>
                    <w:rPr>
                      <w:rFonts w:hint="eastAsia"/>
                      <w:color w:val="auto"/>
                      <w:lang w:val="en-US" w:eastAsia="zh-CN"/>
                    </w:rPr>
                    <w:t>＜224</w:t>
                  </w:r>
                </w:p>
              </w:tc>
              <w:tc>
                <w:tcPr>
                  <w:tcW w:w="1168" w:type="dxa"/>
                  <w:gridSpan w:val="2"/>
                  <w:vAlign w:val="center"/>
                </w:tcPr>
                <w:p w14:paraId="1A3CD384">
                  <w:pPr>
                    <w:pStyle w:val="26"/>
                    <w:widowControl w:val="0"/>
                    <w:bidi w:val="0"/>
                    <w:jc w:val="center"/>
                    <w:rPr>
                      <w:rFonts w:hint="eastAsia"/>
                      <w:color w:val="auto"/>
                      <w:lang w:val="en-US" w:eastAsia="zh-CN"/>
                    </w:rPr>
                  </w:pPr>
                  <w:r>
                    <w:rPr>
                      <w:rFonts w:hint="eastAsia"/>
                      <w:color w:val="auto"/>
                      <w:lang w:val="en-US" w:eastAsia="zh-CN"/>
                    </w:rPr>
                    <w:t>＜224</w:t>
                  </w:r>
                </w:p>
              </w:tc>
            </w:tr>
            <w:tr w14:paraId="595EF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0CA9B15F">
                  <w:pPr>
                    <w:pStyle w:val="26"/>
                    <w:widowControl w:val="0"/>
                    <w:bidi w:val="0"/>
                    <w:spacing w:line="240" w:lineRule="auto"/>
                    <w:jc w:val="center"/>
                    <w:rPr>
                      <w:rFonts w:hint="eastAsia"/>
                      <w:color w:val="auto"/>
                      <w:lang w:val="en-US" w:eastAsia="zh-CN"/>
                    </w:rPr>
                  </w:pPr>
                </w:p>
              </w:tc>
              <w:tc>
                <w:tcPr>
                  <w:tcW w:w="1772" w:type="dxa"/>
                  <w:vAlign w:val="center"/>
                </w:tcPr>
                <w:p w14:paraId="52EB89C9">
                  <w:pPr>
                    <w:pStyle w:val="26"/>
                    <w:widowControl w:val="0"/>
                    <w:bidi w:val="0"/>
                    <w:jc w:val="center"/>
                    <w:rPr>
                      <w:rFonts w:hint="eastAsia"/>
                      <w:color w:val="auto"/>
                      <w:lang w:val="en-US" w:eastAsia="zh-CN"/>
                    </w:rPr>
                  </w:pPr>
                  <w:r>
                    <w:rPr>
                      <w:rFonts w:hint="eastAsia"/>
                      <w:color w:val="auto"/>
                      <w:lang w:val="en-US" w:eastAsia="zh-CN"/>
                    </w:rPr>
                    <w:t>非甲烷总烃</w:t>
                  </w:r>
                </w:p>
              </w:tc>
              <w:tc>
                <w:tcPr>
                  <w:tcW w:w="1023" w:type="dxa"/>
                  <w:vAlign w:val="center"/>
                </w:tcPr>
                <w:p w14:paraId="5D791C4D">
                  <w:pPr>
                    <w:pStyle w:val="26"/>
                    <w:widowControl w:val="0"/>
                    <w:bidi w:val="0"/>
                    <w:jc w:val="center"/>
                    <w:rPr>
                      <w:rFonts w:hint="default"/>
                      <w:color w:val="auto"/>
                      <w:lang w:val="en-US" w:eastAsia="zh-CN"/>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4A86B8BA">
                  <w:pPr>
                    <w:pStyle w:val="26"/>
                    <w:widowControl w:val="0"/>
                    <w:bidi w:val="0"/>
                    <w:jc w:val="center"/>
                    <w:rPr>
                      <w:rFonts w:hint="default"/>
                      <w:color w:val="auto"/>
                      <w:lang w:val="en-US" w:eastAsia="zh-CN"/>
                    </w:rPr>
                  </w:pPr>
                  <w:r>
                    <w:rPr>
                      <w:rFonts w:hint="eastAsia"/>
                      <w:color w:val="auto"/>
                      <w:lang w:val="en-US" w:eastAsia="zh-CN"/>
                    </w:rPr>
                    <w:t>0.96</w:t>
                  </w:r>
                </w:p>
              </w:tc>
              <w:tc>
                <w:tcPr>
                  <w:tcW w:w="1217" w:type="dxa"/>
                  <w:gridSpan w:val="2"/>
                  <w:vAlign w:val="center"/>
                </w:tcPr>
                <w:p w14:paraId="025D2DE6">
                  <w:pPr>
                    <w:pStyle w:val="26"/>
                    <w:widowControl w:val="0"/>
                    <w:bidi w:val="0"/>
                    <w:jc w:val="center"/>
                    <w:rPr>
                      <w:rFonts w:hint="default"/>
                      <w:color w:val="auto"/>
                      <w:lang w:val="en-US" w:eastAsia="zh-CN"/>
                    </w:rPr>
                  </w:pPr>
                  <w:r>
                    <w:rPr>
                      <w:rFonts w:hint="eastAsia"/>
                      <w:color w:val="auto"/>
                      <w:lang w:val="en-US" w:eastAsia="zh-CN"/>
                    </w:rPr>
                    <w:t>0.64</w:t>
                  </w:r>
                </w:p>
              </w:tc>
              <w:tc>
                <w:tcPr>
                  <w:tcW w:w="1168" w:type="dxa"/>
                  <w:gridSpan w:val="2"/>
                  <w:vAlign w:val="center"/>
                </w:tcPr>
                <w:p w14:paraId="1550D5FC">
                  <w:pPr>
                    <w:pStyle w:val="26"/>
                    <w:widowControl w:val="0"/>
                    <w:bidi w:val="0"/>
                    <w:jc w:val="center"/>
                    <w:rPr>
                      <w:rFonts w:hint="default"/>
                      <w:color w:val="auto"/>
                      <w:lang w:val="en-US" w:eastAsia="zh-CN"/>
                    </w:rPr>
                  </w:pPr>
                  <w:r>
                    <w:rPr>
                      <w:rFonts w:hint="eastAsia"/>
                      <w:color w:val="auto"/>
                      <w:lang w:val="en-US" w:eastAsia="zh-CN"/>
                    </w:rPr>
                    <w:t>0.96</w:t>
                  </w:r>
                </w:p>
              </w:tc>
            </w:tr>
            <w:tr w14:paraId="65A25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restart"/>
                  <w:vAlign w:val="center"/>
                </w:tcPr>
                <w:p w14:paraId="263F4C4D">
                  <w:pPr>
                    <w:pStyle w:val="26"/>
                    <w:widowControl w:val="0"/>
                    <w:bidi w:val="0"/>
                    <w:spacing w:line="240" w:lineRule="auto"/>
                    <w:jc w:val="center"/>
                    <w:rPr>
                      <w:rFonts w:hint="default"/>
                      <w:color w:val="auto"/>
                      <w:lang w:val="en-US" w:eastAsia="zh-CN"/>
                    </w:rPr>
                  </w:pPr>
                  <w:r>
                    <w:rPr>
                      <w:rFonts w:hint="eastAsia"/>
                      <w:color w:val="auto"/>
                      <w:lang w:val="en-US" w:eastAsia="zh-CN"/>
                    </w:rPr>
                    <w:t>南厂界外上风向G2</w:t>
                  </w:r>
                </w:p>
              </w:tc>
              <w:tc>
                <w:tcPr>
                  <w:tcW w:w="1772" w:type="dxa"/>
                  <w:vAlign w:val="center"/>
                </w:tcPr>
                <w:p w14:paraId="74A0A42E">
                  <w:pPr>
                    <w:pStyle w:val="26"/>
                    <w:widowControl w:val="0"/>
                    <w:bidi w:val="0"/>
                    <w:ind w:firstLine="0" w:firstLineChars="0"/>
                    <w:jc w:val="center"/>
                    <w:rPr>
                      <w:rFonts w:hint="eastAsia"/>
                      <w:color w:val="auto"/>
                      <w:lang w:val="en-US" w:eastAsia="zh-CN"/>
                    </w:rPr>
                  </w:pPr>
                  <w:r>
                    <w:rPr>
                      <w:rFonts w:hint="eastAsia"/>
                      <w:color w:val="auto"/>
                      <w:lang w:val="en-US" w:eastAsia="zh-CN"/>
                    </w:rPr>
                    <w:t>总悬浮颗粒物</w:t>
                  </w:r>
                </w:p>
              </w:tc>
              <w:tc>
                <w:tcPr>
                  <w:tcW w:w="1023" w:type="dxa"/>
                  <w:vAlign w:val="center"/>
                </w:tcPr>
                <w:p w14:paraId="46046D68">
                  <w:pPr>
                    <w:pStyle w:val="26"/>
                    <w:widowControl w:val="0"/>
                    <w:bidi w:val="0"/>
                    <w:ind w:firstLine="0" w:firstLineChars="0"/>
                    <w:jc w:val="center"/>
                    <w:rPr>
                      <w:rFonts w:hint="eastAsia"/>
                      <w:color w:val="auto"/>
                      <w:lang w:val="en-US" w:eastAsia="zh-CN"/>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0286E131">
                  <w:pPr>
                    <w:pStyle w:val="26"/>
                    <w:widowControl w:val="0"/>
                    <w:bidi w:val="0"/>
                    <w:jc w:val="center"/>
                    <w:rPr>
                      <w:rFonts w:hint="default"/>
                      <w:color w:val="auto"/>
                      <w:lang w:val="en-US" w:eastAsia="zh-CN"/>
                    </w:rPr>
                  </w:pPr>
                  <w:r>
                    <w:rPr>
                      <w:rFonts w:hint="eastAsia"/>
                      <w:color w:val="auto"/>
                      <w:lang w:val="en-US" w:eastAsia="zh-CN"/>
                    </w:rPr>
                    <w:t>229</w:t>
                  </w:r>
                </w:p>
              </w:tc>
              <w:tc>
                <w:tcPr>
                  <w:tcW w:w="1217" w:type="dxa"/>
                  <w:gridSpan w:val="2"/>
                  <w:vAlign w:val="center"/>
                </w:tcPr>
                <w:p w14:paraId="1561FB1D">
                  <w:pPr>
                    <w:pStyle w:val="26"/>
                    <w:widowControl w:val="0"/>
                    <w:bidi w:val="0"/>
                    <w:jc w:val="center"/>
                    <w:rPr>
                      <w:rFonts w:hint="eastAsia"/>
                      <w:color w:val="auto"/>
                      <w:lang w:val="en-US" w:eastAsia="zh-CN"/>
                    </w:rPr>
                  </w:pPr>
                  <w:r>
                    <w:rPr>
                      <w:rFonts w:hint="eastAsia"/>
                      <w:color w:val="auto"/>
                      <w:lang w:val="en-US" w:eastAsia="zh-CN"/>
                    </w:rPr>
                    <w:t>＜224</w:t>
                  </w:r>
                </w:p>
              </w:tc>
              <w:tc>
                <w:tcPr>
                  <w:tcW w:w="1168" w:type="dxa"/>
                  <w:gridSpan w:val="2"/>
                  <w:vAlign w:val="center"/>
                </w:tcPr>
                <w:p w14:paraId="6BCF8DAA">
                  <w:pPr>
                    <w:pStyle w:val="26"/>
                    <w:widowControl w:val="0"/>
                    <w:bidi w:val="0"/>
                    <w:jc w:val="center"/>
                    <w:rPr>
                      <w:rFonts w:hint="default"/>
                      <w:color w:val="auto"/>
                      <w:lang w:val="en-US" w:eastAsia="zh-CN"/>
                    </w:rPr>
                  </w:pPr>
                  <w:r>
                    <w:rPr>
                      <w:rFonts w:hint="eastAsia"/>
                      <w:color w:val="auto"/>
                      <w:lang w:val="en-US" w:eastAsia="zh-CN"/>
                    </w:rPr>
                    <w:t>254</w:t>
                  </w:r>
                </w:p>
              </w:tc>
            </w:tr>
            <w:tr w14:paraId="0F972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375DE1C3">
                  <w:pPr>
                    <w:pStyle w:val="26"/>
                    <w:widowControl w:val="0"/>
                    <w:bidi w:val="0"/>
                    <w:spacing w:line="240" w:lineRule="auto"/>
                    <w:jc w:val="center"/>
                    <w:rPr>
                      <w:rFonts w:hint="eastAsia"/>
                      <w:color w:val="auto"/>
                      <w:lang w:val="en-US" w:eastAsia="zh-CN"/>
                    </w:rPr>
                  </w:pPr>
                </w:p>
              </w:tc>
              <w:tc>
                <w:tcPr>
                  <w:tcW w:w="1772" w:type="dxa"/>
                  <w:vAlign w:val="center"/>
                </w:tcPr>
                <w:p w14:paraId="75752D6A">
                  <w:pPr>
                    <w:pStyle w:val="26"/>
                    <w:widowControl w:val="0"/>
                    <w:bidi w:val="0"/>
                    <w:ind w:firstLine="0" w:firstLineChars="0"/>
                    <w:jc w:val="center"/>
                    <w:rPr>
                      <w:rFonts w:hint="eastAsia"/>
                      <w:color w:val="auto"/>
                      <w:lang w:val="en-US" w:eastAsia="zh-CN"/>
                    </w:rPr>
                  </w:pPr>
                  <w:r>
                    <w:rPr>
                      <w:rFonts w:hint="eastAsia"/>
                      <w:color w:val="auto"/>
                      <w:lang w:val="en-US" w:eastAsia="zh-CN"/>
                    </w:rPr>
                    <w:t>非甲烷总烃</w:t>
                  </w:r>
                </w:p>
              </w:tc>
              <w:tc>
                <w:tcPr>
                  <w:tcW w:w="1023" w:type="dxa"/>
                  <w:vAlign w:val="center"/>
                </w:tcPr>
                <w:p w14:paraId="03DD4480">
                  <w:pPr>
                    <w:pStyle w:val="26"/>
                    <w:widowControl w:val="0"/>
                    <w:bidi w:val="0"/>
                    <w:ind w:firstLine="0" w:firstLineChars="0"/>
                    <w:jc w:val="center"/>
                    <w:rPr>
                      <w:rFonts w:hint="eastAsia"/>
                      <w:color w:val="auto"/>
                      <w:lang w:val="en-US" w:eastAsia="zh-CN"/>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4708ABCB">
                  <w:pPr>
                    <w:pStyle w:val="26"/>
                    <w:widowControl w:val="0"/>
                    <w:bidi w:val="0"/>
                    <w:jc w:val="center"/>
                    <w:rPr>
                      <w:rFonts w:hint="default"/>
                      <w:color w:val="auto"/>
                      <w:lang w:val="en-US" w:eastAsia="zh-CN"/>
                    </w:rPr>
                  </w:pPr>
                  <w:r>
                    <w:rPr>
                      <w:rFonts w:hint="eastAsia"/>
                      <w:color w:val="auto"/>
                      <w:lang w:val="en-US" w:eastAsia="zh-CN"/>
                    </w:rPr>
                    <w:t>1.63</w:t>
                  </w:r>
                </w:p>
              </w:tc>
              <w:tc>
                <w:tcPr>
                  <w:tcW w:w="1217" w:type="dxa"/>
                  <w:gridSpan w:val="2"/>
                  <w:vAlign w:val="center"/>
                </w:tcPr>
                <w:p w14:paraId="1CBD2690">
                  <w:pPr>
                    <w:pStyle w:val="26"/>
                    <w:widowControl w:val="0"/>
                    <w:bidi w:val="0"/>
                    <w:jc w:val="center"/>
                    <w:rPr>
                      <w:rFonts w:hint="default"/>
                      <w:color w:val="auto"/>
                      <w:lang w:val="en-US" w:eastAsia="zh-CN"/>
                    </w:rPr>
                  </w:pPr>
                  <w:r>
                    <w:rPr>
                      <w:rFonts w:hint="eastAsia"/>
                      <w:color w:val="auto"/>
                      <w:lang w:val="en-US" w:eastAsia="zh-CN"/>
                    </w:rPr>
                    <w:t>1.61</w:t>
                  </w:r>
                </w:p>
              </w:tc>
              <w:tc>
                <w:tcPr>
                  <w:tcW w:w="1168" w:type="dxa"/>
                  <w:gridSpan w:val="2"/>
                  <w:vAlign w:val="center"/>
                </w:tcPr>
                <w:p w14:paraId="17F7ACE1">
                  <w:pPr>
                    <w:pStyle w:val="26"/>
                    <w:widowControl w:val="0"/>
                    <w:bidi w:val="0"/>
                    <w:jc w:val="center"/>
                    <w:rPr>
                      <w:rFonts w:hint="default"/>
                      <w:color w:val="auto"/>
                      <w:lang w:val="en-US" w:eastAsia="zh-CN"/>
                    </w:rPr>
                  </w:pPr>
                  <w:r>
                    <w:rPr>
                      <w:rFonts w:hint="eastAsia"/>
                      <w:color w:val="auto"/>
                      <w:lang w:val="en-US" w:eastAsia="zh-CN"/>
                    </w:rPr>
                    <w:t>1.60</w:t>
                  </w:r>
                </w:p>
              </w:tc>
            </w:tr>
            <w:tr w14:paraId="3163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restart"/>
                  <w:vAlign w:val="center"/>
                </w:tcPr>
                <w:p w14:paraId="4D75F403">
                  <w:pPr>
                    <w:widowControl w:val="0"/>
                    <w:bidi w:val="0"/>
                    <w:spacing w:line="240" w:lineRule="auto"/>
                    <w:jc w:val="center"/>
                    <w:rPr>
                      <w:rFonts w:hint="default"/>
                      <w:color w:val="auto"/>
                      <w:sz w:val="21"/>
                      <w:szCs w:val="21"/>
                      <w:lang w:val="en-US" w:eastAsia="zh-CN"/>
                    </w:rPr>
                  </w:pPr>
                  <w:r>
                    <w:rPr>
                      <w:rFonts w:hint="eastAsia"/>
                      <w:color w:val="auto"/>
                      <w:sz w:val="21"/>
                      <w:szCs w:val="21"/>
                      <w:lang w:val="en-US" w:eastAsia="zh-CN"/>
                    </w:rPr>
                    <w:t>南厂界外上风向G3</w:t>
                  </w:r>
                </w:p>
              </w:tc>
              <w:tc>
                <w:tcPr>
                  <w:tcW w:w="1772" w:type="dxa"/>
                  <w:vAlign w:val="center"/>
                </w:tcPr>
                <w:p w14:paraId="085E3DC6">
                  <w:pPr>
                    <w:pStyle w:val="26"/>
                    <w:widowControl w:val="0"/>
                    <w:bidi w:val="0"/>
                    <w:ind w:firstLine="0" w:firstLineChars="0"/>
                    <w:jc w:val="center"/>
                    <w:rPr>
                      <w:rFonts w:hint="eastAsia"/>
                      <w:color w:val="auto"/>
                      <w:lang w:val="en-US" w:eastAsia="zh-CN"/>
                    </w:rPr>
                  </w:pPr>
                  <w:r>
                    <w:rPr>
                      <w:rFonts w:hint="eastAsia"/>
                      <w:color w:val="auto"/>
                      <w:lang w:val="en-US" w:eastAsia="zh-CN"/>
                    </w:rPr>
                    <w:t>总悬浮颗粒物</w:t>
                  </w:r>
                </w:p>
              </w:tc>
              <w:tc>
                <w:tcPr>
                  <w:tcW w:w="1023" w:type="dxa"/>
                  <w:vAlign w:val="center"/>
                </w:tcPr>
                <w:p w14:paraId="7CB4CA6B">
                  <w:pPr>
                    <w:pStyle w:val="26"/>
                    <w:widowControl w:val="0"/>
                    <w:bidi w:val="0"/>
                    <w:ind w:firstLine="0" w:firstLineChars="0"/>
                    <w:jc w:val="center"/>
                    <w:rPr>
                      <w:rFonts w:hint="eastAsia"/>
                      <w:color w:val="auto"/>
                      <w:lang w:val="en-US" w:eastAsia="zh-CN"/>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317EEC8C">
                  <w:pPr>
                    <w:pStyle w:val="26"/>
                    <w:widowControl w:val="0"/>
                    <w:bidi w:val="0"/>
                    <w:jc w:val="center"/>
                    <w:rPr>
                      <w:rFonts w:hint="eastAsia"/>
                      <w:color w:val="auto"/>
                      <w:lang w:val="en-US" w:eastAsia="zh-CN"/>
                    </w:rPr>
                  </w:pPr>
                  <w:r>
                    <w:rPr>
                      <w:rFonts w:hint="eastAsia"/>
                      <w:color w:val="auto"/>
                      <w:lang w:val="en-US" w:eastAsia="zh-CN"/>
                    </w:rPr>
                    <w:t>＜224</w:t>
                  </w:r>
                </w:p>
              </w:tc>
              <w:tc>
                <w:tcPr>
                  <w:tcW w:w="1217" w:type="dxa"/>
                  <w:gridSpan w:val="2"/>
                  <w:vAlign w:val="center"/>
                </w:tcPr>
                <w:p w14:paraId="1B70AEA3">
                  <w:pPr>
                    <w:pStyle w:val="26"/>
                    <w:widowControl w:val="0"/>
                    <w:bidi w:val="0"/>
                    <w:jc w:val="center"/>
                    <w:rPr>
                      <w:rFonts w:hint="default"/>
                      <w:color w:val="auto"/>
                      <w:lang w:val="en-US" w:eastAsia="zh-CN"/>
                    </w:rPr>
                  </w:pPr>
                  <w:r>
                    <w:rPr>
                      <w:rFonts w:hint="eastAsia"/>
                      <w:color w:val="auto"/>
                      <w:lang w:val="en-US" w:eastAsia="zh-CN"/>
                    </w:rPr>
                    <w:t>234</w:t>
                  </w:r>
                </w:p>
              </w:tc>
              <w:tc>
                <w:tcPr>
                  <w:tcW w:w="1168" w:type="dxa"/>
                  <w:gridSpan w:val="2"/>
                  <w:vAlign w:val="center"/>
                </w:tcPr>
                <w:p w14:paraId="61A0E43B">
                  <w:pPr>
                    <w:pStyle w:val="26"/>
                    <w:widowControl w:val="0"/>
                    <w:bidi w:val="0"/>
                    <w:jc w:val="center"/>
                    <w:rPr>
                      <w:rFonts w:hint="default"/>
                      <w:color w:val="auto"/>
                      <w:lang w:val="en-US" w:eastAsia="zh-CN"/>
                    </w:rPr>
                  </w:pPr>
                  <w:r>
                    <w:rPr>
                      <w:rFonts w:hint="eastAsia"/>
                      <w:color w:val="auto"/>
                      <w:lang w:val="en-US" w:eastAsia="zh-CN"/>
                    </w:rPr>
                    <w:t>242</w:t>
                  </w:r>
                </w:p>
              </w:tc>
            </w:tr>
            <w:tr w14:paraId="31A4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3FBDFA07">
                  <w:pPr>
                    <w:pStyle w:val="26"/>
                    <w:widowControl w:val="0"/>
                    <w:bidi w:val="0"/>
                    <w:spacing w:line="240" w:lineRule="auto"/>
                    <w:jc w:val="center"/>
                    <w:rPr>
                      <w:rFonts w:hint="eastAsia"/>
                      <w:color w:val="auto"/>
                      <w:sz w:val="21"/>
                      <w:szCs w:val="21"/>
                      <w:lang w:val="en-US" w:eastAsia="zh-CN"/>
                    </w:rPr>
                  </w:pPr>
                </w:p>
              </w:tc>
              <w:tc>
                <w:tcPr>
                  <w:tcW w:w="1772" w:type="dxa"/>
                  <w:vAlign w:val="center"/>
                </w:tcPr>
                <w:p w14:paraId="10578DE6">
                  <w:pPr>
                    <w:pStyle w:val="26"/>
                    <w:widowControl w:val="0"/>
                    <w:bidi w:val="0"/>
                    <w:ind w:firstLine="0" w:firstLineChars="0"/>
                    <w:jc w:val="center"/>
                    <w:rPr>
                      <w:rFonts w:hint="eastAsia"/>
                      <w:color w:val="auto"/>
                      <w:lang w:val="en-US" w:eastAsia="zh-CN"/>
                    </w:rPr>
                  </w:pPr>
                  <w:r>
                    <w:rPr>
                      <w:rFonts w:hint="eastAsia"/>
                      <w:color w:val="auto"/>
                      <w:lang w:val="en-US" w:eastAsia="zh-CN"/>
                    </w:rPr>
                    <w:t>非甲烷总烃</w:t>
                  </w:r>
                </w:p>
              </w:tc>
              <w:tc>
                <w:tcPr>
                  <w:tcW w:w="1023" w:type="dxa"/>
                  <w:vAlign w:val="center"/>
                </w:tcPr>
                <w:p w14:paraId="2988B55D">
                  <w:pPr>
                    <w:pStyle w:val="26"/>
                    <w:widowControl w:val="0"/>
                    <w:bidi w:val="0"/>
                    <w:ind w:firstLine="0" w:firstLineChars="0"/>
                    <w:jc w:val="center"/>
                    <w:rPr>
                      <w:rFonts w:hint="eastAsia"/>
                      <w:color w:val="auto"/>
                      <w:lang w:val="en-US" w:eastAsia="zh-CN"/>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72D01215">
                  <w:pPr>
                    <w:pStyle w:val="26"/>
                    <w:widowControl w:val="0"/>
                    <w:bidi w:val="0"/>
                    <w:jc w:val="center"/>
                    <w:rPr>
                      <w:rFonts w:hint="default"/>
                      <w:color w:val="auto"/>
                      <w:lang w:val="en-US" w:eastAsia="zh-CN"/>
                    </w:rPr>
                  </w:pPr>
                  <w:r>
                    <w:rPr>
                      <w:rFonts w:hint="eastAsia"/>
                      <w:color w:val="auto"/>
                      <w:lang w:val="en-US" w:eastAsia="zh-CN"/>
                    </w:rPr>
                    <w:t>1.26</w:t>
                  </w:r>
                </w:p>
              </w:tc>
              <w:tc>
                <w:tcPr>
                  <w:tcW w:w="1217" w:type="dxa"/>
                  <w:gridSpan w:val="2"/>
                  <w:vAlign w:val="center"/>
                </w:tcPr>
                <w:p w14:paraId="1A6B659A">
                  <w:pPr>
                    <w:pStyle w:val="26"/>
                    <w:widowControl w:val="0"/>
                    <w:bidi w:val="0"/>
                    <w:jc w:val="center"/>
                    <w:rPr>
                      <w:rFonts w:hint="default"/>
                      <w:color w:val="auto"/>
                      <w:lang w:val="en-US" w:eastAsia="zh-CN"/>
                    </w:rPr>
                  </w:pPr>
                  <w:r>
                    <w:rPr>
                      <w:rFonts w:hint="eastAsia"/>
                      <w:color w:val="auto"/>
                      <w:lang w:val="en-US" w:eastAsia="zh-CN"/>
                    </w:rPr>
                    <w:t>1.29</w:t>
                  </w:r>
                </w:p>
              </w:tc>
              <w:tc>
                <w:tcPr>
                  <w:tcW w:w="1168" w:type="dxa"/>
                  <w:gridSpan w:val="2"/>
                  <w:vAlign w:val="center"/>
                </w:tcPr>
                <w:p w14:paraId="28414BCC">
                  <w:pPr>
                    <w:pStyle w:val="26"/>
                    <w:widowControl w:val="0"/>
                    <w:bidi w:val="0"/>
                    <w:jc w:val="center"/>
                    <w:rPr>
                      <w:rFonts w:hint="default"/>
                      <w:color w:val="auto"/>
                      <w:lang w:val="en-US" w:eastAsia="zh-CN"/>
                    </w:rPr>
                  </w:pPr>
                  <w:r>
                    <w:rPr>
                      <w:rFonts w:hint="eastAsia"/>
                      <w:color w:val="auto"/>
                      <w:lang w:val="en-US" w:eastAsia="zh-CN"/>
                    </w:rPr>
                    <w:t>1.31</w:t>
                  </w:r>
                </w:p>
              </w:tc>
            </w:tr>
            <w:tr w14:paraId="6AD7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restart"/>
                  <w:vAlign w:val="center"/>
                </w:tcPr>
                <w:p w14:paraId="72627517">
                  <w:pPr>
                    <w:widowControl w:val="0"/>
                    <w:bidi w:val="0"/>
                    <w:spacing w:line="240" w:lineRule="auto"/>
                    <w:jc w:val="center"/>
                    <w:rPr>
                      <w:rFonts w:hint="default"/>
                      <w:color w:val="auto"/>
                      <w:sz w:val="21"/>
                      <w:szCs w:val="21"/>
                      <w:lang w:val="en-US" w:eastAsia="zh-CN"/>
                    </w:rPr>
                  </w:pPr>
                  <w:r>
                    <w:rPr>
                      <w:rFonts w:hint="eastAsia"/>
                      <w:color w:val="auto"/>
                      <w:sz w:val="21"/>
                      <w:szCs w:val="21"/>
                      <w:lang w:val="en-US" w:eastAsia="zh-CN"/>
                    </w:rPr>
                    <w:t>南厂界外上风向G4</w:t>
                  </w:r>
                </w:p>
              </w:tc>
              <w:tc>
                <w:tcPr>
                  <w:tcW w:w="1772" w:type="dxa"/>
                  <w:vAlign w:val="center"/>
                </w:tcPr>
                <w:p w14:paraId="30476CC0">
                  <w:pPr>
                    <w:pStyle w:val="26"/>
                    <w:widowControl w:val="0"/>
                    <w:bidi w:val="0"/>
                    <w:ind w:firstLine="0" w:firstLineChars="0"/>
                    <w:jc w:val="center"/>
                    <w:rPr>
                      <w:rFonts w:hint="eastAsia"/>
                      <w:color w:val="auto"/>
                      <w:lang w:val="en-US" w:eastAsia="zh-CN"/>
                    </w:rPr>
                  </w:pPr>
                  <w:r>
                    <w:rPr>
                      <w:rFonts w:hint="eastAsia"/>
                      <w:color w:val="auto"/>
                      <w:lang w:val="en-US" w:eastAsia="zh-CN"/>
                    </w:rPr>
                    <w:t>总悬浮颗粒物</w:t>
                  </w:r>
                </w:p>
              </w:tc>
              <w:tc>
                <w:tcPr>
                  <w:tcW w:w="1023" w:type="dxa"/>
                  <w:vAlign w:val="center"/>
                </w:tcPr>
                <w:p w14:paraId="2E9BD620">
                  <w:pPr>
                    <w:pStyle w:val="26"/>
                    <w:widowControl w:val="0"/>
                    <w:bidi w:val="0"/>
                    <w:ind w:firstLine="0" w:firstLineChars="0"/>
                    <w:jc w:val="center"/>
                    <w:rPr>
                      <w:rFonts w:hint="eastAsia"/>
                      <w:color w:val="auto"/>
                      <w:lang w:val="en-US" w:eastAsia="zh-CN"/>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1FFFF1EE">
                  <w:pPr>
                    <w:pStyle w:val="26"/>
                    <w:widowControl w:val="0"/>
                    <w:bidi w:val="0"/>
                    <w:jc w:val="center"/>
                    <w:rPr>
                      <w:rFonts w:hint="default"/>
                      <w:color w:val="auto"/>
                      <w:lang w:val="en-US" w:eastAsia="zh-CN"/>
                    </w:rPr>
                  </w:pPr>
                  <w:r>
                    <w:rPr>
                      <w:rFonts w:hint="eastAsia"/>
                      <w:color w:val="auto"/>
                      <w:lang w:val="en-US" w:eastAsia="zh-CN"/>
                    </w:rPr>
                    <w:t>229</w:t>
                  </w:r>
                </w:p>
              </w:tc>
              <w:tc>
                <w:tcPr>
                  <w:tcW w:w="1217" w:type="dxa"/>
                  <w:gridSpan w:val="2"/>
                  <w:vAlign w:val="center"/>
                </w:tcPr>
                <w:p w14:paraId="07BEF6BC">
                  <w:pPr>
                    <w:pStyle w:val="26"/>
                    <w:widowControl w:val="0"/>
                    <w:bidi w:val="0"/>
                    <w:jc w:val="center"/>
                    <w:rPr>
                      <w:rFonts w:hint="default"/>
                      <w:color w:val="auto"/>
                      <w:lang w:val="en-US" w:eastAsia="zh-CN"/>
                    </w:rPr>
                  </w:pPr>
                  <w:r>
                    <w:rPr>
                      <w:rFonts w:hint="eastAsia"/>
                      <w:color w:val="auto"/>
                      <w:lang w:val="en-US" w:eastAsia="zh-CN"/>
                    </w:rPr>
                    <w:t>234</w:t>
                  </w:r>
                </w:p>
              </w:tc>
              <w:tc>
                <w:tcPr>
                  <w:tcW w:w="1168" w:type="dxa"/>
                  <w:gridSpan w:val="2"/>
                  <w:vAlign w:val="center"/>
                </w:tcPr>
                <w:p w14:paraId="7AC543D6">
                  <w:pPr>
                    <w:pStyle w:val="26"/>
                    <w:widowControl w:val="0"/>
                    <w:bidi w:val="0"/>
                    <w:jc w:val="center"/>
                    <w:rPr>
                      <w:rFonts w:hint="default"/>
                      <w:color w:val="auto"/>
                      <w:lang w:val="en-US" w:eastAsia="zh-CN"/>
                    </w:rPr>
                  </w:pPr>
                  <w:r>
                    <w:rPr>
                      <w:rFonts w:hint="eastAsia"/>
                      <w:color w:val="auto"/>
                      <w:lang w:val="en-US" w:eastAsia="zh-CN"/>
                    </w:rPr>
                    <w:t>247</w:t>
                  </w:r>
                </w:p>
              </w:tc>
            </w:tr>
            <w:tr w14:paraId="42BCD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3940D763">
                  <w:pPr>
                    <w:pStyle w:val="26"/>
                    <w:widowControl w:val="0"/>
                    <w:bidi w:val="0"/>
                    <w:jc w:val="center"/>
                    <w:rPr>
                      <w:rFonts w:hint="eastAsia"/>
                      <w:color w:val="auto"/>
                      <w:lang w:val="en-US" w:eastAsia="zh-CN"/>
                    </w:rPr>
                  </w:pPr>
                </w:p>
              </w:tc>
              <w:tc>
                <w:tcPr>
                  <w:tcW w:w="1772" w:type="dxa"/>
                  <w:vAlign w:val="center"/>
                </w:tcPr>
                <w:p w14:paraId="7C1B6156">
                  <w:pPr>
                    <w:pStyle w:val="26"/>
                    <w:widowControl w:val="0"/>
                    <w:bidi w:val="0"/>
                    <w:ind w:firstLine="0" w:firstLineChars="0"/>
                    <w:jc w:val="center"/>
                    <w:rPr>
                      <w:rFonts w:hint="eastAsia"/>
                      <w:color w:val="auto"/>
                      <w:lang w:val="en-US" w:eastAsia="zh-CN"/>
                    </w:rPr>
                  </w:pPr>
                  <w:r>
                    <w:rPr>
                      <w:rFonts w:hint="eastAsia"/>
                      <w:color w:val="auto"/>
                      <w:lang w:val="en-US" w:eastAsia="zh-CN"/>
                    </w:rPr>
                    <w:t>非甲烷总烃</w:t>
                  </w:r>
                </w:p>
              </w:tc>
              <w:tc>
                <w:tcPr>
                  <w:tcW w:w="1023" w:type="dxa"/>
                  <w:vAlign w:val="center"/>
                </w:tcPr>
                <w:p w14:paraId="6F824CCB">
                  <w:pPr>
                    <w:pStyle w:val="26"/>
                    <w:widowControl w:val="0"/>
                    <w:bidi w:val="0"/>
                    <w:ind w:firstLine="0" w:firstLineChars="0"/>
                    <w:jc w:val="center"/>
                    <w:rPr>
                      <w:rFonts w:hint="eastAsia"/>
                      <w:color w:val="auto"/>
                      <w:lang w:val="en-US" w:eastAsia="zh-CN"/>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090B1496">
                  <w:pPr>
                    <w:pStyle w:val="26"/>
                    <w:widowControl w:val="0"/>
                    <w:bidi w:val="0"/>
                    <w:jc w:val="center"/>
                    <w:rPr>
                      <w:rFonts w:hint="default"/>
                      <w:color w:val="auto"/>
                      <w:lang w:val="en-US" w:eastAsia="zh-CN"/>
                    </w:rPr>
                  </w:pPr>
                  <w:r>
                    <w:rPr>
                      <w:rFonts w:hint="eastAsia"/>
                      <w:color w:val="auto"/>
                      <w:lang w:val="en-US" w:eastAsia="zh-CN"/>
                    </w:rPr>
                    <w:t>1.10</w:t>
                  </w:r>
                </w:p>
              </w:tc>
              <w:tc>
                <w:tcPr>
                  <w:tcW w:w="1217" w:type="dxa"/>
                  <w:gridSpan w:val="2"/>
                  <w:vAlign w:val="center"/>
                </w:tcPr>
                <w:p w14:paraId="38F09CF0">
                  <w:pPr>
                    <w:pStyle w:val="26"/>
                    <w:widowControl w:val="0"/>
                    <w:bidi w:val="0"/>
                    <w:jc w:val="center"/>
                    <w:rPr>
                      <w:rFonts w:hint="default"/>
                      <w:color w:val="auto"/>
                      <w:lang w:val="en-US" w:eastAsia="zh-CN"/>
                    </w:rPr>
                  </w:pPr>
                  <w:r>
                    <w:rPr>
                      <w:rFonts w:hint="eastAsia"/>
                      <w:color w:val="auto"/>
                      <w:lang w:val="en-US" w:eastAsia="zh-CN"/>
                    </w:rPr>
                    <w:t>1.13</w:t>
                  </w:r>
                </w:p>
              </w:tc>
              <w:tc>
                <w:tcPr>
                  <w:tcW w:w="1168" w:type="dxa"/>
                  <w:gridSpan w:val="2"/>
                  <w:vAlign w:val="center"/>
                </w:tcPr>
                <w:p w14:paraId="1C59C1F5">
                  <w:pPr>
                    <w:pStyle w:val="26"/>
                    <w:widowControl w:val="0"/>
                    <w:bidi w:val="0"/>
                    <w:jc w:val="center"/>
                    <w:rPr>
                      <w:rFonts w:hint="default"/>
                      <w:color w:val="auto"/>
                      <w:lang w:val="en-US" w:eastAsia="zh-CN"/>
                    </w:rPr>
                  </w:pPr>
                  <w:r>
                    <w:rPr>
                      <w:rFonts w:hint="eastAsia"/>
                      <w:color w:val="auto"/>
                      <w:lang w:val="en-US" w:eastAsia="zh-CN"/>
                    </w:rPr>
                    <w:t>1.08</w:t>
                  </w:r>
                </w:p>
              </w:tc>
            </w:tr>
            <w:tr w14:paraId="2AB68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639" w:type="dxa"/>
                  <w:gridSpan w:val="10"/>
                  <w:vAlign w:val="center"/>
                </w:tcPr>
                <w:p w14:paraId="309F834A">
                  <w:pPr>
                    <w:pStyle w:val="26"/>
                    <w:widowControl w:val="0"/>
                    <w:bidi w:val="0"/>
                    <w:jc w:val="center"/>
                    <w:rPr>
                      <w:rFonts w:hint="eastAsia"/>
                      <w:color w:val="auto"/>
                      <w:lang w:val="en-US" w:eastAsia="zh-CN"/>
                    </w:rPr>
                  </w:pPr>
                  <w:r>
                    <w:rPr>
                      <w:rFonts w:hint="eastAsia"/>
                      <w:color w:val="auto"/>
                      <w:lang w:val="en-US" w:eastAsia="zh-CN"/>
                    </w:rPr>
                    <w:t>检测项目及结果</w:t>
                  </w:r>
                </w:p>
              </w:tc>
            </w:tr>
            <w:tr w14:paraId="4BD62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restart"/>
                  <w:vAlign w:val="center"/>
                </w:tcPr>
                <w:p w14:paraId="74346A0F">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检测点位</w:t>
                  </w:r>
                </w:p>
              </w:tc>
              <w:tc>
                <w:tcPr>
                  <w:tcW w:w="1772" w:type="dxa"/>
                  <w:vMerge w:val="restart"/>
                  <w:vAlign w:val="center"/>
                </w:tcPr>
                <w:p w14:paraId="7F7213A2">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检测项目</w:t>
                  </w:r>
                </w:p>
              </w:tc>
              <w:tc>
                <w:tcPr>
                  <w:tcW w:w="1023" w:type="dxa"/>
                  <w:vMerge w:val="restart"/>
                  <w:vAlign w:val="center"/>
                </w:tcPr>
                <w:p w14:paraId="26C9233C">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单位</w:t>
                  </w:r>
                </w:p>
              </w:tc>
              <w:tc>
                <w:tcPr>
                  <w:tcW w:w="3580" w:type="dxa"/>
                  <w:gridSpan w:val="7"/>
                  <w:vAlign w:val="center"/>
                </w:tcPr>
                <w:p w14:paraId="4F6F1256">
                  <w:pPr>
                    <w:pStyle w:val="26"/>
                    <w:widowControl w:val="0"/>
                    <w:bidi w:val="0"/>
                    <w:jc w:val="center"/>
                    <w:rPr>
                      <w:rFonts w:hint="eastAsia"/>
                      <w:color w:val="auto"/>
                      <w:lang w:val="en-US" w:eastAsia="zh-CN"/>
                    </w:rPr>
                  </w:pPr>
                  <w:r>
                    <w:rPr>
                      <w:rFonts w:hint="eastAsia"/>
                      <w:color w:val="auto"/>
                      <w:lang w:val="en-US" w:eastAsia="zh-CN"/>
                    </w:rPr>
                    <w:t>检测结果</w:t>
                  </w:r>
                </w:p>
              </w:tc>
            </w:tr>
            <w:tr w14:paraId="36355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61FA2FA8">
                  <w:pPr>
                    <w:pStyle w:val="26"/>
                    <w:widowControl w:val="0"/>
                    <w:bidi w:val="0"/>
                    <w:jc w:val="center"/>
                    <w:rPr>
                      <w:rFonts w:hint="eastAsia"/>
                      <w:color w:val="auto"/>
                      <w:lang w:val="en-US" w:eastAsia="zh-CN"/>
                    </w:rPr>
                  </w:pPr>
                </w:p>
              </w:tc>
              <w:tc>
                <w:tcPr>
                  <w:tcW w:w="1772" w:type="dxa"/>
                  <w:vMerge w:val="continue"/>
                  <w:vAlign w:val="center"/>
                </w:tcPr>
                <w:p w14:paraId="3168822A">
                  <w:pPr>
                    <w:pStyle w:val="26"/>
                    <w:widowControl w:val="0"/>
                    <w:bidi w:val="0"/>
                    <w:jc w:val="center"/>
                    <w:rPr>
                      <w:rFonts w:hint="eastAsia"/>
                      <w:color w:val="auto"/>
                      <w:lang w:val="en-US" w:eastAsia="zh-CN"/>
                    </w:rPr>
                  </w:pPr>
                </w:p>
              </w:tc>
              <w:tc>
                <w:tcPr>
                  <w:tcW w:w="1023" w:type="dxa"/>
                  <w:vMerge w:val="continue"/>
                  <w:vAlign w:val="center"/>
                </w:tcPr>
                <w:p w14:paraId="0628FF88">
                  <w:pPr>
                    <w:pStyle w:val="26"/>
                    <w:widowControl w:val="0"/>
                    <w:bidi w:val="0"/>
                    <w:jc w:val="center"/>
                    <w:rPr>
                      <w:rFonts w:hint="eastAsia"/>
                      <w:color w:val="auto"/>
                      <w:lang w:val="en-US" w:eastAsia="zh-CN"/>
                    </w:rPr>
                  </w:pPr>
                </w:p>
              </w:tc>
              <w:tc>
                <w:tcPr>
                  <w:tcW w:w="896" w:type="dxa"/>
                  <w:gridSpan w:val="2"/>
                  <w:vAlign w:val="center"/>
                </w:tcPr>
                <w:p w14:paraId="354BFEDB">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第一次</w:t>
                  </w:r>
                </w:p>
              </w:tc>
              <w:tc>
                <w:tcPr>
                  <w:tcW w:w="890" w:type="dxa"/>
                  <w:gridSpan w:val="2"/>
                  <w:vAlign w:val="center"/>
                </w:tcPr>
                <w:p w14:paraId="3ED7153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第二次</w:t>
                  </w:r>
                </w:p>
              </w:tc>
              <w:tc>
                <w:tcPr>
                  <w:tcW w:w="875" w:type="dxa"/>
                  <w:gridSpan w:val="2"/>
                  <w:vAlign w:val="center"/>
                </w:tcPr>
                <w:p w14:paraId="0BC38106">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第三次</w:t>
                  </w:r>
                </w:p>
              </w:tc>
              <w:tc>
                <w:tcPr>
                  <w:tcW w:w="919" w:type="dxa"/>
                  <w:vAlign w:val="center"/>
                </w:tcPr>
                <w:p w14:paraId="5D91116C">
                  <w:pPr>
                    <w:pStyle w:val="26"/>
                    <w:widowControl w:val="0"/>
                    <w:bidi w:val="0"/>
                    <w:ind w:firstLine="0" w:firstLineChars="0"/>
                    <w:jc w:val="center"/>
                    <w:rPr>
                      <w:rFonts w:hint="eastAsia"/>
                      <w:color w:val="auto"/>
                      <w:lang w:val="en-US" w:eastAsia="zh-CN"/>
                    </w:rPr>
                  </w:pPr>
                  <w:r>
                    <w:rPr>
                      <w:rFonts w:hint="eastAsia"/>
                      <w:color w:val="auto"/>
                      <w:lang w:val="en-US" w:eastAsia="zh-CN"/>
                    </w:rPr>
                    <w:t>平均值</w:t>
                  </w:r>
                </w:p>
              </w:tc>
            </w:tr>
            <w:tr w14:paraId="5BF66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264" w:type="dxa"/>
                  <w:vAlign w:val="center"/>
                </w:tcPr>
                <w:p w14:paraId="305B92CE">
                  <w:pPr>
                    <w:pStyle w:val="26"/>
                    <w:widowControl w:val="0"/>
                    <w:bidi w:val="0"/>
                    <w:ind w:firstLine="0" w:firstLineChars="0"/>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厂房外G5</w:t>
                  </w:r>
                </w:p>
              </w:tc>
              <w:tc>
                <w:tcPr>
                  <w:tcW w:w="1772" w:type="dxa"/>
                  <w:vAlign w:val="center"/>
                </w:tcPr>
                <w:p w14:paraId="6AEB9336">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olor w:val="auto"/>
                      <w:lang w:val="en-US" w:eastAsia="zh-CN"/>
                    </w:rPr>
                    <w:t>非甲烷总烃</w:t>
                  </w:r>
                </w:p>
              </w:tc>
              <w:tc>
                <w:tcPr>
                  <w:tcW w:w="1023" w:type="dxa"/>
                  <w:vAlign w:val="center"/>
                </w:tcPr>
                <w:p w14:paraId="68743DEB">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olor w:val="auto"/>
                      <w:lang w:val="en-US" w:eastAsia="zh-CN"/>
                    </w:rPr>
                    <w:t>mg/m</w:t>
                  </w:r>
                  <w:r>
                    <w:rPr>
                      <w:rFonts w:hint="eastAsia"/>
                      <w:color w:val="auto"/>
                      <w:vertAlign w:val="superscript"/>
                      <w:lang w:val="en-US" w:eastAsia="zh-CN"/>
                    </w:rPr>
                    <w:t>3</w:t>
                  </w:r>
                </w:p>
              </w:tc>
              <w:tc>
                <w:tcPr>
                  <w:tcW w:w="896" w:type="dxa"/>
                  <w:gridSpan w:val="2"/>
                  <w:vAlign w:val="center"/>
                </w:tcPr>
                <w:p w14:paraId="24C9545F">
                  <w:pPr>
                    <w:pStyle w:val="26"/>
                    <w:widowControl w:val="0"/>
                    <w:bidi w:val="0"/>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2.45</w:t>
                  </w:r>
                </w:p>
              </w:tc>
              <w:tc>
                <w:tcPr>
                  <w:tcW w:w="890" w:type="dxa"/>
                  <w:gridSpan w:val="2"/>
                  <w:vAlign w:val="center"/>
                </w:tcPr>
                <w:p w14:paraId="3BC86A81">
                  <w:pPr>
                    <w:pStyle w:val="26"/>
                    <w:widowControl w:val="0"/>
                    <w:bidi w:val="0"/>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2.42</w:t>
                  </w:r>
                </w:p>
              </w:tc>
              <w:tc>
                <w:tcPr>
                  <w:tcW w:w="875" w:type="dxa"/>
                  <w:gridSpan w:val="2"/>
                  <w:vAlign w:val="center"/>
                </w:tcPr>
                <w:p w14:paraId="79C2400D">
                  <w:pPr>
                    <w:pStyle w:val="26"/>
                    <w:widowControl w:val="0"/>
                    <w:bidi w:val="0"/>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2.48</w:t>
                  </w:r>
                </w:p>
              </w:tc>
              <w:tc>
                <w:tcPr>
                  <w:tcW w:w="919" w:type="dxa"/>
                  <w:vAlign w:val="center"/>
                </w:tcPr>
                <w:p w14:paraId="5DCE81BB">
                  <w:pPr>
                    <w:pStyle w:val="26"/>
                    <w:widowControl w:val="0"/>
                    <w:bidi w:val="0"/>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2.45</w:t>
                  </w:r>
                </w:p>
              </w:tc>
            </w:tr>
            <w:tr w14:paraId="13E92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036" w:type="dxa"/>
                  <w:gridSpan w:val="2"/>
                  <w:vAlign w:val="center"/>
                </w:tcPr>
                <w:p w14:paraId="3E20D25E">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default" w:ascii="Times New Roman" w:hAnsi="Times New Roman" w:cs="Times New Roman"/>
                      <w:color w:val="auto"/>
                      <w:sz w:val="21"/>
                      <w:szCs w:val="21"/>
                      <w:lang w:val="en-US" w:eastAsia="zh-CN"/>
                    </w:rPr>
                    <w:t>采样日期：2024.06.2</w:t>
                  </w:r>
                  <w:r>
                    <w:rPr>
                      <w:rFonts w:hint="eastAsia" w:cs="Times New Roman"/>
                      <w:color w:val="auto"/>
                      <w:sz w:val="21"/>
                      <w:szCs w:val="21"/>
                      <w:lang w:val="en-US" w:eastAsia="zh-CN"/>
                    </w:rPr>
                    <w:t>8</w:t>
                  </w:r>
                </w:p>
              </w:tc>
              <w:tc>
                <w:tcPr>
                  <w:tcW w:w="4603" w:type="dxa"/>
                  <w:gridSpan w:val="8"/>
                  <w:vAlign w:val="center"/>
                </w:tcPr>
                <w:p w14:paraId="4747FE9E">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default" w:ascii="Times New Roman" w:hAnsi="Times New Roman" w:cs="Times New Roman"/>
                      <w:color w:val="auto"/>
                      <w:sz w:val="21"/>
                      <w:szCs w:val="21"/>
                      <w:lang w:val="en-US" w:eastAsia="zh-CN"/>
                    </w:rPr>
                    <w:t>检测日期：2024.06.28~2024.07.02</w:t>
                  </w:r>
                </w:p>
              </w:tc>
            </w:tr>
            <w:tr w14:paraId="02678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264" w:type="dxa"/>
                  <w:vAlign w:val="center"/>
                </w:tcPr>
                <w:p w14:paraId="7F4622AB">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环境条件</w:t>
                  </w:r>
                </w:p>
              </w:tc>
              <w:tc>
                <w:tcPr>
                  <w:tcW w:w="6375" w:type="dxa"/>
                  <w:gridSpan w:val="9"/>
                  <w:vAlign w:val="center"/>
                </w:tcPr>
                <w:p w14:paraId="1880AE26">
                  <w:pPr>
                    <w:pStyle w:val="26"/>
                    <w:widowControl w:val="0"/>
                    <w:bidi w:val="0"/>
                    <w:ind w:firstLine="0" w:firstLineChars="0"/>
                    <w:jc w:val="left"/>
                    <w:rPr>
                      <w:rFonts w:hint="eastAsia" w:ascii="Times New Roman" w:hAnsi="Times New Roman" w:eastAsia="宋体" w:cs="Times New Roman"/>
                      <w:color w:val="auto"/>
                      <w:sz w:val="21"/>
                      <w:szCs w:val="24"/>
                      <w:lang w:val="en-US" w:eastAsia="zh-CN" w:bidi="ar-SA"/>
                    </w:rPr>
                  </w:pPr>
                  <w:r>
                    <w:rPr>
                      <w:rFonts w:hint="eastAsia"/>
                      <w:color w:val="auto"/>
                      <w:lang w:val="en-US" w:eastAsia="zh-CN"/>
                    </w:rPr>
                    <w:t>阴、气温：28.3~30.2℃、大气压：100.56~100.75kPa、风速：2.5~2.6m/s、风向：北、湿度：45~46%RH</w:t>
                  </w:r>
                </w:p>
              </w:tc>
            </w:tr>
            <w:tr w14:paraId="75BF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639" w:type="dxa"/>
                  <w:gridSpan w:val="10"/>
                  <w:vAlign w:val="center"/>
                </w:tcPr>
                <w:p w14:paraId="57940D3D">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检测项目及结果</w:t>
                  </w:r>
                </w:p>
              </w:tc>
            </w:tr>
            <w:tr w14:paraId="52F54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264" w:type="dxa"/>
                  <w:vMerge w:val="restart"/>
                  <w:vAlign w:val="center"/>
                </w:tcPr>
                <w:p w14:paraId="66844D1C">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检测点位</w:t>
                  </w:r>
                </w:p>
              </w:tc>
              <w:tc>
                <w:tcPr>
                  <w:tcW w:w="1772" w:type="dxa"/>
                  <w:vMerge w:val="restart"/>
                  <w:vAlign w:val="center"/>
                </w:tcPr>
                <w:p w14:paraId="04AE141E">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检测项目</w:t>
                  </w:r>
                </w:p>
              </w:tc>
              <w:tc>
                <w:tcPr>
                  <w:tcW w:w="1023" w:type="dxa"/>
                  <w:vMerge w:val="restart"/>
                  <w:vAlign w:val="center"/>
                </w:tcPr>
                <w:p w14:paraId="50190F21">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单位</w:t>
                  </w:r>
                </w:p>
              </w:tc>
              <w:tc>
                <w:tcPr>
                  <w:tcW w:w="3580" w:type="dxa"/>
                  <w:gridSpan w:val="7"/>
                  <w:vAlign w:val="center"/>
                </w:tcPr>
                <w:p w14:paraId="22A1069D">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检测结果</w:t>
                  </w:r>
                </w:p>
              </w:tc>
            </w:tr>
            <w:tr w14:paraId="4CE48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2264" w:type="dxa"/>
                  <w:vMerge w:val="continue"/>
                  <w:vAlign w:val="center"/>
                </w:tcPr>
                <w:p w14:paraId="7DF383BB">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p>
              </w:tc>
              <w:tc>
                <w:tcPr>
                  <w:tcW w:w="1772" w:type="dxa"/>
                  <w:vMerge w:val="continue"/>
                  <w:vAlign w:val="center"/>
                </w:tcPr>
                <w:p w14:paraId="5C21BEC7">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p>
              </w:tc>
              <w:tc>
                <w:tcPr>
                  <w:tcW w:w="1023" w:type="dxa"/>
                  <w:vMerge w:val="continue"/>
                  <w:vAlign w:val="center"/>
                </w:tcPr>
                <w:p w14:paraId="3CCC3C8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p>
              </w:tc>
              <w:tc>
                <w:tcPr>
                  <w:tcW w:w="1195" w:type="dxa"/>
                  <w:gridSpan w:val="3"/>
                  <w:vAlign w:val="center"/>
                </w:tcPr>
                <w:p w14:paraId="7E994AA1">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第一次</w:t>
                  </w:r>
                </w:p>
              </w:tc>
              <w:tc>
                <w:tcPr>
                  <w:tcW w:w="1217" w:type="dxa"/>
                  <w:gridSpan w:val="2"/>
                  <w:vAlign w:val="center"/>
                </w:tcPr>
                <w:p w14:paraId="52CB24F1">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第二次</w:t>
                  </w:r>
                </w:p>
              </w:tc>
              <w:tc>
                <w:tcPr>
                  <w:tcW w:w="1168" w:type="dxa"/>
                  <w:gridSpan w:val="2"/>
                  <w:vAlign w:val="center"/>
                </w:tcPr>
                <w:p w14:paraId="68ABB7A3">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第三次</w:t>
                  </w:r>
                </w:p>
              </w:tc>
            </w:tr>
            <w:tr w14:paraId="49FF6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264" w:type="dxa"/>
                  <w:vMerge w:val="restart"/>
                  <w:vAlign w:val="center"/>
                </w:tcPr>
                <w:p w14:paraId="29414A00">
                  <w:pPr>
                    <w:pStyle w:val="26"/>
                    <w:widowControl w:val="0"/>
                    <w:bidi w:val="0"/>
                    <w:spacing w:line="240" w:lineRule="auto"/>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北厂界外上风向G1</w:t>
                  </w:r>
                </w:p>
              </w:tc>
              <w:tc>
                <w:tcPr>
                  <w:tcW w:w="1772" w:type="dxa"/>
                  <w:vAlign w:val="center"/>
                </w:tcPr>
                <w:p w14:paraId="0CB4292E">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总悬浮颗粒物</w:t>
                  </w:r>
                </w:p>
              </w:tc>
              <w:tc>
                <w:tcPr>
                  <w:tcW w:w="1023" w:type="dxa"/>
                  <w:vAlign w:val="center"/>
                </w:tcPr>
                <w:p w14:paraId="57B81168">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02D36274">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＜224</w:t>
                  </w:r>
                </w:p>
              </w:tc>
              <w:tc>
                <w:tcPr>
                  <w:tcW w:w="1217" w:type="dxa"/>
                  <w:gridSpan w:val="2"/>
                  <w:vAlign w:val="center"/>
                </w:tcPr>
                <w:p w14:paraId="0FD2505E">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＜224</w:t>
                  </w:r>
                </w:p>
              </w:tc>
              <w:tc>
                <w:tcPr>
                  <w:tcW w:w="1168" w:type="dxa"/>
                  <w:gridSpan w:val="2"/>
                  <w:vAlign w:val="center"/>
                </w:tcPr>
                <w:p w14:paraId="434E2F6B">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＜224</w:t>
                  </w:r>
                </w:p>
              </w:tc>
            </w:tr>
            <w:tr w14:paraId="0980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264" w:type="dxa"/>
                  <w:vMerge w:val="continue"/>
                  <w:vAlign w:val="center"/>
                </w:tcPr>
                <w:p w14:paraId="068A83A2">
                  <w:pPr>
                    <w:pStyle w:val="26"/>
                    <w:widowControl w:val="0"/>
                    <w:bidi w:val="0"/>
                    <w:spacing w:line="240" w:lineRule="auto"/>
                    <w:ind w:firstLine="0" w:firstLineChars="0"/>
                    <w:jc w:val="center"/>
                    <w:rPr>
                      <w:rFonts w:hint="eastAsia" w:ascii="Times New Roman" w:hAnsi="Times New Roman" w:eastAsia="宋体" w:cs="Times New Roman"/>
                      <w:color w:val="auto"/>
                      <w:sz w:val="21"/>
                      <w:szCs w:val="24"/>
                      <w:lang w:val="en-US" w:eastAsia="zh-CN" w:bidi="ar-SA"/>
                    </w:rPr>
                  </w:pPr>
                </w:p>
              </w:tc>
              <w:tc>
                <w:tcPr>
                  <w:tcW w:w="1772" w:type="dxa"/>
                  <w:vAlign w:val="center"/>
                </w:tcPr>
                <w:p w14:paraId="6CE9AFD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非甲烷总烃</w:t>
                  </w:r>
                </w:p>
              </w:tc>
              <w:tc>
                <w:tcPr>
                  <w:tcW w:w="1023" w:type="dxa"/>
                  <w:vAlign w:val="center"/>
                </w:tcPr>
                <w:p w14:paraId="26DC36C4">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41BCF232">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0.92</w:t>
                  </w:r>
                </w:p>
              </w:tc>
              <w:tc>
                <w:tcPr>
                  <w:tcW w:w="1217" w:type="dxa"/>
                  <w:gridSpan w:val="2"/>
                  <w:vAlign w:val="center"/>
                </w:tcPr>
                <w:p w14:paraId="52F7564D">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0.94</w:t>
                  </w:r>
                </w:p>
              </w:tc>
              <w:tc>
                <w:tcPr>
                  <w:tcW w:w="1168" w:type="dxa"/>
                  <w:gridSpan w:val="2"/>
                  <w:vAlign w:val="center"/>
                </w:tcPr>
                <w:p w14:paraId="7EC99DDD">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0.86</w:t>
                  </w:r>
                </w:p>
              </w:tc>
            </w:tr>
            <w:tr w14:paraId="469C3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264" w:type="dxa"/>
                  <w:vMerge w:val="restart"/>
                  <w:vAlign w:val="center"/>
                </w:tcPr>
                <w:p w14:paraId="1D50FB66">
                  <w:pPr>
                    <w:pStyle w:val="26"/>
                    <w:widowControl w:val="0"/>
                    <w:bidi w:val="0"/>
                    <w:spacing w:line="240" w:lineRule="auto"/>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南厂界外上风向G2</w:t>
                  </w:r>
                </w:p>
              </w:tc>
              <w:tc>
                <w:tcPr>
                  <w:tcW w:w="1772" w:type="dxa"/>
                  <w:vAlign w:val="center"/>
                </w:tcPr>
                <w:p w14:paraId="3D32FFC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总悬浮颗粒物</w:t>
                  </w:r>
                </w:p>
              </w:tc>
              <w:tc>
                <w:tcPr>
                  <w:tcW w:w="1023" w:type="dxa"/>
                  <w:vAlign w:val="center"/>
                </w:tcPr>
                <w:p w14:paraId="4CE29EEF">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38931239">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227</w:t>
                  </w:r>
                </w:p>
              </w:tc>
              <w:tc>
                <w:tcPr>
                  <w:tcW w:w="1217" w:type="dxa"/>
                  <w:gridSpan w:val="2"/>
                  <w:vAlign w:val="center"/>
                </w:tcPr>
                <w:p w14:paraId="26F55F61">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238</w:t>
                  </w:r>
                </w:p>
              </w:tc>
              <w:tc>
                <w:tcPr>
                  <w:tcW w:w="1168" w:type="dxa"/>
                  <w:gridSpan w:val="2"/>
                  <w:vAlign w:val="center"/>
                </w:tcPr>
                <w:p w14:paraId="6D99A4C6">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249</w:t>
                  </w:r>
                </w:p>
              </w:tc>
            </w:tr>
            <w:tr w14:paraId="16708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674685D9">
                  <w:pPr>
                    <w:pStyle w:val="26"/>
                    <w:widowControl w:val="0"/>
                    <w:bidi w:val="0"/>
                    <w:spacing w:line="240" w:lineRule="auto"/>
                    <w:ind w:firstLine="0" w:firstLineChars="0"/>
                    <w:jc w:val="center"/>
                    <w:rPr>
                      <w:rFonts w:hint="eastAsia" w:ascii="Times New Roman" w:hAnsi="Times New Roman" w:eastAsia="宋体" w:cs="Times New Roman"/>
                      <w:color w:val="auto"/>
                      <w:sz w:val="21"/>
                      <w:szCs w:val="24"/>
                      <w:lang w:val="en-US" w:eastAsia="zh-CN" w:bidi="ar-SA"/>
                    </w:rPr>
                  </w:pPr>
                </w:p>
              </w:tc>
              <w:tc>
                <w:tcPr>
                  <w:tcW w:w="1772" w:type="dxa"/>
                  <w:vAlign w:val="center"/>
                </w:tcPr>
                <w:p w14:paraId="37EAC141">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非甲烷总烃</w:t>
                  </w:r>
                </w:p>
              </w:tc>
              <w:tc>
                <w:tcPr>
                  <w:tcW w:w="1023" w:type="dxa"/>
                  <w:vAlign w:val="center"/>
                </w:tcPr>
                <w:p w14:paraId="7C3C8415">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21AC3E5F">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1.57</w:t>
                  </w:r>
                </w:p>
              </w:tc>
              <w:tc>
                <w:tcPr>
                  <w:tcW w:w="1217" w:type="dxa"/>
                  <w:gridSpan w:val="2"/>
                  <w:vAlign w:val="center"/>
                </w:tcPr>
                <w:p w14:paraId="243FCA11">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1.70</w:t>
                  </w:r>
                </w:p>
              </w:tc>
              <w:tc>
                <w:tcPr>
                  <w:tcW w:w="1168" w:type="dxa"/>
                  <w:gridSpan w:val="2"/>
                  <w:vAlign w:val="center"/>
                </w:tcPr>
                <w:p w14:paraId="420B9F03">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1.66</w:t>
                  </w:r>
                </w:p>
              </w:tc>
            </w:tr>
            <w:tr w14:paraId="42DD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2264" w:type="dxa"/>
                  <w:vMerge w:val="restart"/>
                  <w:vAlign w:val="center"/>
                </w:tcPr>
                <w:p w14:paraId="163CE4B2">
                  <w:pPr>
                    <w:widowControl w:val="0"/>
                    <w:bidi w:val="0"/>
                    <w:spacing w:line="240" w:lineRule="auto"/>
                    <w:jc w:val="center"/>
                    <w:rPr>
                      <w:rFonts w:hint="eastAsia" w:ascii="Times New Roman" w:hAnsi="Times New Roman" w:eastAsia="宋体" w:cs="Times New Roman"/>
                      <w:color w:val="auto"/>
                      <w:sz w:val="21"/>
                      <w:szCs w:val="24"/>
                      <w:lang w:val="en-US" w:eastAsia="zh-CN" w:bidi="ar-SA"/>
                    </w:rPr>
                  </w:pPr>
                  <w:r>
                    <w:rPr>
                      <w:rFonts w:hint="eastAsia"/>
                      <w:color w:val="auto"/>
                      <w:sz w:val="21"/>
                      <w:szCs w:val="21"/>
                      <w:lang w:val="en-US" w:eastAsia="zh-CN"/>
                    </w:rPr>
                    <w:t>南厂界外上风向G3</w:t>
                  </w:r>
                </w:p>
              </w:tc>
              <w:tc>
                <w:tcPr>
                  <w:tcW w:w="1772" w:type="dxa"/>
                  <w:vAlign w:val="center"/>
                </w:tcPr>
                <w:p w14:paraId="5BA03386">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总悬浮颗粒物</w:t>
                  </w:r>
                </w:p>
              </w:tc>
              <w:tc>
                <w:tcPr>
                  <w:tcW w:w="1023" w:type="dxa"/>
                  <w:vAlign w:val="center"/>
                </w:tcPr>
                <w:p w14:paraId="2F6129D6">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403B383B">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229</w:t>
                  </w:r>
                </w:p>
              </w:tc>
              <w:tc>
                <w:tcPr>
                  <w:tcW w:w="1217" w:type="dxa"/>
                  <w:gridSpan w:val="2"/>
                  <w:vAlign w:val="center"/>
                </w:tcPr>
                <w:p w14:paraId="0EF06E69">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240</w:t>
                  </w:r>
                </w:p>
              </w:tc>
              <w:tc>
                <w:tcPr>
                  <w:tcW w:w="1168" w:type="dxa"/>
                  <w:gridSpan w:val="2"/>
                  <w:vAlign w:val="center"/>
                </w:tcPr>
                <w:p w14:paraId="485CDEC3">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251</w:t>
                  </w:r>
                </w:p>
              </w:tc>
            </w:tr>
            <w:tr w14:paraId="3CC91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64" w:type="dxa"/>
                  <w:vMerge w:val="continue"/>
                  <w:vAlign w:val="center"/>
                </w:tcPr>
                <w:p w14:paraId="7E7844F7">
                  <w:pPr>
                    <w:pStyle w:val="26"/>
                    <w:widowControl w:val="0"/>
                    <w:bidi w:val="0"/>
                    <w:spacing w:line="240" w:lineRule="auto"/>
                    <w:ind w:firstLine="0" w:firstLineChars="0"/>
                    <w:jc w:val="center"/>
                    <w:rPr>
                      <w:rFonts w:hint="eastAsia" w:ascii="Times New Roman" w:hAnsi="Times New Roman" w:eastAsia="宋体" w:cs="Times New Roman"/>
                      <w:color w:val="auto"/>
                      <w:sz w:val="21"/>
                      <w:szCs w:val="24"/>
                      <w:lang w:val="en-US" w:eastAsia="zh-CN" w:bidi="ar-SA"/>
                    </w:rPr>
                  </w:pPr>
                </w:p>
              </w:tc>
              <w:tc>
                <w:tcPr>
                  <w:tcW w:w="1772" w:type="dxa"/>
                  <w:vAlign w:val="center"/>
                </w:tcPr>
                <w:p w14:paraId="4ACA36AC">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非甲烷总烃</w:t>
                  </w:r>
                </w:p>
              </w:tc>
              <w:tc>
                <w:tcPr>
                  <w:tcW w:w="1023" w:type="dxa"/>
                  <w:vAlign w:val="center"/>
                </w:tcPr>
                <w:p w14:paraId="3727F01A">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5BF1B8FB">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1.28</w:t>
                  </w:r>
                </w:p>
              </w:tc>
              <w:tc>
                <w:tcPr>
                  <w:tcW w:w="1217" w:type="dxa"/>
                  <w:gridSpan w:val="2"/>
                  <w:vAlign w:val="center"/>
                </w:tcPr>
                <w:p w14:paraId="2A6FCFE8">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1.26</w:t>
                  </w:r>
                </w:p>
              </w:tc>
              <w:tc>
                <w:tcPr>
                  <w:tcW w:w="1168" w:type="dxa"/>
                  <w:gridSpan w:val="2"/>
                  <w:vAlign w:val="center"/>
                </w:tcPr>
                <w:p w14:paraId="3259F229">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1.19</w:t>
                  </w:r>
                </w:p>
              </w:tc>
            </w:tr>
            <w:tr w14:paraId="72199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264" w:type="dxa"/>
                  <w:vMerge w:val="restart"/>
                  <w:vAlign w:val="center"/>
                </w:tcPr>
                <w:p w14:paraId="11AE582A">
                  <w:pPr>
                    <w:widowControl w:val="0"/>
                    <w:bidi w:val="0"/>
                    <w:spacing w:line="240" w:lineRule="auto"/>
                    <w:jc w:val="center"/>
                    <w:rPr>
                      <w:rFonts w:hint="eastAsia" w:ascii="Times New Roman" w:hAnsi="Times New Roman" w:eastAsia="宋体" w:cs="Times New Roman"/>
                      <w:color w:val="auto"/>
                      <w:sz w:val="21"/>
                      <w:szCs w:val="24"/>
                      <w:lang w:val="en-US" w:eastAsia="zh-CN" w:bidi="ar-SA"/>
                    </w:rPr>
                  </w:pPr>
                  <w:r>
                    <w:rPr>
                      <w:rFonts w:hint="eastAsia"/>
                      <w:color w:val="auto"/>
                      <w:sz w:val="21"/>
                      <w:szCs w:val="21"/>
                      <w:lang w:val="en-US" w:eastAsia="zh-CN"/>
                    </w:rPr>
                    <w:t>南厂界外上风向G4</w:t>
                  </w:r>
                </w:p>
              </w:tc>
              <w:tc>
                <w:tcPr>
                  <w:tcW w:w="1772" w:type="dxa"/>
                  <w:vAlign w:val="center"/>
                </w:tcPr>
                <w:p w14:paraId="1FE59C26">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总悬浮颗粒物</w:t>
                  </w:r>
                </w:p>
              </w:tc>
              <w:tc>
                <w:tcPr>
                  <w:tcW w:w="1023" w:type="dxa"/>
                  <w:vAlign w:val="center"/>
                </w:tcPr>
                <w:p w14:paraId="0ABAFD83">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default" w:ascii="Times New Roman" w:hAnsi="Times New Roman" w:cs="Times New Roman"/>
                      <w:color w:val="auto"/>
                      <w:lang w:val="en-US" w:eastAsia="zh-CN"/>
                    </w:rPr>
                    <w:t>μ</w:t>
                  </w:r>
                  <w:r>
                    <w:rPr>
                      <w:rFonts w:hint="eastAsia"/>
                      <w:color w:val="auto"/>
                      <w:lang w:val="en-US" w:eastAsia="zh-CN"/>
                    </w:rPr>
                    <w:t>g/m</w:t>
                  </w:r>
                  <w:r>
                    <w:rPr>
                      <w:rFonts w:hint="eastAsia"/>
                      <w:color w:val="auto"/>
                      <w:vertAlign w:val="superscript"/>
                      <w:lang w:val="en-US" w:eastAsia="zh-CN"/>
                    </w:rPr>
                    <w:t>3</w:t>
                  </w:r>
                </w:p>
              </w:tc>
              <w:tc>
                <w:tcPr>
                  <w:tcW w:w="1195" w:type="dxa"/>
                  <w:gridSpan w:val="3"/>
                  <w:vAlign w:val="center"/>
                </w:tcPr>
                <w:p w14:paraId="58535571">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＜224</w:t>
                  </w:r>
                </w:p>
              </w:tc>
              <w:tc>
                <w:tcPr>
                  <w:tcW w:w="1217" w:type="dxa"/>
                  <w:gridSpan w:val="2"/>
                  <w:vAlign w:val="center"/>
                </w:tcPr>
                <w:p w14:paraId="17E50323">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olor w:val="auto"/>
                      <w:lang w:val="en-US" w:eastAsia="zh-CN"/>
                    </w:rPr>
                    <w:t>231</w:t>
                  </w:r>
                </w:p>
              </w:tc>
              <w:tc>
                <w:tcPr>
                  <w:tcW w:w="1168" w:type="dxa"/>
                  <w:gridSpan w:val="2"/>
                  <w:vAlign w:val="center"/>
                </w:tcPr>
                <w:p w14:paraId="1011DB27">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251</w:t>
                  </w:r>
                </w:p>
              </w:tc>
            </w:tr>
            <w:tr w14:paraId="5EB2A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264" w:type="dxa"/>
                  <w:vMerge w:val="continue"/>
                  <w:vAlign w:val="center"/>
                </w:tcPr>
                <w:p w14:paraId="302877BF">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p>
              </w:tc>
              <w:tc>
                <w:tcPr>
                  <w:tcW w:w="1772" w:type="dxa"/>
                  <w:vAlign w:val="center"/>
                </w:tcPr>
                <w:p w14:paraId="5FAC32FE">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非甲烷总烃</w:t>
                  </w:r>
                </w:p>
              </w:tc>
              <w:tc>
                <w:tcPr>
                  <w:tcW w:w="1023" w:type="dxa"/>
                  <w:vAlign w:val="center"/>
                </w:tcPr>
                <w:p w14:paraId="2170819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mg/m</w:t>
                  </w:r>
                  <w:r>
                    <w:rPr>
                      <w:rFonts w:hint="eastAsia"/>
                      <w:color w:val="auto"/>
                      <w:vertAlign w:val="superscript"/>
                      <w:lang w:val="en-US" w:eastAsia="zh-CN"/>
                    </w:rPr>
                    <w:t>3</w:t>
                  </w:r>
                </w:p>
              </w:tc>
              <w:tc>
                <w:tcPr>
                  <w:tcW w:w="1195" w:type="dxa"/>
                  <w:gridSpan w:val="3"/>
                  <w:vAlign w:val="center"/>
                </w:tcPr>
                <w:p w14:paraId="1B9526F1">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1.14</w:t>
                  </w:r>
                </w:p>
              </w:tc>
              <w:tc>
                <w:tcPr>
                  <w:tcW w:w="1217" w:type="dxa"/>
                  <w:gridSpan w:val="2"/>
                  <w:vAlign w:val="center"/>
                </w:tcPr>
                <w:p w14:paraId="7137DF9D">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1.20</w:t>
                  </w:r>
                </w:p>
              </w:tc>
              <w:tc>
                <w:tcPr>
                  <w:tcW w:w="1168" w:type="dxa"/>
                  <w:gridSpan w:val="2"/>
                  <w:vAlign w:val="center"/>
                </w:tcPr>
                <w:p w14:paraId="201A00A6">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1.19</w:t>
                  </w:r>
                </w:p>
              </w:tc>
            </w:tr>
            <w:tr w14:paraId="7641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8639" w:type="dxa"/>
                  <w:gridSpan w:val="10"/>
                  <w:vAlign w:val="center"/>
                </w:tcPr>
                <w:p w14:paraId="61998B3D">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检测项目及结果</w:t>
                  </w:r>
                </w:p>
              </w:tc>
            </w:tr>
            <w:tr w14:paraId="1E660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264" w:type="dxa"/>
                  <w:vMerge w:val="restart"/>
                  <w:vAlign w:val="center"/>
                </w:tcPr>
                <w:p w14:paraId="53D6C667">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检测点位</w:t>
                  </w:r>
                </w:p>
              </w:tc>
              <w:tc>
                <w:tcPr>
                  <w:tcW w:w="1772" w:type="dxa"/>
                  <w:vMerge w:val="restart"/>
                  <w:vAlign w:val="center"/>
                </w:tcPr>
                <w:p w14:paraId="3367B638">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检测项目</w:t>
                  </w:r>
                </w:p>
              </w:tc>
              <w:tc>
                <w:tcPr>
                  <w:tcW w:w="1023" w:type="dxa"/>
                  <w:vMerge w:val="restart"/>
                  <w:vAlign w:val="center"/>
                </w:tcPr>
                <w:p w14:paraId="69108671">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单位</w:t>
                  </w:r>
                </w:p>
              </w:tc>
              <w:tc>
                <w:tcPr>
                  <w:tcW w:w="3580" w:type="dxa"/>
                  <w:gridSpan w:val="7"/>
                  <w:vAlign w:val="center"/>
                </w:tcPr>
                <w:p w14:paraId="69585603">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检测结果</w:t>
                  </w:r>
                </w:p>
              </w:tc>
            </w:tr>
            <w:tr w14:paraId="0C6C6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264" w:type="dxa"/>
                  <w:vMerge w:val="continue"/>
                  <w:vAlign w:val="center"/>
                </w:tcPr>
                <w:p w14:paraId="502B70C8">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p>
              </w:tc>
              <w:tc>
                <w:tcPr>
                  <w:tcW w:w="1772" w:type="dxa"/>
                  <w:vMerge w:val="continue"/>
                  <w:vAlign w:val="center"/>
                </w:tcPr>
                <w:p w14:paraId="1D3C712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p>
              </w:tc>
              <w:tc>
                <w:tcPr>
                  <w:tcW w:w="1023" w:type="dxa"/>
                  <w:vMerge w:val="continue"/>
                  <w:vAlign w:val="center"/>
                </w:tcPr>
                <w:p w14:paraId="11DFE67D">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p>
              </w:tc>
              <w:tc>
                <w:tcPr>
                  <w:tcW w:w="880" w:type="dxa"/>
                  <w:vAlign w:val="center"/>
                </w:tcPr>
                <w:p w14:paraId="0BB6909F">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第一次</w:t>
                  </w:r>
                </w:p>
              </w:tc>
              <w:tc>
                <w:tcPr>
                  <w:tcW w:w="906" w:type="dxa"/>
                  <w:gridSpan w:val="3"/>
                  <w:vAlign w:val="center"/>
                </w:tcPr>
                <w:p w14:paraId="6B07AFA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第二次</w:t>
                  </w:r>
                </w:p>
              </w:tc>
              <w:tc>
                <w:tcPr>
                  <w:tcW w:w="875" w:type="dxa"/>
                  <w:gridSpan w:val="2"/>
                  <w:vAlign w:val="center"/>
                </w:tcPr>
                <w:p w14:paraId="2D3C3C19">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第三次</w:t>
                  </w:r>
                </w:p>
              </w:tc>
              <w:tc>
                <w:tcPr>
                  <w:tcW w:w="919" w:type="dxa"/>
                  <w:vAlign w:val="center"/>
                </w:tcPr>
                <w:p w14:paraId="30F3FE13">
                  <w:pPr>
                    <w:pStyle w:val="26"/>
                    <w:widowControl w:val="0"/>
                    <w:bidi w:val="0"/>
                    <w:ind w:firstLine="0" w:firstLineChars="0"/>
                    <w:jc w:val="center"/>
                    <w:rPr>
                      <w:rFonts w:hint="eastAsia"/>
                      <w:color w:val="auto"/>
                      <w:lang w:val="en-US" w:eastAsia="zh-CN"/>
                    </w:rPr>
                  </w:pPr>
                  <w:r>
                    <w:rPr>
                      <w:rFonts w:hint="eastAsia"/>
                      <w:color w:val="auto"/>
                      <w:lang w:val="en-US" w:eastAsia="zh-CN"/>
                    </w:rPr>
                    <w:t>平均值</w:t>
                  </w:r>
                </w:p>
              </w:tc>
            </w:tr>
            <w:tr w14:paraId="59CDB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4" w:type="dxa"/>
                  <w:vAlign w:val="center"/>
                </w:tcPr>
                <w:p w14:paraId="06A594A9">
                  <w:pPr>
                    <w:pStyle w:val="26"/>
                    <w:widowControl w:val="0"/>
                    <w:bidi w:val="0"/>
                    <w:ind w:firstLine="0" w:firstLineChars="0"/>
                    <w:jc w:val="center"/>
                    <w:rPr>
                      <w:rFonts w:hint="eastAsia"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厂房外G5</w:t>
                  </w:r>
                </w:p>
              </w:tc>
              <w:tc>
                <w:tcPr>
                  <w:tcW w:w="1772" w:type="dxa"/>
                  <w:vAlign w:val="center"/>
                </w:tcPr>
                <w:p w14:paraId="5006DF55">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非甲烷总烃</w:t>
                  </w:r>
                </w:p>
              </w:tc>
              <w:tc>
                <w:tcPr>
                  <w:tcW w:w="1023" w:type="dxa"/>
                  <w:vAlign w:val="center"/>
                </w:tcPr>
                <w:p w14:paraId="184EE89E">
                  <w:pPr>
                    <w:pStyle w:val="26"/>
                    <w:widowControl w:val="0"/>
                    <w:bidi w:val="0"/>
                    <w:ind w:firstLine="0" w:firstLineChars="0"/>
                    <w:jc w:val="center"/>
                    <w:rPr>
                      <w:rFonts w:hint="eastAsia" w:ascii="Times New Roman" w:hAnsi="Times New Roman" w:eastAsia="宋体" w:cs="Times New Roman"/>
                      <w:color w:val="auto"/>
                      <w:sz w:val="21"/>
                      <w:szCs w:val="24"/>
                      <w:lang w:val="en-US" w:eastAsia="zh-CN" w:bidi="ar-SA"/>
                    </w:rPr>
                  </w:pPr>
                  <w:r>
                    <w:rPr>
                      <w:rFonts w:hint="eastAsia"/>
                      <w:color w:val="auto"/>
                      <w:lang w:val="en-US" w:eastAsia="zh-CN"/>
                    </w:rPr>
                    <w:t>mg/m</w:t>
                  </w:r>
                  <w:r>
                    <w:rPr>
                      <w:rFonts w:hint="eastAsia"/>
                      <w:color w:val="auto"/>
                      <w:vertAlign w:val="superscript"/>
                      <w:lang w:val="en-US" w:eastAsia="zh-CN"/>
                    </w:rPr>
                    <w:t>3</w:t>
                  </w:r>
                </w:p>
              </w:tc>
              <w:tc>
                <w:tcPr>
                  <w:tcW w:w="880" w:type="dxa"/>
                  <w:vAlign w:val="center"/>
                </w:tcPr>
                <w:p w14:paraId="13C292FD">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2.04</w:t>
                  </w:r>
                </w:p>
              </w:tc>
              <w:tc>
                <w:tcPr>
                  <w:tcW w:w="906" w:type="dxa"/>
                  <w:gridSpan w:val="3"/>
                  <w:vAlign w:val="center"/>
                </w:tcPr>
                <w:p w14:paraId="61685FE9">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2.09</w:t>
                  </w:r>
                </w:p>
              </w:tc>
              <w:tc>
                <w:tcPr>
                  <w:tcW w:w="875" w:type="dxa"/>
                  <w:gridSpan w:val="2"/>
                  <w:vAlign w:val="center"/>
                </w:tcPr>
                <w:p w14:paraId="71820A74">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2.15</w:t>
                  </w:r>
                </w:p>
              </w:tc>
              <w:tc>
                <w:tcPr>
                  <w:tcW w:w="919" w:type="dxa"/>
                  <w:vAlign w:val="center"/>
                </w:tcPr>
                <w:p w14:paraId="0251CE7E">
                  <w:pPr>
                    <w:pStyle w:val="26"/>
                    <w:widowControl w:val="0"/>
                    <w:bidi w:val="0"/>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2.09</w:t>
                  </w:r>
                </w:p>
              </w:tc>
            </w:tr>
          </w:tbl>
          <w:p w14:paraId="1C77D2C0">
            <w:pPr>
              <w:ind w:firstLine="480" w:firstLineChars="200"/>
              <w:rPr>
                <w:rFonts w:hint="eastAsia" w:eastAsia="宋体" w:cs="Times New Roman"/>
                <w:b w:val="0"/>
                <w:bCs w:val="0"/>
                <w:color w:val="auto"/>
                <w:sz w:val="28"/>
                <w:szCs w:val="28"/>
                <w:lang w:val="en-US" w:eastAsia="zh-CN"/>
              </w:rPr>
            </w:pPr>
            <w:r>
              <w:rPr>
                <w:rFonts w:hint="eastAsia" w:ascii="宋体" w:hAnsi="宋体" w:eastAsia="宋体" w:cs="宋体"/>
                <w:color w:val="auto"/>
                <w:sz w:val="24"/>
                <w:lang w:val="en-US" w:eastAsia="zh-CN"/>
              </w:rPr>
              <w:t>根据监测结果表明，验收监测期间，</w:t>
            </w:r>
            <w:r>
              <w:rPr>
                <w:color w:val="auto"/>
                <w:sz w:val="24"/>
              </w:rPr>
              <w:t>厂区内</w:t>
            </w:r>
            <w:r>
              <w:rPr>
                <w:rFonts w:hint="eastAsia"/>
                <w:color w:val="auto"/>
                <w:sz w:val="24"/>
                <w:lang w:eastAsia="zh-CN"/>
              </w:rPr>
              <w:t>非甲烷总烃</w:t>
            </w:r>
            <w:r>
              <w:rPr>
                <w:color w:val="auto"/>
                <w:sz w:val="24"/>
              </w:rPr>
              <w:t>无组织排放</w:t>
            </w:r>
            <w:r>
              <w:rPr>
                <w:rFonts w:hint="eastAsia"/>
                <w:color w:val="auto"/>
                <w:sz w:val="24"/>
                <w:lang w:eastAsia="zh-CN"/>
              </w:rPr>
              <w:t>满足安徽省《固定源挥发性有机物综合排放标准》（</w:t>
            </w:r>
            <w:r>
              <w:rPr>
                <w:rFonts w:hint="eastAsia"/>
                <w:color w:val="auto"/>
                <w:sz w:val="24"/>
                <w:lang w:val="en-US" w:eastAsia="zh-CN"/>
              </w:rPr>
              <w:t>DB34/4812.6-2024</w:t>
            </w:r>
            <w:r>
              <w:rPr>
                <w:rFonts w:hint="eastAsia"/>
                <w:color w:val="auto"/>
                <w:sz w:val="24"/>
                <w:lang w:eastAsia="zh-CN"/>
              </w:rPr>
              <w:t>）中浓度</w:t>
            </w:r>
            <w:r>
              <w:rPr>
                <w:rFonts w:hint="eastAsia"/>
                <w:color w:val="auto"/>
                <w:sz w:val="24"/>
                <w:lang w:val="en-US" w:eastAsia="zh-CN"/>
              </w:rPr>
              <w:t>限值要求</w:t>
            </w:r>
            <w:r>
              <w:rPr>
                <w:rFonts w:hint="eastAsia"/>
                <w:color w:val="auto"/>
                <w:sz w:val="24"/>
                <w:lang w:eastAsia="zh-CN"/>
              </w:rPr>
              <w:t>；厂界非甲烷总烃及颗粒物无组织排放满足上海市</w:t>
            </w:r>
            <w:r>
              <w:rPr>
                <w:rFonts w:hint="eastAsia"/>
                <w:color w:val="auto"/>
                <w:sz w:val="24"/>
              </w:rPr>
              <w:t>《大气污染物综合排放标准》（DB31/933-2015）</w:t>
            </w:r>
            <w:r>
              <w:rPr>
                <w:rFonts w:hint="eastAsia"/>
                <w:color w:val="auto"/>
                <w:sz w:val="24"/>
                <w:lang w:val="en-US" w:eastAsia="zh-CN"/>
              </w:rPr>
              <w:t>中无组织废气浓度限值要求。</w:t>
            </w:r>
          </w:p>
          <w:p w14:paraId="209A14A8">
            <w:pPr>
              <w:bidi w:val="0"/>
              <w:rPr>
                <w:rFonts w:hint="eastAsia" w:cs="Times New Roman" w:eastAsiaTheme="minorEastAsia"/>
                <w:b/>
                <w:bCs/>
                <w:color w:val="auto"/>
                <w:sz w:val="24"/>
                <w:szCs w:val="24"/>
                <w:lang w:val="en-US" w:eastAsia="zh-CN"/>
              </w:rPr>
            </w:pPr>
            <w:r>
              <w:rPr>
                <w:rFonts w:hint="eastAsia" w:cs="Times New Roman" w:eastAsiaTheme="minorEastAsia"/>
                <w:b/>
                <w:bCs/>
                <w:color w:val="auto"/>
                <w:sz w:val="24"/>
                <w:szCs w:val="24"/>
                <w:lang w:val="en-US" w:eastAsia="zh-CN"/>
              </w:rPr>
              <w:t xml:space="preserve">3、噪声 </w:t>
            </w:r>
          </w:p>
          <w:p w14:paraId="4247CF10">
            <w:pPr>
              <w:bidi w:val="0"/>
              <w:spacing w:line="240" w:lineRule="auto"/>
              <w:jc w:val="center"/>
              <w:rPr>
                <w:rFonts w:hint="eastAsia"/>
                <w:b/>
                <w:bCs/>
                <w:color w:val="auto"/>
                <w:lang w:val="en-US" w:eastAsia="zh-CN"/>
              </w:rPr>
            </w:pPr>
            <w:r>
              <w:rPr>
                <w:rFonts w:hint="eastAsia"/>
                <w:b/>
                <w:bCs/>
                <w:color w:val="auto"/>
                <w:lang w:val="en-US" w:eastAsia="zh-CN"/>
              </w:rPr>
              <w:t>表7-4  噪声检测结果</w:t>
            </w:r>
          </w:p>
          <w:tbl>
            <w:tblPr>
              <w:tblStyle w:val="20"/>
              <w:tblW w:w="8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1922"/>
              <w:gridCol w:w="1002"/>
              <w:gridCol w:w="348"/>
              <w:gridCol w:w="1337"/>
              <w:gridCol w:w="1351"/>
              <w:gridCol w:w="1307"/>
            </w:tblGrid>
            <w:tr w14:paraId="17E86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4279" w:type="dxa"/>
                  <w:gridSpan w:val="3"/>
                  <w:vAlign w:val="center"/>
                </w:tcPr>
                <w:p w14:paraId="6C0E58EE">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噪声类别：工业企业厂界环境噪声</w:t>
                  </w:r>
                </w:p>
              </w:tc>
              <w:tc>
                <w:tcPr>
                  <w:tcW w:w="4343" w:type="dxa"/>
                  <w:gridSpan w:val="4"/>
                  <w:vAlign w:val="center"/>
                </w:tcPr>
                <w:p w14:paraId="6B6322D2">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检测日期：2024.06.27~2024.06.28</w:t>
                  </w:r>
                </w:p>
              </w:tc>
            </w:tr>
            <w:tr w14:paraId="1EC12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355" w:type="dxa"/>
                  <w:vAlign w:val="center"/>
                </w:tcPr>
                <w:p w14:paraId="26A2DE62">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环境条件</w:t>
                  </w:r>
                </w:p>
              </w:tc>
              <w:tc>
                <w:tcPr>
                  <w:tcW w:w="7267" w:type="dxa"/>
                  <w:gridSpan w:val="6"/>
                  <w:vAlign w:val="center"/>
                </w:tcPr>
                <w:p w14:paraId="0FC64D5F">
                  <w:pPr>
                    <w:pStyle w:val="35"/>
                    <w:widowControl w:val="0"/>
                    <w:bidi w:val="0"/>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2024.06.27：昼间：多云、风速：2.5~2.6m/s；夜间：多云、风速：2.5~2.6m/s</w:t>
                  </w:r>
                </w:p>
                <w:p w14:paraId="1C3E4CE4">
                  <w:pPr>
                    <w:pStyle w:val="35"/>
                    <w:widowControl w:val="0"/>
                    <w:bidi w:val="0"/>
                    <w:spacing w:line="240" w:lineRule="auto"/>
                    <w:jc w:val="center"/>
                    <w:rPr>
                      <w:rFonts w:hint="default"/>
                      <w:color w:val="auto"/>
                      <w:lang w:val="en-US" w:eastAsia="zh-CN"/>
                    </w:rPr>
                  </w:pPr>
                  <w:r>
                    <w:rPr>
                      <w:rFonts w:hint="eastAsia" w:ascii="Times New Roman" w:hAnsi="Times New Roman" w:cs="Times New Roman"/>
                      <w:color w:val="auto"/>
                      <w:sz w:val="21"/>
                      <w:szCs w:val="21"/>
                      <w:lang w:val="en-US" w:eastAsia="zh-CN"/>
                    </w:rPr>
                    <w:t>2024.06.28：昼间：阴、风速：2.5~2.6m/s；夜间：阴、风速：2.5~2.6m/s</w:t>
                  </w:r>
                </w:p>
              </w:tc>
            </w:tr>
            <w:tr w14:paraId="35F31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8622" w:type="dxa"/>
                  <w:gridSpan w:val="7"/>
                  <w:vAlign w:val="center"/>
                </w:tcPr>
                <w:p w14:paraId="3A52B3C1">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检测项目及结果</w:t>
                  </w:r>
                </w:p>
              </w:tc>
            </w:tr>
            <w:tr w14:paraId="1CC8B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355" w:type="dxa"/>
                  <w:vMerge w:val="restart"/>
                  <w:vAlign w:val="center"/>
                </w:tcPr>
                <w:p w14:paraId="0F73A9B2">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检测时间</w:t>
                  </w:r>
                </w:p>
              </w:tc>
              <w:tc>
                <w:tcPr>
                  <w:tcW w:w="1922" w:type="dxa"/>
                  <w:vMerge w:val="restart"/>
                  <w:vAlign w:val="center"/>
                </w:tcPr>
                <w:p w14:paraId="01A25D1E">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监测点位</w:t>
                  </w:r>
                </w:p>
              </w:tc>
              <w:tc>
                <w:tcPr>
                  <w:tcW w:w="2687" w:type="dxa"/>
                  <w:gridSpan w:val="3"/>
                  <w:vAlign w:val="center"/>
                </w:tcPr>
                <w:p w14:paraId="2CBFF3F4">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昼间检测结果（dB(A)）</w:t>
                  </w:r>
                </w:p>
              </w:tc>
              <w:tc>
                <w:tcPr>
                  <w:tcW w:w="2658" w:type="dxa"/>
                  <w:gridSpan w:val="2"/>
                  <w:vAlign w:val="center"/>
                </w:tcPr>
                <w:p w14:paraId="33023036">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夜间检测结果（dB(A)）</w:t>
                  </w:r>
                </w:p>
              </w:tc>
            </w:tr>
            <w:tr w14:paraId="3667C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355" w:type="dxa"/>
                  <w:vMerge w:val="continue"/>
                  <w:vAlign w:val="center"/>
                </w:tcPr>
                <w:p w14:paraId="58DD6F8A">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922" w:type="dxa"/>
                  <w:vMerge w:val="continue"/>
                  <w:vAlign w:val="center"/>
                </w:tcPr>
                <w:p w14:paraId="6FD59EEA">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350" w:type="dxa"/>
                  <w:gridSpan w:val="2"/>
                  <w:vAlign w:val="center"/>
                </w:tcPr>
                <w:p w14:paraId="4AB44153">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时间</w:t>
                  </w:r>
                </w:p>
              </w:tc>
              <w:tc>
                <w:tcPr>
                  <w:tcW w:w="1337" w:type="dxa"/>
                  <w:vAlign w:val="center"/>
                </w:tcPr>
                <w:p w14:paraId="2BA98C98">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噪声值Leq</w:t>
                  </w:r>
                </w:p>
              </w:tc>
              <w:tc>
                <w:tcPr>
                  <w:tcW w:w="1351" w:type="dxa"/>
                  <w:vAlign w:val="center"/>
                </w:tcPr>
                <w:p w14:paraId="7E3922FB">
                  <w:pPr>
                    <w:pStyle w:val="35"/>
                    <w:widowControl w:val="0"/>
                    <w:bidi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时间</w:t>
                  </w:r>
                </w:p>
              </w:tc>
              <w:tc>
                <w:tcPr>
                  <w:tcW w:w="1307" w:type="dxa"/>
                  <w:vAlign w:val="center"/>
                </w:tcPr>
                <w:p w14:paraId="0CC576FF">
                  <w:pPr>
                    <w:pStyle w:val="35"/>
                    <w:widowControl w:val="0"/>
                    <w:bidi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噪声值Leq</w:t>
                  </w:r>
                </w:p>
              </w:tc>
            </w:tr>
            <w:tr w14:paraId="10304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355" w:type="dxa"/>
                  <w:vMerge w:val="restart"/>
                  <w:vAlign w:val="center"/>
                </w:tcPr>
                <w:p w14:paraId="6BCCAEA7">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2024.06.27</w:t>
                  </w:r>
                </w:p>
              </w:tc>
              <w:tc>
                <w:tcPr>
                  <w:tcW w:w="1922" w:type="dxa"/>
                  <w:vAlign w:val="center"/>
                </w:tcPr>
                <w:p w14:paraId="788B05E8">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1#（北厂界外1m）</w:t>
                  </w:r>
                </w:p>
              </w:tc>
              <w:tc>
                <w:tcPr>
                  <w:tcW w:w="1350" w:type="dxa"/>
                  <w:gridSpan w:val="2"/>
                  <w:vAlign w:val="center"/>
                </w:tcPr>
                <w:p w14:paraId="38E66999">
                  <w:pPr>
                    <w:pStyle w:val="35"/>
                    <w:widowControl w:val="0"/>
                    <w:bidi w:val="0"/>
                    <w:spacing w:line="240" w:lineRule="auto"/>
                    <w:jc w:val="center"/>
                    <w:rPr>
                      <w:rFonts w:hint="default"/>
                      <w:color w:val="auto"/>
                      <w:lang w:val="en-US" w:eastAsia="zh-CN"/>
                    </w:rPr>
                  </w:pPr>
                  <w:r>
                    <w:rPr>
                      <w:rFonts w:hint="eastAsia" w:ascii="Times New Roman" w:hAnsi="Times New Roman" w:cs="Times New Roman"/>
                      <w:color w:val="auto"/>
                      <w:sz w:val="21"/>
                      <w:szCs w:val="21"/>
                      <w:lang w:val="en-US" w:eastAsia="zh-CN"/>
                    </w:rPr>
                    <w:t>14:06~14:16</w:t>
                  </w:r>
                </w:p>
              </w:tc>
              <w:tc>
                <w:tcPr>
                  <w:tcW w:w="1337" w:type="dxa"/>
                  <w:vAlign w:val="center"/>
                </w:tcPr>
                <w:p w14:paraId="0D6587FE">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55.9</w:t>
                  </w:r>
                </w:p>
              </w:tc>
              <w:tc>
                <w:tcPr>
                  <w:tcW w:w="1351" w:type="dxa"/>
                  <w:vAlign w:val="center"/>
                </w:tcPr>
                <w:p w14:paraId="462782D0">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22:16~22:26</w:t>
                  </w:r>
                </w:p>
              </w:tc>
              <w:tc>
                <w:tcPr>
                  <w:tcW w:w="1307" w:type="dxa"/>
                  <w:vAlign w:val="center"/>
                </w:tcPr>
                <w:p w14:paraId="417C71D5">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45.2</w:t>
                  </w:r>
                </w:p>
              </w:tc>
            </w:tr>
            <w:tr w14:paraId="4236E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355" w:type="dxa"/>
                  <w:vMerge w:val="continue"/>
                  <w:vAlign w:val="center"/>
                </w:tcPr>
                <w:p w14:paraId="1138ACDA">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922" w:type="dxa"/>
                  <w:vAlign w:val="center"/>
                </w:tcPr>
                <w:p w14:paraId="4B7B5037">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2#（西厂界外1m）</w:t>
                  </w:r>
                </w:p>
              </w:tc>
              <w:tc>
                <w:tcPr>
                  <w:tcW w:w="1350" w:type="dxa"/>
                  <w:gridSpan w:val="2"/>
                  <w:vAlign w:val="center"/>
                </w:tcPr>
                <w:p w14:paraId="5D4EB561">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14:19~14:29</w:t>
                  </w:r>
                </w:p>
              </w:tc>
              <w:tc>
                <w:tcPr>
                  <w:tcW w:w="1337" w:type="dxa"/>
                  <w:vAlign w:val="center"/>
                </w:tcPr>
                <w:p w14:paraId="3CF36FC0">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56.6</w:t>
                  </w:r>
                </w:p>
              </w:tc>
              <w:tc>
                <w:tcPr>
                  <w:tcW w:w="1351" w:type="dxa"/>
                  <w:vAlign w:val="center"/>
                </w:tcPr>
                <w:p w14:paraId="2B47AA42">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22:29~22:39</w:t>
                  </w:r>
                </w:p>
              </w:tc>
              <w:tc>
                <w:tcPr>
                  <w:tcW w:w="1307" w:type="dxa"/>
                  <w:vAlign w:val="center"/>
                </w:tcPr>
                <w:p w14:paraId="7F382261">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45.1</w:t>
                  </w:r>
                </w:p>
              </w:tc>
            </w:tr>
            <w:tr w14:paraId="32945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355" w:type="dxa"/>
                  <w:vMerge w:val="continue"/>
                  <w:vAlign w:val="center"/>
                </w:tcPr>
                <w:p w14:paraId="44ECD3EE">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922" w:type="dxa"/>
                  <w:vAlign w:val="center"/>
                </w:tcPr>
                <w:p w14:paraId="0706870B">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3#（南厂界外1m）</w:t>
                  </w:r>
                </w:p>
              </w:tc>
              <w:tc>
                <w:tcPr>
                  <w:tcW w:w="1350" w:type="dxa"/>
                  <w:gridSpan w:val="2"/>
                  <w:vAlign w:val="center"/>
                </w:tcPr>
                <w:p w14:paraId="50B5B586">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14:34~14:44</w:t>
                  </w:r>
                </w:p>
              </w:tc>
              <w:tc>
                <w:tcPr>
                  <w:tcW w:w="1337" w:type="dxa"/>
                  <w:vAlign w:val="center"/>
                </w:tcPr>
                <w:p w14:paraId="19BF8639">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55.9</w:t>
                  </w:r>
                </w:p>
              </w:tc>
              <w:tc>
                <w:tcPr>
                  <w:tcW w:w="1351" w:type="dxa"/>
                  <w:vAlign w:val="center"/>
                </w:tcPr>
                <w:p w14:paraId="437B5BCF">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22:43~22:53</w:t>
                  </w:r>
                </w:p>
              </w:tc>
              <w:tc>
                <w:tcPr>
                  <w:tcW w:w="1307" w:type="dxa"/>
                  <w:vAlign w:val="center"/>
                </w:tcPr>
                <w:p w14:paraId="08A7F5E6">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56.4</w:t>
                  </w:r>
                </w:p>
              </w:tc>
            </w:tr>
            <w:tr w14:paraId="47156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55" w:type="dxa"/>
                  <w:vMerge w:val="continue"/>
                  <w:vAlign w:val="center"/>
                </w:tcPr>
                <w:p w14:paraId="700BF2A9">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922" w:type="dxa"/>
                  <w:vAlign w:val="center"/>
                </w:tcPr>
                <w:p w14:paraId="29480197">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4#（东厂界外1m）</w:t>
                  </w:r>
                </w:p>
              </w:tc>
              <w:tc>
                <w:tcPr>
                  <w:tcW w:w="1350" w:type="dxa"/>
                  <w:gridSpan w:val="2"/>
                  <w:vAlign w:val="center"/>
                </w:tcPr>
                <w:p w14:paraId="4EC0B32C">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14:47~14:57</w:t>
                  </w:r>
                </w:p>
              </w:tc>
              <w:tc>
                <w:tcPr>
                  <w:tcW w:w="1337" w:type="dxa"/>
                  <w:vAlign w:val="center"/>
                </w:tcPr>
                <w:p w14:paraId="5F6D11C2">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56.5</w:t>
                  </w:r>
                </w:p>
              </w:tc>
              <w:tc>
                <w:tcPr>
                  <w:tcW w:w="1351" w:type="dxa"/>
                  <w:vAlign w:val="center"/>
                </w:tcPr>
                <w:p w14:paraId="132520D1">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22:57~23:07</w:t>
                  </w:r>
                </w:p>
              </w:tc>
              <w:tc>
                <w:tcPr>
                  <w:tcW w:w="1307" w:type="dxa"/>
                  <w:vAlign w:val="center"/>
                </w:tcPr>
                <w:p w14:paraId="350C0955">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44.9</w:t>
                  </w:r>
                </w:p>
              </w:tc>
            </w:tr>
            <w:tr w14:paraId="5856F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355" w:type="dxa"/>
                  <w:vMerge w:val="restart"/>
                  <w:vAlign w:val="center"/>
                </w:tcPr>
                <w:p w14:paraId="7A0030D2">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2024.06.28</w:t>
                  </w:r>
                </w:p>
              </w:tc>
              <w:tc>
                <w:tcPr>
                  <w:tcW w:w="1922" w:type="dxa"/>
                  <w:vAlign w:val="center"/>
                </w:tcPr>
                <w:p w14:paraId="5377C9C1">
                  <w:pPr>
                    <w:pStyle w:val="35"/>
                    <w:widowControl w:val="0"/>
                    <w:bidi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1#（北厂界外1m）</w:t>
                  </w:r>
                </w:p>
              </w:tc>
              <w:tc>
                <w:tcPr>
                  <w:tcW w:w="1350" w:type="dxa"/>
                  <w:gridSpan w:val="2"/>
                  <w:vAlign w:val="center"/>
                </w:tcPr>
                <w:p w14:paraId="48B3760A">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13:23~13:33</w:t>
                  </w:r>
                </w:p>
              </w:tc>
              <w:tc>
                <w:tcPr>
                  <w:tcW w:w="1337" w:type="dxa"/>
                  <w:vAlign w:val="center"/>
                </w:tcPr>
                <w:p w14:paraId="12AB730A">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53.2</w:t>
                  </w:r>
                </w:p>
              </w:tc>
              <w:tc>
                <w:tcPr>
                  <w:tcW w:w="1351" w:type="dxa"/>
                  <w:vAlign w:val="center"/>
                </w:tcPr>
                <w:p w14:paraId="4D9F13C6">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22:05~22:15</w:t>
                  </w:r>
                </w:p>
              </w:tc>
              <w:tc>
                <w:tcPr>
                  <w:tcW w:w="1307" w:type="dxa"/>
                  <w:vAlign w:val="center"/>
                </w:tcPr>
                <w:p w14:paraId="01C82603">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48.5</w:t>
                  </w:r>
                </w:p>
              </w:tc>
            </w:tr>
            <w:tr w14:paraId="3A16B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55" w:type="dxa"/>
                  <w:vMerge w:val="continue"/>
                  <w:vAlign w:val="center"/>
                </w:tcPr>
                <w:p w14:paraId="2A1C0156">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922" w:type="dxa"/>
                  <w:vAlign w:val="center"/>
                </w:tcPr>
                <w:p w14:paraId="16441E80">
                  <w:pPr>
                    <w:pStyle w:val="35"/>
                    <w:widowControl w:val="0"/>
                    <w:bidi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2#（西厂界外1m）</w:t>
                  </w:r>
                </w:p>
              </w:tc>
              <w:tc>
                <w:tcPr>
                  <w:tcW w:w="1350" w:type="dxa"/>
                  <w:gridSpan w:val="2"/>
                  <w:vAlign w:val="center"/>
                </w:tcPr>
                <w:p w14:paraId="631B0393">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13:37~13:47</w:t>
                  </w:r>
                </w:p>
              </w:tc>
              <w:tc>
                <w:tcPr>
                  <w:tcW w:w="1337" w:type="dxa"/>
                  <w:vAlign w:val="center"/>
                </w:tcPr>
                <w:p w14:paraId="6D5ECD6E">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58.5</w:t>
                  </w:r>
                </w:p>
              </w:tc>
              <w:tc>
                <w:tcPr>
                  <w:tcW w:w="1351" w:type="dxa"/>
                  <w:vAlign w:val="center"/>
                </w:tcPr>
                <w:p w14:paraId="0E7E8BB7">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22:18~22:28</w:t>
                  </w:r>
                </w:p>
              </w:tc>
              <w:tc>
                <w:tcPr>
                  <w:tcW w:w="1307" w:type="dxa"/>
                  <w:vAlign w:val="center"/>
                </w:tcPr>
                <w:p w14:paraId="364F7B2D">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49.2</w:t>
                  </w:r>
                </w:p>
              </w:tc>
            </w:tr>
            <w:tr w14:paraId="7DE46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55" w:type="dxa"/>
                  <w:vMerge w:val="continue"/>
                  <w:vAlign w:val="center"/>
                </w:tcPr>
                <w:p w14:paraId="5FDACC13">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922" w:type="dxa"/>
                  <w:vAlign w:val="center"/>
                </w:tcPr>
                <w:p w14:paraId="7AA5B400">
                  <w:pPr>
                    <w:pStyle w:val="35"/>
                    <w:widowControl w:val="0"/>
                    <w:bidi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3#（南厂界外1m）</w:t>
                  </w:r>
                </w:p>
              </w:tc>
              <w:tc>
                <w:tcPr>
                  <w:tcW w:w="1350" w:type="dxa"/>
                  <w:gridSpan w:val="2"/>
                  <w:vAlign w:val="center"/>
                </w:tcPr>
                <w:p w14:paraId="1C572C0F">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13:50~14:00</w:t>
                  </w:r>
                </w:p>
              </w:tc>
              <w:tc>
                <w:tcPr>
                  <w:tcW w:w="1337" w:type="dxa"/>
                  <w:vAlign w:val="center"/>
                </w:tcPr>
                <w:p w14:paraId="4328EB24">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58.8</w:t>
                  </w:r>
                </w:p>
              </w:tc>
              <w:tc>
                <w:tcPr>
                  <w:tcW w:w="1351" w:type="dxa"/>
                  <w:vAlign w:val="center"/>
                </w:tcPr>
                <w:p w14:paraId="2C3269C2">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22:32~22:42</w:t>
                  </w:r>
                </w:p>
              </w:tc>
              <w:tc>
                <w:tcPr>
                  <w:tcW w:w="1307" w:type="dxa"/>
                  <w:vAlign w:val="center"/>
                </w:tcPr>
                <w:p w14:paraId="53C33591">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46.1</w:t>
                  </w:r>
                </w:p>
              </w:tc>
            </w:tr>
            <w:tr w14:paraId="3E2F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355" w:type="dxa"/>
                  <w:vMerge w:val="continue"/>
                  <w:vAlign w:val="center"/>
                </w:tcPr>
                <w:p w14:paraId="05D59B9A">
                  <w:pPr>
                    <w:pStyle w:val="35"/>
                    <w:widowControl w:val="0"/>
                    <w:bidi w:val="0"/>
                    <w:spacing w:line="240" w:lineRule="auto"/>
                    <w:jc w:val="center"/>
                    <w:rPr>
                      <w:rFonts w:hint="default" w:ascii="Times New Roman" w:hAnsi="Times New Roman" w:cs="Times New Roman"/>
                      <w:color w:val="auto"/>
                      <w:sz w:val="21"/>
                      <w:szCs w:val="21"/>
                      <w:lang w:val="en-US" w:eastAsia="zh-CN"/>
                    </w:rPr>
                  </w:pPr>
                </w:p>
              </w:tc>
              <w:tc>
                <w:tcPr>
                  <w:tcW w:w="1922" w:type="dxa"/>
                  <w:vAlign w:val="center"/>
                </w:tcPr>
                <w:p w14:paraId="213C6B01">
                  <w:pPr>
                    <w:pStyle w:val="35"/>
                    <w:widowControl w:val="0"/>
                    <w:bidi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4#（东厂界外1m）</w:t>
                  </w:r>
                </w:p>
              </w:tc>
              <w:tc>
                <w:tcPr>
                  <w:tcW w:w="1350" w:type="dxa"/>
                  <w:gridSpan w:val="2"/>
                  <w:vAlign w:val="center"/>
                </w:tcPr>
                <w:p w14:paraId="1E615425">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14:04~14:14</w:t>
                  </w:r>
                </w:p>
              </w:tc>
              <w:tc>
                <w:tcPr>
                  <w:tcW w:w="1337" w:type="dxa"/>
                  <w:vAlign w:val="center"/>
                </w:tcPr>
                <w:p w14:paraId="18B371AE">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56.3</w:t>
                  </w:r>
                </w:p>
              </w:tc>
              <w:tc>
                <w:tcPr>
                  <w:tcW w:w="1351" w:type="dxa"/>
                  <w:vAlign w:val="center"/>
                </w:tcPr>
                <w:p w14:paraId="1B07C07B">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22:46~22:56</w:t>
                  </w:r>
                </w:p>
              </w:tc>
              <w:tc>
                <w:tcPr>
                  <w:tcW w:w="1307" w:type="dxa"/>
                  <w:vAlign w:val="center"/>
                </w:tcPr>
                <w:p w14:paraId="6C4D56F8">
                  <w:pPr>
                    <w:pStyle w:val="35"/>
                    <w:widowControl w:val="0"/>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46.0</w:t>
                  </w:r>
                </w:p>
              </w:tc>
            </w:tr>
          </w:tbl>
          <w:p w14:paraId="711B23F8">
            <w:pPr>
              <w:keepNext w:val="0"/>
              <w:keepLines w:val="0"/>
              <w:pageBreakBefore w:val="0"/>
              <w:widowControl/>
              <w:kinsoku/>
              <w:wordWrap/>
              <w:overflowPunct/>
              <w:topLinePunct/>
              <w:autoSpaceDE/>
              <w:autoSpaceDN/>
              <w:bidi w:val="0"/>
              <w:adjustRightInd w:val="0"/>
              <w:snapToGrid w:val="0"/>
              <w:ind w:firstLine="480" w:firstLineChars="200"/>
              <w:textAlignment w:val="auto"/>
              <w:rPr>
                <w:rFonts w:hint="eastAsia" w:cs="Times New Roman" w:eastAsiaTheme="minorEastAsia"/>
                <w:b/>
                <w:bCs/>
                <w:color w:val="auto"/>
                <w:sz w:val="28"/>
                <w:szCs w:val="28"/>
                <w:lang w:val="en-US" w:eastAsia="zh-CN"/>
              </w:rPr>
            </w:pPr>
            <w:r>
              <w:rPr>
                <w:rFonts w:hint="default" w:ascii="Times New Roman" w:hAnsi="Times New Roman" w:eastAsia="宋体" w:cs="Times New Roman"/>
                <w:bCs/>
                <w:color w:val="auto"/>
              </w:rPr>
              <w:t>根据监测结果表明</w:t>
            </w:r>
            <w:r>
              <w:rPr>
                <w:rFonts w:hint="default" w:ascii="Times New Roman" w:hAnsi="Times New Roman" w:eastAsia="宋体" w:cs="Times New Roman"/>
                <w:color w:val="auto"/>
              </w:rPr>
              <w:t>，厂界噪声均符合《工业企业厂界环境噪声排放标准》（GB</w:t>
            </w:r>
            <w:r>
              <w:rPr>
                <w:rFonts w:hint="eastAsia" w:cs="Times New Roman"/>
                <w:color w:val="auto"/>
                <w:lang w:val="en-US" w:eastAsia="zh-CN"/>
              </w:rPr>
              <w:t xml:space="preserve"> </w:t>
            </w:r>
            <w:r>
              <w:rPr>
                <w:rFonts w:hint="default" w:ascii="Times New Roman" w:hAnsi="Times New Roman" w:eastAsia="宋体" w:cs="Times New Roman"/>
                <w:color w:val="auto"/>
              </w:rPr>
              <w:t>12348-2008）</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类区标准限值要求。</w:t>
            </w:r>
          </w:p>
          <w:p w14:paraId="77CFE82D">
            <w:pPr>
              <w:numPr>
                <w:ilvl w:val="0"/>
                <w:numId w:val="2"/>
              </w:numPr>
              <w:spacing w:line="360" w:lineRule="auto"/>
              <w:jc w:val="left"/>
              <w:rPr>
                <w:rFonts w:hint="eastAsia"/>
                <w:b/>
                <w:bCs/>
                <w:color w:val="auto"/>
                <w:lang w:val="en-US" w:eastAsia="zh-CN"/>
              </w:rPr>
            </w:pPr>
            <w:r>
              <w:rPr>
                <w:rFonts w:hint="eastAsia"/>
                <w:b/>
                <w:bCs/>
                <w:color w:val="auto"/>
                <w:lang w:val="en-US" w:eastAsia="zh-CN"/>
              </w:rPr>
              <w:t>总量控制</w:t>
            </w:r>
          </w:p>
          <w:p w14:paraId="1E51D73D">
            <w:pPr>
              <w:numPr>
                <w:ilvl w:val="0"/>
                <w:numId w:val="0"/>
              </w:numPr>
              <w:spacing w:line="360" w:lineRule="auto"/>
              <w:jc w:val="center"/>
              <w:rPr>
                <w:rFonts w:hint="eastAsia"/>
                <w:b/>
                <w:bCs/>
                <w:color w:val="auto"/>
                <w:lang w:val="en-US" w:eastAsia="zh-CN"/>
              </w:rPr>
            </w:pPr>
            <w:r>
              <w:rPr>
                <w:rFonts w:hint="eastAsia"/>
                <w:b/>
                <w:bCs/>
                <w:color w:val="auto"/>
                <w:lang w:val="en-US" w:eastAsia="zh-CN"/>
              </w:rPr>
              <w:t>表7-5 总量控制分析结果表</w:t>
            </w:r>
          </w:p>
          <w:tbl>
            <w:tblPr>
              <w:tblStyle w:val="20"/>
              <w:tblW w:w="8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1117"/>
              <w:gridCol w:w="1516"/>
              <w:gridCol w:w="1317"/>
              <w:gridCol w:w="1100"/>
              <w:gridCol w:w="1183"/>
              <w:gridCol w:w="1091"/>
            </w:tblGrid>
            <w:tr w14:paraId="2DB78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93" w:type="dxa"/>
                  <w:vAlign w:val="center"/>
                </w:tcPr>
                <w:p w14:paraId="6FD900B4">
                  <w:pPr>
                    <w:pStyle w:val="26"/>
                    <w:widowControl w:val="0"/>
                    <w:bidi w:val="0"/>
                    <w:jc w:val="center"/>
                    <w:rPr>
                      <w:rFonts w:hint="default"/>
                      <w:b/>
                      <w:bCs/>
                      <w:lang w:val="en-US" w:eastAsia="zh-CN"/>
                    </w:rPr>
                  </w:pPr>
                  <w:r>
                    <w:rPr>
                      <w:rFonts w:hint="eastAsia"/>
                      <w:b/>
                      <w:bCs/>
                      <w:lang w:val="en-US" w:eastAsia="zh-CN"/>
                    </w:rPr>
                    <w:t>污染物</w:t>
                  </w:r>
                </w:p>
              </w:tc>
              <w:tc>
                <w:tcPr>
                  <w:tcW w:w="1117" w:type="dxa"/>
                  <w:vAlign w:val="center"/>
                </w:tcPr>
                <w:p w14:paraId="7F57F1AA">
                  <w:pPr>
                    <w:pStyle w:val="26"/>
                    <w:widowControl w:val="0"/>
                    <w:bidi w:val="0"/>
                    <w:jc w:val="center"/>
                    <w:rPr>
                      <w:rFonts w:hint="default"/>
                      <w:b/>
                      <w:bCs/>
                      <w:lang w:val="en-US" w:eastAsia="zh-CN"/>
                    </w:rPr>
                  </w:pPr>
                  <w:r>
                    <w:rPr>
                      <w:rFonts w:hint="eastAsia"/>
                      <w:b/>
                      <w:bCs/>
                      <w:lang w:val="en-US" w:eastAsia="zh-CN"/>
                    </w:rPr>
                    <w:t>监测点位</w:t>
                  </w:r>
                </w:p>
              </w:tc>
              <w:tc>
                <w:tcPr>
                  <w:tcW w:w="1516" w:type="dxa"/>
                  <w:vAlign w:val="center"/>
                </w:tcPr>
                <w:p w14:paraId="335808F1">
                  <w:pPr>
                    <w:pStyle w:val="26"/>
                    <w:widowControl w:val="0"/>
                    <w:bidi w:val="0"/>
                    <w:jc w:val="center"/>
                    <w:rPr>
                      <w:rFonts w:hint="default"/>
                      <w:b/>
                      <w:bCs/>
                      <w:lang w:val="en-US" w:eastAsia="zh-CN"/>
                    </w:rPr>
                  </w:pPr>
                  <w:r>
                    <w:rPr>
                      <w:rFonts w:hint="eastAsia"/>
                      <w:b/>
                      <w:bCs/>
                      <w:lang w:val="en-US" w:eastAsia="zh-CN"/>
                    </w:rPr>
                    <w:t>平均排放速率（kg/h）</w:t>
                  </w:r>
                </w:p>
              </w:tc>
              <w:tc>
                <w:tcPr>
                  <w:tcW w:w="1317" w:type="dxa"/>
                  <w:vAlign w:val="center"/>
                </w:tcPr>
                <w:p w14:paraId="5AD1BAD4">
                  <w:pPr>
                    <w:pStyle w:val="26"/>
                    <w:widowControl w:val="0"/>
                    <w:bidi w:val="0"/>
                    <w:jc w:val="center"/>
                    <w:rPr>
                      <w:rFonts w:hint="default"/>
                      <w:b/>
                      <w:bCs/>
                      <w:lang w:val="en-US" w:eastAsia="zh-CN"/>
                    </w:rPr>
                  </w:pPr>
                  <w:r>
                    <w:rPr>
                      <w:rFonts w:hint="eastAsia"/>
                      <w:b/>
                      <w:bCs/>
                      <w:lang w:val="en-US" w:eastAsia="zh-CN"/>
                    </w:rPr>
                    <w:t>年排放时间（h）</w:t>
                  </w:r>
                </w:p>
              </w:tc>
              <w:tc>
                <w:tcPr>
                  <w:tcW w:w="1100" w:type="dxa"/>
                  <w:vAlign w:val="center"/>
                </w:tcPr>
                <w:p w14:paraId="05B1D467">
                  <w:pPr>
                    <w:pStyle w:val="26"/>
                    <w:widowControl w:val="0"/>
                    <w:bidi w:val="0"/>
                    <w:jc w:val="center"/>
                    <w:rPr>
                      <w:rFonts w:hint="default"/>
                      <w:b/>
                      <w:bCs/>
                      <w:lang w:val="en-US" w:eastAsia="zh-CN"/>
                    </w:rPr>
                  </w:pPr>
                  <w:r>
                    <w:rPr>
                      <w:rFonts w:hint="eastAsia"/>
                      <w:b/>
                      <w:bCs/>
                      <w:lang w:val="en-US" w:eastAsia="zh-CN"/>
                    </w:rPr>
                    <w:t>排放总量（t/a）</w:t>
                  </w:r>
                </w:p>
              </w:tc>
              <w:tc>
                <w:tcPr>
                  <w:tcW w:w="1183" w:type="dxa"/>
                  <w:vAlign w:val="center"/>
                </w:tcPr>
                <w:p w14:paraId="6F372B7D">
                  <w:pPr>
                    <w:pStyle w:val="26"/>
                    <w:widowControl w:val="0"/>
                    <w:bidi w:val="0"/>
                    <w:jc w:val="center"/>
                    <w:rPr>
                      <w:rFonts w:hint="default"/>
                      <w:b/>
                      <w:bCs/>
                      <w:lang w:val="en-US" w:eastAsia="zh-CN"/>
                    </w:rPr>
                  </w:pPr>
                  <w:r>
                    <w:rPr>
                      <w:rFonts w:hint="eastAsia"/>
                      <w:b/>
                      <w:bCs/>
                      <w:lang w:val="en-US" w:eastAsia="zh-CN"/>
                    </w:rPr>
                    <w:t>限值要求（t/a）</w:t>
                  </w:r>
                </w:p>
              </w:tc>
              <w:tc>
                <w:tcPr>
                  <w:tcW w:w="1091" w:type="dxa"/>
                  <w:vAlign w:val="center"/>
                </w:tcPr>
                <w:p w14:paraId="794EE09B">
                  <w:pPr>
                    <w:pStyle w:val="26"/>
                    <w:widowControl w:val="0"/>
                    <w:bidi w:val="0"/>
                    <w:jc w:val="center"/>
                    <w:rPr>
                      <w:rFonts w:hint="default"/>
                      <w:b/>
                      <w:bCs/>
                      <w:lang w:val="en-US" w:eastAsia="zh-CN"/>
                    </w:rPr>
                  </w:pPr>
                  <w:r>
                    <w:rPr>
                      <w:rFonts w:hint="eastAsia"/>
                      <w:b/>
                      <w:bCs/>
                      <w:lang w:val="en-US" w:eastAsia="zh-CN"/>
                    </w:rPr>
                    <w:t>达标情况</w:t>
                  </w:r>
                </w:p>
              </w:tc>
            </w:tr>
            <w:tr w14:paraId="203B4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293" w:type="dxa"/>
                  <w:vAlign w:val="center"/>
                </w:tcPr>
                <w:p w14:paraId="1BCBD736">
                  <w:pPr>
                    <w:pStyle w:val="26"/>
                    <w:widowControl w:val="0"/>
                    <w:bidi w:val="0"/>
                    <w:jc w:val="center"/>
                    <w:rPr>
                      <w:rFonts w:hint="default"/>
                      <w:lang w:val="en-US" w:eastAsia="zh-CN"/>
                    </w:rPr>
                  </w:pPr>
                  <w:r>
                    <w:rPr>
                      <w:rFonts w:hint="eastAsia"/>
                      <w:lang w:val="en-US" w:eastAsia="zh-CN"/>
                    </w:rPr>
                    <w:t>非甲烷总烃</w:t>
                  </w:r>
                </w:p>
              </w:tc>
              <w:tc>
                <w:tcPr>
                  <w:tcW w:w="1117" w:type="dxa"/>
                  <w:vAlign w:val="center"/>
                </w:tcPr>
                <w:p w14:paraId="7397BB62">
                  <w:pPr>
                    <w:pStyle w:val="26"/>
                    <w:widowControl w:val="0"/>
                    <w:bidi w:val="0"/>
                    <w:jc w:val="center"/>
                    <w:rPr>
                      <w:rFonts w:hint="default"/>
                      <w:lang w:val="en-US" w:eastAsia="zh-CN"/>
                    </w:rPr>
                  </w:pPr>
                  <w:r>
                    <w:rPr>
                      <w:rFonts w:hint="eastAsia"/>
                      <w:lang w:val="en-US" w:eastAsia="zh-CN"/>
                    </w:rPr>
                    <w:t>DA001</w:t>
                  </w:r>
                </w:p>
              </w:tc>
              <w:tc>
                <w:tcPr>
                  <w:tcW w:w="1516" w:type="dxa"/>
                  <w:vAlign w:val="center"/>
                </w:tcPr>
                <w:p w14:paraId="2B45D74A">
                  <w:pPr>
                    <w:pStyle w:val="26"/>
                    <w:widowControl w:val="0"/>
                    <w:bidi w:val="0"/>
                    <w:jc w:val="center"/>
                    <w:rPr>
                      <w:rFonts w:hint="default"/>
                      <w:lang w:val="en-US" w:eastAsia="zh-CN"/>
                    </w:rPr>
                  </w:pPr>
                  <w:r>
                    <w:rPr>
                      <w:rFonts w:hint="eastAsia"/>
                      <w:lang w:val="en-US" w:eastAsia="zh-CN"/>
                    </w:rPr>
                    <w:t>2.57×10</w:t>
                  </w:r>
                  <w:r>
                    <w:rPr>
                      <w:rFonts w:hint="eastAsia"/>
                      <w:vertAlign w:val="superscript"/>
                      <w:lang w:val="en-US" w:eastAsia="zh-CN"/>
                    </w:rPr>
                    <w:t>-2</w:t>
                  </w:r>
                </w:p>
              </w:tc>
              <w:tc>
                <w:tcPr>
                  <w:tcW w:w="1317" w:type="dxa"/>
                  <w:vAlign w:val="center"/>
                </w:tcPr>
                <w:p w14:paraId="5971B469">
                  <w:pPr>
                    <w:pStyle w:val="26"/>
                    <w:widowControl w:val="0"/>
                    <w:bidi w:val="0"/>
                    <w:jc w:val="center"/>
                    <w:rPr>
                      <w:rFonts w:hint="default"/>
                      <w:lang w:val="en-US" w:eastAsia="zh-CN"/>
                    </w:rPr>
                  </w:pPr>
                  <w:r>
                    <w:rPr>
                      <w:rFonts w:hint="eastAsia"/>
                      <w:lang w:val="en-US" w:eastAsia="zh-CN"/>
                    </w:rPr>
                    <w:t>2400</w:t>
                  </w:r>
                </w:p>
              </w:tc>
              <w:tc>
                <w:tcPr>
                  <w:tcW w:w="1100" w:type="dxa"/>
                  <w:vAlign w:val="center"/>
                </w:tcPr>
                <w:p w14:paraId="0139A782">
                  <w:pPr>
                    <w:pStyle w:val="26"/>
                    <w:widowControl w:val="0"/>
                    <w:bidi w:val="0"/>
                    <w:jc w:val="center"/>
                    <w:rPr>
                      <w:rFonts w:hint="default"/>
                      <w:lang w:val="en-US" w:eastAsia="zh-CN"/>
                    </w:rPr>
                  </w:pPr>
                  <w:r>
                    <w:rPr>
                      <w:rFonts w:hint="eastAsia"/>
                      <w:lang w:val="en-US" w:eastAsia="zh-CN"/>
                    </w:rPr>
                    <w:t>0.06168</w:t>
                  </w:r>
                </w:p>
              </w:tc>
              <w:tc>
                <w:tcPr>
                  <w:tcW w:w="1183" w:type="dxa"/>
                  <w:vAlign w:val="center"/>
                </w:tcPr>
                <w:p w14:paraId="0FF3F27C">
                  <w:pPr>
                    <w:pStyle w:val="26"/>
                    <w:widowControl w:val="0"/>
                    <w:bidi w:val="0"/>
                    <w:jc w:val="center"/>
                    <w:rPr>
                      <w:rFonts w:hint="default"/>
                      <w:lang w:val="en-US" w:eastAsia="zh-CN"/>
                    </w:rPr>
                  </w:pPr>
                  <w:r>
                    <w:rPr>
                      <w:rFonts w:hint="eastAsia"/>
                      <w:lang w:val="en-US" w:eastAsia="zh-CN"/>
                    </w:rPr>
                    <w:t>0.107</w:t>
                  </w:r>
                </w:p>
              </w:tc>
              <w:tc>
                <w:tcPr>
                  <w:tcW w:w="1091" w:type="dxa"/>
                  <w:vAlign w:val="center"/>
                </w:tcPr>
                <w:p w14:paraId="11470EBE">
                  <w:pPr>
                    <w:pStyle w:val="26"/>
                    <w:widowControl w:val="0"/>
                    <w:bidi w:val="0"/>
                    <w:jc w:val="center"/>
                    <w:rPr>
                      <w:rFonts w:hint="default"/>
                      <w:lang w:val="en-US" w:eastAsia="zh-CN"/>
                    </w:rPr>
                  </w:pPr>
                  <w:r>
                    <w:rPr>
                      <w:rFonts w:hint="eastAsia"/>
                      <w:lang w:val="en-US" w:eastAsia="zh-CN"/>
                    </w:rPr>
                    <w:t>达标</w:t>
                  </w:r>
                </w:p>
              </w:tc>
            </w:tr>
            <w:tr w14:paraId="4DC38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93" w:type="dxa"/>
                  <w:vAlign w:val="center"/>
                </w:tcPr>
                <w:p w14:paraId="3F591532">
                  <w:pPr>
                    <w:pStyle w:val="26"/>
                    <w:widowControl w:val="0"/>
                    <w:bidi w:val="0"/>
                    <w:jc w:val="center"/>
                    <w:rPr>
                      <w:rFonts w:hint="default"/>
                      <w:lang w:val="en-US" w:eastAsia="zh-CN"/>
                    </w:rPr>
                  </w:pPr>
                  <w:r>
                    <w:rPr>
                      <w:rFonts w:hint="eastAsia"/>
                      <w:lang w:val="en-US" w:eastAsia="zh-CN"/>
                    </w:rPr>
                    <w:t>颗粒物</w:t>
                  </w:r>
                </w:p>
              </w:tc>
              <w:tc>
                <w:tcPr>
                  <w:tcW w:w="1117" w:type="dxa"/>
                  <w:vAlign w:val="center"/>
                </w:tcPr>
                <w:p w14:paraId="1B7D1E83">
                  <w:pPr>
                    <w:pStyle w:val="26"/>
                    <w:widowControl w:val="0"/>
                    <w:bidi w:val="0"/>
                    <w:jc w:val="center"/>
                    <w:rPr>
                      <w:rFonts w:hint="default"/>
                      <w:lang w:val="en-US" w:eastAsia="zh-CN"/>
                    </w:rPr>
                  </w:pPr>
                  <w:r>
                    <w:rPr>
                      <w:rFonts w:hint="eastAsia"/>
                      <w:lang w:val="en-US" w:eastAsia="zh-CN"/>
                    </w:rPr>
                    <w:t>DA</w:t>
                  </w:r>
                  <w:bookmarkStart w:id="55" w:name="_GoBack"/>
                  <w:bookmarkEnd w:id="55"/>
                  <w:r>
                    <w:rPr>
                      <w:rFonts w:hint="eastAsia"/>
                      <w:lang w:val="en-US" w:eastAsia="zh-CN"/>
                    </w:rPr>
                    <w:t>002</w:t>
                  </w:r>
                </w:p>
              </w:tc>
              <w:tc>
                <w:tcPr>
                  <w:tcW w:w="1516" w:type="dxa"/>
                  <w:vAlign w:val="center"/>
                </w:tcPr>
                <w:p w14:paraId="1820BB72">
                  <w:pPr>
                    <w:pStyle w:val="26"/>
                    <w:widowControl w:val="0"/>
                    <w:bidi w:val="0"/>
                    <w:jc w:val="center"/>
                    <w:rPr>
                      <w:rFonts w:hint="default"/>
                      <w:lang w:val="en-US" w:eastAsia="zh-CN"/>
                    </w:rPr>
                  </w:pPr>
                  <w:r>
                    <w:rPr>
                      <w:rFonts w:hint="eastAsia"/>
                      <w:lang w:val="en-US" w:eastAsia="zh-CN"/>
                    </w:rPr>
                    <w:t>1.11×10</w:t>
                  </w:r>
                  <w:r>
                    <w:rPr>
                      <w:rFonts w:hint="eastAsia"/>
                      <w:vertAlign w:val="superscript"/>
                      <w:lang w:val="en-US" w:eastAsia="zh-CN"/>
                    </w:rPr>
                    <w:t>-2</w:t>
                  </w:r>
                </w:p>
              </w:tc>
              <w:tc>
                <w:tcPr>
                  <w:tcW w:w="1317" w:type="dxa"/>
                  <w:vAlign w:val="center"/>
                </w:tcPr>
                <w:p w14:paraId="6D6B15BA">
                  <w:pPr>
                    <w:pStyle w:val="26"/>
                    <w:widowControl w:val="0"/>
                    <w:bidi w:val="0"/>
                    <w:jc w:val="center"/>
                    <w:rPr>
                      <w:rFonts w:hint="default"/>
                      <w:lang w:val="en-US" w:eastAsia="zh-CN"/>
                    </w:rPr>
                  </w:pPr>
                  <w:r>
                    <w:rPr>
                      <w:rFonts w:hint="eastAsia"/>
                      <w:lang w:val="en-US" w:eastAsia="zh-CN"/>
                    </w:rPr>
                    <w:t>2400</w:t>
                  </w:r>
                </w:p>
              </w:tc>
              <w:tc>
                <w:tcPr>
                  <w:tcW w:w="1100" w:type="dxa"/>
                  <w:vAlign w:val="center"/>
                </w:tcPr>
                <w:p w14:paraId="1F2808FC">
                  <w:pPr>
                    <w:pStyle w:val="26"/>
                    <w:widowControl w:val="0"/>
                    <w:bidi w:val="0"/>
                    <w:jc w:val="center"/>
                    <w:rPr>
                      <w:rFonts w:hint="default"/>
                      <w:lang w:val="en-US" w:eastAsia="zh-CN"/>
                    </w:rPr>
                  </w:pPr>
                  <w:r>
                    <w:rPr>
                      <w:rFonts w:hint="eastAsia"/>
                      <w:lang w:val="en-US" w:eastAsia="zh-CN"/>
                    </w:rPr>
                    <w:t>0.02664</w:t>
                  </w:r>
                </w:p>
              </w:tc>
              <w:tc>
                <w:tcPr>
                  <w:tcW w:w="1183" w:type="dxa"/>
                  <w:vAlign w:val="center"/>
                </w:tcPr>
                <w:p w14:paraId="6613150F">
                  <w:pPr>
                    <w:pStyle w:val="26"/>
                    <w:widowControl w:val="0"/>
                    <w:bidi w:val="0"/>
                    <w:jc w:val="center"/>
                    <w:rPr>
                      <w:rFonts w:hint="default"/>
                      <w:lang w:val="en-US" w:eastAsia="zh-CN"/>
                    </w:rPr>
                  </w:pPr>
                  <w:r>
                    <w:rPr>
                      <w:rFonts w:hint="eastAsia"/>
                      <w:lang w:val="en-US" w:eastAsia="zh-CN"/>
                    </w:rPr>
                    <w:t>0.1636</w:t>
                  </w:r>
                </w:p>
              </w:tc>
              <w:tc>
                <w:tcPr>
                  <w:tcW w:w="1091" w:type="dxa"/>
                  <w:vAlign w:val="center"/>
                </w:tcPr>
                <w:p w14:paraId="7DB4DD83">
                  <w:pPr>
                    <w:pStyle w:val="26"/>
                    <w:widowControl w:val="0"/>
                    <w:bidi w:val="0"/>
                    <w:jc w:val="center"/>
                    <w:rPr>
                      <w:rFonts w:hint="default"/>
                      <w:lang w:val="en-US" w:eastAsia="zh-CN"/>
                    </w:rPr>
                  </w:pPr>
                  <w:r>
                    <w:rPr>
                      <w:rFonts w:hint="eastAsia"/>
                      <w:lang w:val="en-US" w:eastAsia="zh-CN"/>
                    </w:rPr>
                    <w:t>达标</w:t>
                  </w:r>
                </w:p>
              </w:tc>
            </w:tr>
          </w:tbl>
          <w:p w14:paraId="18CB45C0">
            <w:pPr>
              <w:numPr>
                <w:ilvl w:val="0"/>
                <w:numId w:val="0"/>
              </w:numPr>
              <w:spacing w:line="240" w:lineRule="auto"/>
              <w:jc w:val="left"/>
              <w:rPr>
                <w:rFonts w:hint="default"/>
                <w:color w:val="auto"/>
                <w:lang w:val="en-US" w:eastAsia="zh-CN"/>
              </w:rPr>
            </w:pPr>
          </w:p>
          <w:p w14:paraId="62FFBA68">
            <w:pPr>
              <w:pStyle w:val="10"/>
              <w:rPr>
                <w:rFonts w:hint="default"/>
                <w:color w:val="auto"/>
                <w:sz w:val="24"/>
                <w:szCs w:val="24"/>
                <w:lang w:val="en-US" w:eastAsia="zh-CN"/>
              </w:rPr>
            </w:pPr>
          </w:p>
        </w:tc>
      </w:tr>
    </w:tbl>
    <w:p w14:paraId="2C988A44">
      <w:pPr>
        <w:spacing w:after="0" w:line="360" w:lineRule="auto"/>
        <w:rPr>
          <w:rFonts w:hint="default" w:ascii="Times New Roman" w:hAnsi="Times New Roman" w:cs="Times New Roman" w:eastAsiaTheme="minorEastAsia"/>
          <w:b/>
          <w:color w:val="auto"/>
          <w:sz w:val="24"/>
          <w:szCs w:val="24"/>
        </w:rPr>
        <w:sectPr>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p>
    <w:p w14:paraId="3EA183EB">
      <w:pPr>
        <w:spacing w:after="0" w:line="360" w:lineRule="auto"/>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表八</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24"/>
      </w:tblGrid>
      <w:tr w14:paraId="7BA74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7" w:hRule="atLeast"/>
          <w:jc w:val="center"/>
        </w:trPr>
        <w:tc>
          <w:tcPr>
            <w:tcW w:w="8924" w:type="dxa"/>
            <w:noWrap w:val="0"/>
            <w:vAlign w:val="top"/>
          </w:tcPr>
          <w:p w14:paraId="18C99AD3">
            <w:pPr>
              <w:keepNext w:val="0"/>
              <w:keepLines w:val="0"/>
              <w:pageBreakBefore w:val="0"/>
              <w:widowControl/>
              <w:tabs>
                <w:tab w:val="left" w:pos="3480"/>
              </w:tabs>
              <w:kinsoku/>
              <w:wordWrap/>
              <w:overflowPunct/>
              <w:topLinePunct w:val="0"/>
              <w:autoSpaceDE/>
              <w:autoSpaceDN/>
              <w:bidi w:val="0"/>
              <w:adjustRightInd w:val="0"/>
              <w:snapToGrid w:val="0"/>
              <w:spacing w:line="360" w:lineRule="auto"/>
              <w:textAlignment w:val="auto"/>
              <w:outlineLvl w:val="0"/>
              <w:rPr>
                <w:rFonts w:hint="default" w:ascii="Times New Roman" w:hAnsi="Times New Roman" w:eastAsia="宋体" w:cs="Times New Roman"/>
                <w:b/>
                <w:bCs/>
                <w:color w:val="auto"/>
                <w:sz w:val="24"/>
              </w:rPr>
            </w:pPr>
            <w:bookmarkStart w:id="48" w:name="_Toc1609"/>
            <w:bookmarkStart w:id="49" w:name="_Toc24842"/>
            <w:r>
              <w:rPr>
                <w:rFonts w:hint="default" w:ascii="Times New Roman" w:hAnsi="Times New Roman" w:eastAsia="宋体" w:cs="Times New Roman"/>
                <w:b/>
                <w:bCs/>
                <w:color w:val="auto"/>
                <w:sz w:val="24"/>
              </w:rPr>
              <w:t>验收监测结论：</w:t>
            </w:r>
          </w:p>
          <w:p w14:paraId="74FE65B5">
            <w:pPr>
              <w:keepNext w:val="0"/>
              <w:keepLines w:val="0"/>
              <w:pageBreakBefore w:val="0"/>
              <w:widowControl/>
              <w:tabs>
                <w:tab w:val="left" w:pos="3480"/>
              </w:tabs>
              <w:kinsoku/>
              <w:wordWrap/>
              <w:overflowPunct/>
              <w:topLinePunct w:val="0"/>
              <w:autoSpaceDE/>
              <w:autoSpaceDN/>
              <w:bidi w:val="0"/>
              <w:adjustRightInd w:val="0"/>
              <w:snapToGrid w:val="0"/>
              <w:spacing w:line="360" w:lineRule="auto"/>
              <w:textAlignment w:val="auto"/>
              <w:outlineLvl w:val="0"/>
              <w:rPr>
                <w:rFonts w:hint="default" w:ascii="Times New Roman" w:hAnsi="Times New Roman" w:eastAsia="宋体" w:cs="Times New Roman"/>
                <w:b/>
                <w:bCs/>
                <w:color w:val="auto"/>
                <w:sz w:val="24"/>
              </w:rPr>
            </w:pPr>
            <w:r>
              <w:rPr>
                <w:rFonts w:hint="eastAsia" w:cs="Times New Roman"/>
                <w:b/>
                <w:bCs/>
                <w:color w:val="auto"/>
                <w:sz w:val="24"/>
                <w:lang w:val="en-US" w:eastAsia="zh-CN"/>
              </w:rPr>
              <w:t>1</w:t>
            </w:r>
            <w:r>
              <w:rPr>
                <w:rFonts w:hint="default" w:ascii="Times New Roman" w:hAnsi="Times New Roman" w:eastAsia="宋体" w:cs="Times New Roman"/>
                <w:b/>
                <w:bCs/>
                <w:color w:val="auto"/>
                <w:sz w:val="24"/>
              </w:rPr>
              <w:t>、工况及“三同时”执行情况</w:t>
            </w:r>
            <w:bookmarkEnd w:id="48"/>
            <w:bookmarkEnd w:id="49"/>
          </w:p>
          <w:p w14:paraId="68F3C55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auto"/>
                <w:sz w:val="24"/>
              </w:rPr>
            </w:pPr>
            <w:r>
              <w:rPr>
                <w:rFonts w:hint="eastAsia"/>
                <w:color w:val="auto"/>
                <w:sz w:val="24"/>
                <w:lang w:val="en-US" w:eastAsia="zh-CN"/>
              </w:rPr>
              <w:t>舒城润昇门业有限公司钢制非标门加工制造项目</w:t>
            </w:r>
            <w:r>
              <w:rPr>
                <w:rFonts w:hint="default" w:ascii="Times New Roman" w:hAnsi="Times New Roman" w:eastAsia="宋体" w:cs="Times New Roman"/>
                <w:color w:val="auto"/>
                <w:sz w:val="24"/>
                <w:lang w:val="en-US" w:eastAsia="zh-CN"/>
              </w:rPr>
              <w:t>已按照</w:t>
            </w:r>
            <w:r>
              <w:rPr>
                <w:rFonts w:hint="default" w:ascii="Times New Roman" w:hAnsi="Times New Roman" w:eastAsia="宋体" w:cs="Times New Roman"/>
                <w:bCs/>
                <w:color w:val="auto"/>
                <w:sz w:val="24"/>
              </w:rPr>
              <w:t>国家有关建设项目环境管理法规要求，进行了环境影响评价，</w:t>
            </w:r>
            <w:r>
              <w:rPr>
                <w:rFonts w:hint="eastAsia" w:cs="Times New Roman"/>
                <w:bCs/>
                <w:color w:val="auto"/>
                <w:sz w:val="24"/>
                <w:lang w:eastAsia="zh-CN"/>
              </w:rPr>
              <w:t>依法进行了排污许可登记，</w:t>
            </w:r>
            <w:r>
              <w:rPr>
                <w:rFonts w:hint="default" w:ascii="Times New Roman" w:hAnsi="Times New Roman" w:eastAsia="宋体" w:cs="Times New Roman"/>
                <w:bCs/>
                <w:color w:val="auto"/>
                <w:sz w:val="24"/>
              </w:rPr>
              <w:t>工程相应的环保设施与主体工程同时设计、同时施工、同时投入使用，基本符合</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三同时</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的要求。建设内容组成不涉及重大变动，符合</w:t>
            </w:r>
            <w:r>
              <w:rPr>
                <w:rFonts w:hint="default" w:ascii="Times New Roman" w:hAnsi="Times New Roman" w:eastAsia="宋体" w:cs="Times New Roman"/>
                <w:color w:val="auto"/>
                <w:sz w:val="24"/>
              </w:rPr>
              <w:t>《建设项目竣工环境保护验收暂行办法》规定，现场检查符合验收条件。</w:t>
            </w:r>
          </w:p>
          <w:p w14:paraId="1C4A155B">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生产调试期间，各类环保设施运行正常，满足验收监测技术规范要求。监测结果具有代表性。</w:t>
            </w:r>
          </w:p>
          <w:p w14:paraId="0B8757FD">
            <w:pPr>
              <w:keepNext w:val="0"/>
              <w:keepLines w:val="0"/>
              <w:pageBreakBefore w:val="0"/>
              <w:widowControl/>
              <w:kinsoku/>
              <w:wordWrap/>
              <w:overflowPunct/>
              <w:topLinePunct w:val="0"/>
              <w:autoSpaceDE/>
              <w:autoSpaceDN/>
              <w:bidi w:val="0"/>
              <w:adjustRightInd w:val="0"/>
              <w:snapToGrid w:val="0"/>
              <w:jc w:val="both"/>
              <w:textAlignment w:val="auto"/>
              <w:outlineLvl w:val="1"/>
              <w:rPr>
                <w:rFonts w:hint="default" w:ascii="Times New Roman" w:hAnsi="Times New Roman" w:eastAsia="宋体" w:cs="Times New Roman"/>
                <w:b/>
                <w:bCs/>
                <w:color w:val="auto"/>
              </w:rPr>
            </w:pPr>
            <w:bookmarkStart w:id="50" w:name="_Toc16263"/>
            <w:bookmarkStart w:id="51" w:name="_Toc512519602"/>
            <w:bookmarkStart w:id="52" w:name="_Toc6969"/>
            <w:r>
              <w:rPr>
                <w:rFonts w:hint="eastAsia" w:cs="Times New Roman"/>
                <w:b/>
                <w:bCs/>
                <w:color w:val="auto"/>
                <w:lang w:val="en-US" w:eastAsia="zh-CN"/>
              </w:rPr>
              <w:t>2</w:t>
            </w:r>
            <w:r>
              <w:rPr>
                <w:rFonts w:hint="default" w:ascii="Times New Roman" w:hAnsi="Times New Roman" w:eastAsia="宋体" w:cs="Times New Roman"/>
                <w:b/>
                <w:bCs/>
                <w:color w:val="auto"/>
              </w:rPr>
              <w:t>、</w:t>
            </w:r>
            <w:bookmarkEnd w:id="50"/>
            <w:bookmarkEnd w:id="51"/>
            <w:bookmarkEnd w:id="52"/>
            <w:r>
              <w:rPr>
                <w:rFonts w:hint="default" w:ascii="Times New Roman" w:hAnsi="Times New Roman" w:eastAsia="宋体" w:cs="Times New Roman"/>
                <w:b/>
                <w:bCs/>
                <w:color w:val="auto"/>
              </w:rPr>
              <w:t>污染物排放监测结果</w:t>
            </w:r>
          </w:p>
          <w:p w14:paraId="16795A61">
            <w:pPr>
              <w:keepNext w:val="0"/>
              <w:keepLines w:val="0"/>
              <w:pageBreakBefore w:val="0"/>
              <w:widowControl/>
              <w:kinsoku/>
              <w:wordWrap/>
              <w:overflowPunct/>
              <w:topLinePunct w:val="0"/>
              <w:autoSpaceDE/>
              <w:autoSpaceDN/>
              <w:bidi w:val="0"/>
              <w:snapToGrid w:val="0"/>
              <w:spacing w:line="360" w:lineRule="auto"/>
              <w:ind w:firstLine="480" w:firstLineChars="200"/>
              <w:jc w:val="both"/>
              <w:textAlignment w:val="auto"/>
              <w:rPr>
                <w:rFonts w:hint="eastAsia"/>
                <w:color w:val="auto"/>
                <w:sz w:val="24"/>
                <w:lang w:val="en-US" w:eastAsia="zh-CN"/>
              </w:rPr>
            </w:pPr>
            <w:bookmarkStart w:id="53" w:name="_Toc500598051"/>
            <w:bookmarkStart w:id="54" w:name="_Toc500754030"/>
            <w:r>
              <w:rPr>
                <w:rStyle w:val="42"/>
                <w:rFonts w:hint="eastAsia"/>
                <w:color w:val="auto"/>
                <w:lang w:eastAsia="zh-CN"/>
              </w:rPr>
              <w:t>（</w:t>
            </w:r>
            <w:r>
              <w:rPr>
                <w:rFonts w:hint="default" w:ascii="Times New Roman" w:hAnsi="Times New Roman" w:eastAsia="宋体" w:cs="Times New Roman"/>
                <w:color w:val="auto"/>
              </w:rPr>
              <w:t>1</w:t>
            </w:r>
            <w:r>
              <w:rPr>
                <w:rStyle w:val="42"/>
                <w:rFonts w:hint="eastAsia"/>
                <w:color w:val="auto"/>
                <w:lang w:eastAsia="zh-CN"/>
              </w:rPr>
              <w:t>）</w:t>
            </w:r>
            <w:r>
              <w:rPr>
                <w:rFonts w:hint="default" w:ascii="Times New Roman" w:hAnsi="Times New Roman" w:eastAsia="宋体" w:cs="Times New Roman"/>
                <w:color w:val="auto"/>
              </w:rPr>
              <w:t>本次验收对厂区废气排放</w:t>
            </w:r>
            <w:r>
              <w:rPr>
                <w:rFonts w:hint="default" w:ascii="Times New Roman" w:hAnsi="Times New Roman" w:eastAsia="宋体" w:cs="Times New Roman"/>
                <w:color w:val="auto"/>
                <w:lang w:eastAsia="zh-CN"/>
              </w:rPr>
              <w:t>情况</w:t>
            </w:r>
            <w:r>
              <w:rPr>
                <w:rFonts w:hint="default" w:ascii="Times New Roman" w:hAnsi="Times New Roman" w:eastAsia="宋体" w:cs="Times New Roman"/>
                <w:color w:val="auto"/>
              </w:rPr>
              <w:t>进行了监测，</w:t>
            </w:r>
            <w:r>
              <w:rPr>
                <w:rFonts w:hint="eastAsia" w:ascii="宋体" w:hAnsi="宋体" w:eastAsia="宋体" w:cs="宋体"/>
                <w:color w:val="auto"/>
                <w:sz w:val="24"/>
                <w:lang w:val="en-US" w:eastAsia="zh-CN"/>
              </w:rPr>
              <w:t>验收监测期间，</w:t>
            </w:r>
            <w:r>
              <w:rPr>
                <w:rFonts w:hint="eastAsia" w:ascii="宋体" w:hAnsi="宋体" w:eastAsia="宋体" w:cs="宋体"/>
                <w:color w:val="auto"/>
                <w:sz w:val="24"/>
              </w:rPr>
              <w:t>颗粒物</w:t>
            </w:r>
            <w:r>
              <w:rPr>
                <w:rFonts w:hint="eastAsia" w:ascii="宋体" w:hAnsi="宋体" w:cs="宋体"/>
                <w:color w:val="auto"/>
                <w:sz w:val="24"/>
                <w:lang w:eastAsia="zh-CN"/>
              </w:rPr>
              <w:t>有组织排放满足</w:t>
            </w:r>
            <w:r>
              <w:rPr>
                <w:rFonts w:hint="eastAsia"/>
                <w:color w:val="auto"/>
                <w:sz w:val="24"/>
                <w:lang w:eastAsia="zh-CN"/>
              </w:rPr>
              <w:t>上海市</w:t>
            </w:r>
            <w:r>
              <w:rPr>
                <w:rFonts w:hint="eastAsia"/>
                <w:color w:val="auto"/>
                <w:sz w:val="24"/>
              </w:rPr>
              <w:t>《大气污染物综合排放标准》（DB31/933-2015）</w:t>
            </w:r>
            <w:r>
              <w:rPr>
                <w:rFonts w:hint="eastAsia"/>
                <w:color w:val="auto"/>
                <w:sz w:val="24"/>
                <w:lang w:val="en-US" w:eastAsia="zh-CN"/>
              </w:rPr>
              <w:t>中有组织废气排放限值要求</w:t>
            </w:r>
            <w:r>
              <w:rPr>
                <w:rFonts w:hint="eastAsia"/>
                <w:color w:val="auto"/>
                <w:sz w:val="24"/>
                <w:lang w:eastAsia="zh-CN"/>
              </w:rPr>
              <w:t>；非甲烷总烃有组织排放满足安徽省《固定源挥发性有机物综合排放标准》（</w:t>
            </w:r>
            <w:r>
              <w:rPr>
                <w:rFonts w:hint="eastAsia"/>
                <w:color w:val="auto"/>
                <w:sz w:val="24"/>
                <w:lang w:val="en-US" w:eastAsia="zh-CN"/>
              </w:rPr>
              <w:t>DB34/4812.6-2024</w:t>
            </w:r>
            <w:r>
              <w:rPr>
                <w:rFonts w:hint="eastAsia"/>
                <w:color w:val="auto"/>
                <w:sz w:val="24"/>
                <w:lang w:eastAsia="zh-CN"/>
              </w:rPr>
              <w:t>）中有组织废</w:t>
            </w:r>
            <w:r>
              <w:rPr>
                <w:rFonts w:hint="eastAsia"/>
                <w:color w:val="auto"/>
                <w:sz w:val="24"/>
                <w:lang w:val="en-US" w:eastAsia="zh-CN"/>
              </w:rPr>
              <w:t>气排放限值要求</w:t>
            </w:r>
            <w:r>
              <w:rPr>
                <w:rFonts w:hint="eastAsia"/>
                <w:color w:val="auto"/>
                <w:sz w:val="24"/>
                <w:lang w:eastAsia="zh-CN"/>
              </w:rPr>
              <w:t>；</w:t>
            </w:r>
            <w:r>
              <w:rPr>
                <w:color w:val="auto"/>
                <w:sz w:val="24"/>
              </w:rPr>
              <w:t>厂区内</w:t>
            </w:r>
            <w:r>
              <w:rPr>
                <w:rFonts w:hint="eastAsia"/>
                <w:color w:val="auto"/>
                <w:sz w:val="24"/>
                <w:lang w:eastAsia="zh-CN"/>
              </w:rPr>
              <w:t>非甲烷总烃</w:t>
            </w:r>
            <w:r>
              <w:rPr>
                <w:color w:val="auto"/>
                <w:sz w:val="24"/>
              </w:rPr>
              <w:t>无组织排放</w:t>
            </w:r>
            <w:r>
              <w:rPr>
                <w:rFonts w:hint="eastAsia"/>
                <w:color w:val="auto"/>
                <w:sz w:val="24"/>
                <w:lang w:eastAsia="zh-CN"/>
              </w:rPr>
              <w:t>满足安徽省《固定源挥发性有机物综合排放标准》（</w:t>
            </w:r>
            <w:r>
              <w:rPr>
                <w:rFonts w:hint="eastAsia"/>
                <w:color w:val="auto"/>
                <w:sz w:val="24"/>
                <w:lang w:val="en-US" w:eastAsia="zh-CN"/>
              </w:rPr>
              <w:t>DB34/4812.6-2024</w:t>
            </w:r>
            <w:r>
              <w:rPr>
                <w:rFonts w:hint="eastAsia"/>
                <w:color w:val="auto"/>
                <w:sz w:val="24"/>
                <w:lang w:eastAsia="zh-CN"/>
              </w:rPr>
              <w:t>）中</w:t>
            </w:r>
            <w:r>
              <w:rPr>
                <w:rFonts w:hint="eastAsia"/>
                <w:color w:val="auto"/>
                <w:sz w:val="24"/>
                <w:lang w:val="en-US" w:eastAsia="zh-CN"/>
              </w:rPr>
              <w:t>浓度限值要求</w:t>
            </w:r>
            <w:r>
              <w:rPr>
                <w:rFonts w:hint="eastAsia"/>
                <w:color w:val="auto"/>
                <w:sz w:val="24"/>
                <w:lang w:eastAsia="zh-CN"/>
              </w:rPr>
              <w:t>；非甲烷总烃及颗粒物厂界无组织排放满足上海市</w:t>
            </w:r>
            <w:r>
              <w:rPr>
                <w:rFonts w:hint="eastAsia"/>
                <w:color w:val="auto"/>
                <w:sz w:val="24"/>
              </w:rPr>
              <w:t>《大气污染物综合排放标准》（DB31/933-2015）</w:t>
            </w:r>
            <w:r>
              <w:rPr>
                <w:rFonts w:hint="eastAsia"/>
                <w:color w:val="auto"/>
                <w:sz w:val="24"/>
                <w:lang w:val="en-US" w:eastAsia="zh-CN"/>
              </w:rPr>
              <w:t>中无组织废气浓度限值要求。</w:t>
            </w:r>
            <w:bookmarkEnd w:id="53"/>
            <w:bookmarkEnd w:id="54"/>
          </w:p>
          <w:p w14:paraId="187F6EAD">
            <w:pPr>
              <w:keepNext w:val="0"/>
              <w:keepLines w:val="0"/>
              <w:pageBreakBefore w:val="0"/>
              <w:widowControl/>
              <w:kinsoku/>
              <w:wordWrap/>
              <w:overflowPunct/>
              <w:autoSpaceDE/>
              <w:autoSpaceDN/>
              <w:bidi w:val="0"/>
              <w:adjustRightInd w:val="0"/>
              <w:snapToGrid w:val="0"/>
              <w:ind w:firstLine="480" w:firstLineChars="200"/>
              <w:textAlignment w:val="auto"/>
              <w:rPr>
                <w:rFonts w:hint="default" w:ascii="Times New Roman" w:hAnsi="Times New Roman" w:eastAsia="宋体" w:cs="Times New Roman"/>
                <w:color w:val="auto"/>
                <w:lang w:val="en-US" w:eastAsia="zh-CN"/>
              </w:rPr>
            </w:pPr>
            <w:r>
              <w:rPr>
                <w:rStyle w:val="42"/>
                <w:rFonts w:hint="eastAsia"/>
                <w:color w:val="auto"/>
                <w:lang w:val="en-US" w:eastAsia="zh-CN"/>
              </w:rPr>
              <w:t>（2</w:t>
            </w:r>
            <w:r>
              <w:rPr>
                <w:rFonts w:hint="default" w:ascii="Times New Roman" w:hAnsi="Times New Roman" w:eastAsia="宋体" w:cs="Times New Roman"/>
                <w:color w:val="auto"/>
              </w:rPr>
              <w:t>）本项目产生的噪声主要来自于设备噪声</w:t>
            </w:r>
            <w:r>
              <w:rPr>
                <w:rFonts w:hint="default" w:ascii="Times New Roman" w:hAnsi="Times New Roman" w:eastAsia="宋体" w:cs="Times New Roman"/>
                <w:bCs/>
                <w:color w:val="auto"/>
              </w:rPr>
              <w:t>，本项目已采取基础减震、设备隔声、厂房隔声以及选用低噪声设备等措施。根据监测结果表明</w:t>
            </w:r>
            <w:r>
              <w:rPr>
                <w:rFonts w:hint="default" w:ascii="Times New Roman" w:hAnsi="Times New Roman" w:eastAsia="宋体" w:cs="Times New Roman"/>
                <w:color w:val="auto"/>
              </w:rPr>
              <w:t>，厂界噪声均符合《工业企业厂界环境噪声排放标准》（GB12348-2008）</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类区标准限值要求。</w:t>
            </w:r>
          </w:p>
          <w:p w14:paraId="572F7545">
            <w:pPr>
              <w:keepNext w:val="0"/>
              <w:keepLines w:val="0"/>
              <w:pageBreakBefore w:val="0"/>
              <w:widowControl/>
              <w:kinsoku/>
              <w:wordWrap/>
              <w:overflowPunct/>
              <w:topLinePunct w:val="0"/>
              <w:autoSpaceDE/>
              <w:autoSpaceDN/>
              <w:bidi w:val="0"/>
              <w:adjustRightInd w:val="0"/>
              <w:snapToGrid w:val="0"/>
              <w:textAlignment w:val="auto"/>
              <w:outlineLvl w:val="1"/>
              <w:rPr>
                <w:rFonts w:hint="default" w:ascii="Times New Roman" w:hAnsi="Times New Roman" w:eastAsia="宋体" w:cs="Times New Roman"/>
                <w:b/>
                <w:bCs/>
                <w:color w:val="auto"/>
                <w:sz w:val="24"/>
                <w:szCs w:val="24"/>
              </w:rPr>
            </w:pPr>
            <w:r>
              <w:rPr>
                <w:rFonts w:hint="eastAsia" w:cs="Times New Roman"/>
                <w:b/>
                <w:bCs/>
                <w:color w:val="auto"/>
                <w:sz w:val="24"/>
                <w:szCs w:val="24"/>
                <w:lang w:val="en-US" w:eastAsia="zh-CN"/>
              </w:rPr>
              <w:t>3</w:t>
            </w:r>
            <w:r>
              <w:rPr>
                <w:rFonts w:hint="default" w:ascii="Times New Roman" w:hAnsi="Times New Roman" w:eastAsia="宋体" w:cs="Times New Roman"/>
                <w:b/>
                <w:bCs/>
                <w:color w:val="auto"/>
                <w:sz w:val="24"/>
                <w:szCs w:val="24"/>
              </w:rPr>
              <w:t>、结论</w:t>
            </w:r>
          </w:p>
          <w:p w14:paraId="085467A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w:t>
            </w:r>
            <w:r>
              <w:rPr>
                <w:rFonts w:hint="default" w:ascii="Times New Roman" w:hAnsi="Times New Roman" w:eastAsia="宋体" w:cs="Times New Roman"/>
                <w:b w:val="0"/>
                <w:bCs w:val="0"/>
                <w:color w:val="auto"/>
                <w:kern w:val="2"/>
                <w:sz w:val="24"/>
                <w:szCs w:val="24"/>
                <w:lang w:val="en-US" w:eastAsia="zh-CN" w:bidi="ar-SA"/>
              </w:rPr>
              <w:t>验收合格的意见。</w:t>
            </w:r>
          </w:p>
          <w:p w14:paraId="5CE60AD4">
            <w:pPr>
              <w:bidi w:val="0"/>
              <w:rPr>
                <w:rFonts w:hint="eastAsia"/>
                <w:b/>
                <w:bCs/>
                <w:color w:val="auto"/>
                <w:lang w:val="en-US" w:eastAsia="zh-CN"/>
              </w:rPr>
            </w:pPr>
            <w:r>
              <w:rPr>
                <w:rFonts w:hint="eastAsia"/>
                <w:b/>
                <w:bCs/>
                <w:color w:val="auto"/>
                <w:lang w:val="en-US" w:eastAsia="zh-CN"/>
              </w:rPr>
              <w:t>4、建议</w:t>
            </w:r>
          </w:p>
          <w:p w14:paraId="11514531">
            <w:pPr>
              <w:bidi w:val="0"/>
              <w:ind w:firstLine="480" w:firstLineChars="200"/>
              <w:rPr>
                <w:rFonts w:hint="eastAsia"/>
                <w:color w:val="auto"/>
                <w:lang w:val="en-US" w:eastAsia="zh-CN"/>
              </w:rPr>
            </w:pPr>
            <w:r>
              <w:rPr>
                <w:rFonts w:hint="eastAsia"/>
                <w:color w:val="auto"/>
                <w:lang w:val="en-US" w:eastAsia="zh-CN"/>
              </w:rPr>
              <w:t>（1）</w:t>
            </w:r>
            <w:r>
              <w:rPr>
                <w:rFonts w:hint="default"/>
                <w:color w:val="auto"/>
                <w:lang w:val="en-US" w:eastAsia="zh-CN"/>
              </w:rPr>
              <w:t>做好各类环境保护设施的运行管理和维护，确保污染物各类稳定达标排放</w:t>
            </w:r>
            <w:r>
              <w:rPr>
                <w:rFonts w:hint="eastAsia"/>
                <w:color w:val="auto"/>
                <w:lang w:val="en-US" w:eastAsia="zh-CN"/>
              </w:rPr>
              <w:t>。</w:t>
            </w:r>
          </w:p>
          <w:p w14:paraId="39E763E0">
            <w:pPr>
              <w:bidi w:val="0"/>
              <w:ind w:firstLine="480" w:firstLineChars="200"/>
              <w:rPr>
                <w:rFonts w:hint="default"/>
                <w:color w:val="auto"/>
                <w:lang w:val="en-US" w:eastAsia="zh-CN"/>
              </w:rPr>
            </w:pPr>
            <w:r>
              <w:rPr>
                <w:rFonts w:hint="eastAsia"/>
                <w:color w:val="auto"/>
                <w:lang w:val="en-US" w:eastAsia="zh-CN"/>
              </w:rPr>
              <w:t>（2）做好厂区除臭工作定期喷洒除臭剂消毒剂，加强企业无组织废气处理措施。</w:t>
            </w:r>
          </w:p>
        </w:tc>
      </w:tr>
    </w:tbl>
    <w:p w14:paraId="7F59F88E">
      <w:pPr>
        <w:rPr>
          <w:rFonts w:hint="default" w:ascii="Times New Roman" w:hAnsi="Times New Roman" w:cs="Times New Roman"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6EA00CF">
      <w:pPr>
        <w:keepNext w:val="0"/>
        <w:keepLines w:val="0"/>
        <w:pageBreakBefore w:val="0"/>
        <w:widowControl/>
        <w:kinsoku/>
        <w:wordWrap w:val="0"/>
        <w:overflowPunct/>
        <w:topLinePunct/>
        <w:autoSpaceDE/>
        <w:autoSpaceDN/>
        <w:bidi w:val="0"/>
        <w:adjustRightInd w:val="0"/>
        <w:snapToGrid w:val="0"/>
        <w:spacing w:line="360" w:lineRule="auto"/>
        <w:jc w:val="center"/>
        <w:rPr>
          <w:rFonts w:ascii="Times New Roman" w:hAnsi="Times New Roman" w:eastAsia="宋体"/>
          <w:b/>
          <w:color w:val="auto"/>
          <w:szCs w:val="21"/>
        </w:rPr>
      </w:pPr>
      <w:r>
        <w:rPr>
          <w:rFonts w:ascii="Times New Roman" w:hAnsi="宋体" w:eastAsia="宋体"/>
          <w:b/>
          <w:color w:val="auto"/>
          <w:szCs w:val="21"/>
        </w:rPr>
        <w:t>建设项目竣工环境保护</w:t>
      </w:r>
      <w:r>
        <w:rPr>
          <w:rFonts w:ascii="Times New Roman" w:hAnsi="Times New Roman" w:eastAsia="宋体"/>
          <w:b/>
          <w:color w:val="auto"/>
          <w:szCs w:val="21"/>
        </w:rPr>
        <w:t>“</w:t>
      </w:r>
      <w:r>
        <w:rPr>
          <w:rFonts w:ascii="Times New Roman" w:hAnsi="宋体" w:eastAsia="宋体"/>
          <w:b/>
          <w:color w:val="auto"/>
          <w:szCs w:val="21"/>
        </w:rPr>
        <w:t>三同时</w:t>
      </w:r>
      <w:r>
        <w:rPr>
          <w:rFonts w:ascii="Times New Roman" w:hAnsi="Times New Roman" w:eastAsia="宋体"/>
          <w:b/>
          <w:color w:val="auto"/>
          <w:szCs w:val="21"/>
        </w:rPr>
        <w:t>”</w:t>
      </w:r>
      <w:r>
        <w:rPr>
          <w:rFonts w:ascii="Times New Roman" w:hAnsi="宋体" w:eastAsia="宋体"/>
          <w:b/>
          <w:color w:val="auto"/>
          <w:szCs w:val="21"/>
        </w:rPr>
        <w:t>验收登记表</w:t>
      </w:r>
    </w:p>
    <w:p w14:paraId="476C52DC">
      <w:pPr>
        <w:keepNext w:val="0"/>
        <w:keepLines w:val="0"/>
        <w:pageBreakBefore w:val="0"/>
        <w:widowControl/>
        <w:kinsoku/>
        <w:wordWrap w:val="0"/>
        <w:overflowPunct/>
        <w:topLinePunct/>
        <w:autoSpaceDE/>
        <w:autoSpaceDN/>
        <w:bidi w:val="0"/>
        <w:adjustRightInd w:val="0"/>
        <w:snapToGrid w:val="0"/>
        <w:spacing w:line="240" w:lineRule="auto"/>
        <w:rPr>
          <w:rFonts w:ascii="Times New Roman" w:hAnsi="Times New Roman" w:eastAsia="宋体"/>
          <w:b/>
          <w:color w:val="auto"/>
          <w:sz w:val="21"/>
          <w:szCs w:val="18"/>
        </w:rPr>
      </w:pPr>
      <w:r>
        <w:rPr>
          <w:rFonts w:ascii="Times New Roman" w:hAnsi="宋体" w:eastAsia="宋体"/>
          <w:b/>
          <w:color w:val="auto"/>
          <w:sz w:val="21"/>
          <w:szCs w:val="18"/>
        </w:rPr>
        <w:t>填表单位（盖章）：</w:t>
      </w:r>
      <w:r>
        <w:rPr>
          <w:rFonts w:hint="eastAsia" w:hAnsi="宋体"/>
          <w:b w:val="0"/>
          <w:bCs/>
          <w:color w:val="auto"/>
          <w:sz w:val="21"/>
          <w:szCs w:val="18"/>
          <w:lang w:eastAsia="zh-CN"/>
        </w:rPr>
        <w:t>舒城润昇门业</w:t>
      </w:r>
      <w:r>
        <w:rPr>
          <w:rFonts w:hint="eastAsia" w:ascii="Times New Roman" w:hAnsi="宋体" w:eastAsia="宋体"/>
          <w:b w:val="0"/>
          <w:bCs/>
          <w:color w:val="auto"/>
          <w:sz w:val="21"/>
          <w:szCs w:val="18"/>
          <w:lang w:eastAsia="zh-CN"/>
        </w:rPr>
        <w:t>有限公司</w:t>
      </w:r>
      <w:r>
        <w:rPr>
          <w:rFonts w:ascii="Times New Roman" w:hAnsi="Times New Roman" w:eastAsia="宋体"/>
          <w:b w:val="0"/>
          <w:bCs/>
          <w:color w:val="auto"/>
          <w:sz w:val="21"/>
          <w:szCs w:val="18"/>
        </w:rPr>
        <w:t xml:space="preserve"> </w:t>
      </w:r>
      <w:r>
        <w:rPr>
          <w:rFonts w:ascii="Times New Roman" w:hAnsi="Times New Roman" w:eastAsia="宋体"/>
          <w:b/>
          <w:color w:val="auto"/>
          <w:sz w:val="21"/>
          <w:szCs w:val="18"/>
        </w:rPr>
        <w:t xml:space="preserve">         </w:t>
      </w:r>
      <w:r>
        <w:rPr>
          <w:rFonts w:hint="eastAsia"/>
          <w:b/>
          <w:color w:val="auto"/>
          <w:sz w:val="21"/>
          <w:szCs w:val="18"/>
          <w:lang w:val="en-US" w:eastAsia="zh-CN"/>
        </w:rPr>
        <w:t xml:space="preserve">  </w:t>
      </w:r>
      <w:r>
        <w:rPr>
          <w:rFonts w:ascii="Times New Roman" w:hAnsi="Times New Roman" w:eastAsia="宋体"/>
          <w:b/>
          <w:color w:val="auto"/>
          <w:sz w:val="21"/>
          <w:szCs w:val="18"/>
        </w:rPr>
        <w:t xml:space="preserve">        </w:t>
      </w:r>
      <w:r>
        <w:rPr>
          <w:rFonts w:ascii="Times New Roman" w:hAnsi="宋体" w:eastAsia="宋体"/>
          <w:b/>
          <w:color w:val="auto"/>
          <w:sz w:val="21"/>
          <w:szCs w:val="18"/>
        </w:rPr>
        <w:t>填表人（签字）：</w:t>
      </w:r>
      <w:r>
        <w:rPr>
          <w:rFonts w:ascii="Times New Roman" w:hAnsi="Times New Roman" w:eastAsia="宋体"/>
          <w:b/>
          <w:color w:val="auto"/>
          <w:sz w:val="21"/>
          <w:szCs w:val="18"/>
        </w:rPr>
        <w:t xml:space="preserve">                         </w:t>
      </w:r>
      <w:r>
        <w:rPr>
          <w:rFonts w:ascii="Times New Roman" w:hAnsi="宋体" w:eastAsia="宋体"/>
          <w:b/>
          <w:color w:val="auto"/>
          <w:sz w:val="21"/>
          <w:szCs w:val="18"/>
        </w:rPr>
        <w:t>项目经办人（签字）：</w:t>
      </w:r>
    </w:p>
    <w:tbl>
      <w:tblPr>
        <w:tblStyle w:val="19"/>
        <w:tblW w:w="1597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356"/>
        <w:gridCol w:w="243"/>
        <w:gridCol w:w="1416"/>
        <w:gridCol w:w="328"/>
        <w:gridCol w:w="910"/>
        <w:gridCol w:w="1214"/>
        <w:gridCol w:w="438"/>
        <w:gridCol w:w="846"/>
        <w:gridCol w:w="293"/>
        <w:gridCol w:w="696"/>
        <w:gridCol w:w="766"/>
        <w:gridCol w:w="367"/>
        <w:gridCol w:w="463"/>
        <w:gridCol w:w="689"/>
        <w:gridCol w:w="1281"/>
        <w:gridCol w:w="506"/>
        <w:gridCol w:w="935"/>
        <w:gridCol w:w="1066"/>
        <w:gridCol w:w="1108"/>
        <w:gridCol w:w="1174"/>
        <w:gridCol w:w="881"/>
      </w:tblGrid>
      <w:tr w14:paraId="1BF337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03" w:hRule="atLeast"/>
          <w:jc w:val="center"/>
        </w:trPr>
        <w:tc>
          <w:tcPr>
            <w:tcW w:w="356" w:type="dxa"/>
            <w:vMerge w:val="restart"/>
            <w:shd w:val="clear" w:color="auto" w:fill="D9D9D9"/>
            <w:noWrap w:val="0"/>
            <w:tcMar>
              <w:left w:w="57" w:type="dxa"/>
              <w:right w:w="57" w:type="dxa"/>
            </w:tcMar>
            <w:textDirection w:val="tbRlV"/>
            <w:vAlign w:val="center"/>
          </w:tcPr>
          <w:p w14:paraId="6A64AE86">
            <w:pPr>
              <w:keepNext w:val="0"/>
              <w:keepLines w:val="0"/>
              <w:pageBreakBefore w:val="0"/>
              <w:widowControl/>
              <w:kinsoku/>
              <w:wordWrap w:val="0"/>
              <w:overflowPunct/>
              <w:topLinePunct/>
              <w:autoSpaceDE/>
              <w:autoSpaceDN/>
              <w:bidi w:val="0"/>
              <w:adjustRightInd w:val="0"/>
              <w:snapToGrid w:val="0"/>
              <w:spacing w:line="240" w:lineRule="auto"/>
              <w:ind w:left="113" w:right="113"/>
              <w:jc w:val="center"/>
              <w:rPr>
                <w:rFonts w:ascii="Times New Roman" w:hAnsi="Times New Roman" w:eastAsia="宋体"/>
                <w:b/>
                <w:color w:val="000000"/>
                <w:sz w:val="18"/>
                <w:szCs w:val="18"/>
              </w:rPr>
            </w:pPr>
            <w:r>
              <w:rPr>
                <w:rFonts w:ascii="Times New Roman" w:hAnsi="宋体" w:eastAsia="宋体"/>
                <w:b/>
                <w:color w:val="000000"/>
                <w:sz w:val="18"/>
                <w:szCs w:val="18"/>
              </w:rPr>
              <w:t>建设项目</w:t>
            </w:r>
          </w:p>
        </w:tc>
        <w:tc>
          <w:tcPr>
            <w:tcW w:w="1987" w:type="dxa"/>
            <w:gridSpan w:val="3"/>
            <w:shd w:val="clear" w:color="auto" w:fill="D9D9D9"/>
            <w:noWrap w:val="0"/>
            <w:tcMar>
              <w:left w:w="57" w:type="dxa"/>
              <w:right w:w="57" w:type="dxa"/>
            </w:tcMar>
            <w:vAlign w:val="center"/>
          </w:tcPr>
          <w:p w14:paraId="5EDB0D7D">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项目名称</w:t>
            </w:r>
          </w:p>
        </w:tc>
        <w:tc>
          <w:tcPr>
            <w:tcW w:w="3701" w:type="dxa"/>
            <w:gridSpan w:val="5"/>
            <w:shd w:val="clear" w:color="auto" w:fill="auto"/>
            <w:noWrap w:val="0"/>
            <w:tcMar>
              <w:left w:w="57" w:type="dxa"/>
              <w:right w:w="57" w:type="dxa"/>
            </w:tcMar>
            <w:vAlign w:val="center"/>
          </w:tcPr>
          <w:p w14:paraId="68EC7BA6">
            <w:pPr>
              <w:keepNext w:val="0"/>
              <w:keepLines w:val="0"/>
              <w:pageBreakBefore w:val="0"/>
              <w:widowControl/>
              <w:kinsoku/>
              <w:wordWrap/>
              <w:overflowPunct/>
              <w:topLinePunct/>
              <w:autoSpaceDE/>
              <w:autoSpaceDN/>
              <w:bidi w:val="0"/>
              <w:adjustRightInd w:val="0"/>
              <w:snapToGrid w:val="0"/>
              <w:spacing w:line="240" w:lineRule="auto"/>
              <w:jc w:val="center"/>
              <w:textAlignment w:val="auto"/>
              <w:rPr>
                <w:rFonts w:hint="default" w:ascii="Times New Roman" w:hAnsi="Times New Roman" w:eastAsia="宋体"/>
                <w:color w:val="000000"/>
                <w:sz w:val="18"/>
                <w:szCs w:val="18"/>
                <w:lang w:val="en-US" w:eastAsia="zh-CN"/>
              </w:rPr>
            </w:pPr>
            <w:r>
              <w:rPr>
                <w:rFonts w:hint="eastAsia" w:cs="Times New Roman" w:eastAsiaTheme="majorEastAsia"/>
                <w:color w:val="auto"/>
                <w:spacing w:val="0"/>
                <w:w w:val="100"/>
                <w:sz w:val="18"/>
                <w:szCs w:val="18"/>
                <w:lang w:val="en-US" w:eastAsia="zh-CN"/>
              </w:rPr>
              <w:t>钢制非标门加工制造项目</w:t>
            </w:r>
          </w:p>
        </w:tc>
        <w:tc>
          <w:tcPr>
            <w:tcW w:w="2292" w:type="dxa"/>
            <w:gridSpan w:val="4"/>
            <w:shd w:val="clear" w:color="auto" w:fill="D9D9D9"/>
            <w:noWrap w:val="0"/>
            <w:tcMar>
              <w:left w:w="57" w:type="dxa"/>
              <w:right w:w="57" w:type="dxa"/>
            </w:tcMar>
            <w:vAlign w:val="center"/>
          </w:tcPr>
          <w:p w14:paraId="679E03D3">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项目代码</w:t>
            </w:r>
          </w:p>
        </w:tc>
        <w:tc>
          <w:tcPr>
            <w:tcW w:w="2476" w:type="dxa"/>
            <w:gridSpan w:val="3"/>
            <w:shd w:val="clear" w:color="auto" w:fill="auto"/>
            <w:noWrap w:val="0"/>
            <w:tcMar>
              <w:left w:w="57" w:type="dxa"/>
              <w:right w:w="57" w:type="dxa"/>
            </w:tcMar>
            <w:vAlign w:val="center"/>
          </w:tcPr>
          <w:p w14:paraId="55FACF68">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olor w:val="000000"/>
                <w:sz w:val="18"/>
                <w:szCs w:val="18"/>
                <w:lang w:val="en-US" w:eastAsia="zh-CN"/>
              </w:rPr>
              <w:t>2110-341598-04-01-450104</w:t>
            </w:r>
          </w:p>
        </w:tc>
        <w:tc>
          <w:tcPr>
            <w:tcW w:w="2001" w:type="dxa"/>
            <w:gridSpan w:val="2"/>
            <w:shd w:val="clear" w:color="auto" w:fill="D9D9D9"/>
            <w:noWrap w:val="0"/>
            <w:tcMar>
              <w:left w:w="57" w:type="dxa"/>
              <w:right w:w="57" w:type="dxa"/>
            </w:tcMar>
            <w:vAlign w:val="center"/>
          </w:tcPr>
          <w:p w14:paraId="758ED16A">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建设地点</w:t>
            </w:r>
          </w:p>
        </w:tc>
        <w:tc>
          <w:tcPr>
            <w:tcW w:w="3163" w:type="dxa"/>
            <w:gridSpan w:val="3"/>
            <w:noWrap w:val="0"/>
            <w:tcMar>
              <w:left w:w="57" w:type="dxa"/>
              <w:right w:w="57" w:type="dxa"/>
            </w:tcMar>
            <w:vAlign w:val="center"/>
          </w:tcPr>
          <w:p w14:paraId="1C9517C5">
            <w:pPr>
              <w:keepNext w:val="0"/>
              <w:keepLines w:val="0"/>
              <w:pageBreakBefore w:val="0"/>
              <w:widowControl/>
              <w:kinsoku/>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default" w:ascii="Times New Roman" w:hAnsi="Times New Roman" w:cs="Times New Roman"/>
                <w:color w:val="auto"/>
                <w:sz w:val="18"/>
                <w:szCs w:val="18"/>
              </w:rPr>
              <w:t>舒城经济开发区纬三路万德产业园3号楼D座</w:t>
            </w:r>
            <w:r>
              <w:rPr>
                <w:rFonts w:hint="eastAsia"/>
                <w:color w:val="auto"/>
                <w:sz w:val="18"/>
                <w:szCs w:val="18"/>
                <w:lang w:val="en-US" w:eastAsia="zh-CN"/>
              </w:rPr>
              <w:t>1~3F及5号楼1F</w:t>
            </w:r>
          </w:p>
        </w:tc>
      </w:tr>
      <w:tr w14:paraId="2E19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441" w:hRule="atLeast"/>
          <w:jc w:val="center"/>
        </w:trPr>
        <w:tc>
          <w:tcPr>
            <w:tcW w:w="356" w:type="dxa"/>
            <w:vMerge w:val="continue"/>
            <w:shd w:val="clear" w:color="auto" w:fill="D9D9D9"/>
            <w:noWrap w:val="0"/>
            <w:tcMar>
              <w:left w:w="57" w:type="dxa"/>
              <w:right w:w="57" w:type="dxa"/>
            </w:tcMar>
            <w:vAlign w:val="center"/>
          </w:tcPr>
          <w:p w14:paraId="173B9B2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20C84E45">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宋体" w:eastAsia="宋体"/>
                <w:b/>
                <w:color w:val="000000"/>
                <w:sz w:val="18"/>
                <w:szCs w:val="18"/>
              </w:rPr>
            </w:pPr>
            <w:r>
              <w:rPr>
                <w:rFonts w:ascii="Times New Roman" w:hAnsi="宋体" w:eastAsia="宋体"/>
                <w:b/>
                <w:color w:val="000000"/>
                <w:sz w:val="18"/>
                <w:szCs w:val="18"/>
              </w:rPr>
              <w:t>行业类别</w:t>
            </w:r>
          </w:p>
          <w:p w14:paraId="1977E68C">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（分类管理名录）</w:t>
            </w:r>
          </w:p>
        </w:tc>
        <w:tc>
          <w:tcPr>
            <w:tcW w:w="3701" w:type="dxa"/>
            <w:gridSpan w:val="5"/>
            <w:shd w:val="clear" w:color="auto" w:fill="auto"/>
            <w:noWrap w:val="0"/>
            <w:tcMar>
              <w:left w:w="57" w:type="dxa"/>
              <w:right w:w="57" w:type="dxa"/>
            </w:tcMar>
            <w:vAlign w:val="center"/>
          </w:tcPr>
          <w:p w14:paraId="3D34AA70">
            <w:pPr>
              <w:keepNext w:val="0"/>
              <w:keepLines w:val="0"/>
              <w:pageBreakBefore w:val="0"/>
              <w:widowControl/>
              <w:kinsoku/>
              <w:overflowPunct/>
              <w:topLinePunct/>
              <w:autoSpaceDE/>
              <w:autoSpaceDN/>
              <w:bidi w:val="0"/>
              <w:adjustRightInd w:val="0"/>
              <w:snapToGrid w:val="0"/>
              <w:spacing w:line="240" w:lineRule="auto"/>
              <w:jc w:val="center"/>
              <w:rPr>
                <w:rFonts w:hint="eastAsia"/>
                <w:sz w:val="18"/>
                <w:szCs w:val="18"/>
                <w:lang w:val="en-US" w:eastAsia="zh-CN"/>
              </w:rPr>
            </w:pPr>
            <w:r>
              <w:rPr>
                <w:rFonts w:hint="eastAsia"/>
                <w:sz w:val="18"/>
                <w:szCs w:val="18"/>
              </w:rPr>
              <w:t>三十、金属制品业3</w:t>
            </w:r>
            <w:r>
              <w:rPr>
                <w:rFonts w:hint="eastAsia"/>
                <w:sz w:val="18"/>
                <w:szCs w:val="18"/>
                <w:lang w:val="en-US" w:eastAsia="zh-CN"/>
              </w:rPr>
              <w:t>3</w:t>
            </w:r>
          </w:p>
          <w:p w14:paraId="7CA3CE17">
            <w:pPr>
              <w:keepNext w:val="0"/>
              <w:keepLines w:val="0"/>
              <w:pageBreakBefore w:val="0"/>
              <w:widowControl/>
              <w:kinsoku/>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sz w:val="18"/>
                <w:szCs w:val="18"/>
              </w:rPr>
              <w:t>结构性金属制品制造331</w:t>
            </w:r>
          </w:p>
        </w:tc>
        <w:tc>
          <w:tcPr>
            <w:tcW w:w="2292" w:type="dxa"/>
            <w:gridSpan w:val="4"/>
            <w:shd w:val="clear" w:color="auto" w:fill="D9D9D9"/>
            <w:noWrap w:val="0"/>
            <w:tcMar>
              <w:left w:w="57" w:type="dxa"/>
              <w:right w:w="57" w:type="dxa"/>
            </w:tcMar>
            <w:vAlign w:val="center"/>
          </w:tcPr>
          <w:p w14:paraId="64A63925">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建设性质</w:t>
            </w:r>
          </w:p>
        </w:tc>
        <w:tc>
          <w:tcPr>
            <w:tcW w:w="2476" w:type="dxa"/>
            <w:gridSpan w:val="3"/>
            <w:shd w:val="clear" w:color="auto" w:fill="auto"/>
            <w:noWrap w:val="0"/>
            <w:tcMar>
              <w:left w:w="57" w:type="dxa"/>
              <w:right w:w="57" w:type="dxa"/>
            </w:tcMar>
            <w:vAlign w:val="center"/>
          </w:tcPr>
          <w:p w14:paraId="106A3768">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新建</w:t>
            </w:r>
            <w:r>
              <w:rPr>
                <w:rFonts w:hint="eastAsia" w:ascii="Times New Roman" w:hAnsi="Times New Roman" w:eastAsia="宋体" w:cs="Times New Roman"/>
                <w:color w:val="000000"/>
                <w:sz w:val="18"/>
                <w:szCs w:val="18"/>
                <w:lang w:eastAsia="zh-CN"/>
              </w:rPr>
              <w:sym w:font="Wingdings" w:char="00FE"/>
            </w:r>
            <w:r>
              <w:rPr>
                <w:rFonts w:hint="eastAsia" w:ascii="Times New Roman" w:hAnsi="Times New Roman" w:eastAsia="宋体" w:cs="Times New Roman"/>
                <w:color w:val="000000"/>
                <w:sz w:val="18"/>
                <w:szCs w:val="18"/>
                <w:lang w:eastAsia="zh-CN"/>
              </w:rPr>
              <w:t xml:space="preserve"> </w:t>
            </w:r>
            <w:r>
              <w:rPr>
                <w:rFonts w:hint="default" w:cs="Times New Roman"/>
                <w:color w:val="000000"/>
                <w:sz w:val="18"/>
                <w:szCs w:val="18"/>
                <w:lang w:eastAsia="zh-CN"/>
              </w:rPr>
              <w:t xml:space="preserve"> </w:t>
            </w:r>
            <w:r>
              <w:rPr>
                <w:rFonts w:hint="eastAsia" w:ascii="Times New Roman" w:hAnsi="Times New Roman" w:eastAsia="宋体" w:cs="Times New Roman"/>
                <w:color w:val="000000"/>
                <w:sz w:val="18"/>
                <w:szCs w:val="18"/>
                <w:lang w:eastAsia="zh-CN"/>
              </w:rPr>
              <w:t xml:space="preserve">  改扩建</w:t>
            </w:r>
            <w:r>
              <w:rPr>
                <w:rFonts w:hint="eastAsia" w:ascii="Times New Roman" w:hAnsi="Times New Roman" w:eastAsia="宋体" w:cs="Times New Roman"/>
                <w:color w:val="000000"/>
                <w:sz w:val="18"/>
                <w:szCs w:val="18"/>
                <w:lang w:eastAsia="zh-CN"/>
              </w:rPr>
              <w:sym w:font="Wingdings" w:char="00A8"/>
            </w:r>
          </w:p>
          <w:p w14:paraId="5CDF3E1B">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技改</w:t>
            </w:r>
            <w:r>
              <w:rPr>
                <w:rFonts w:hint="eastAsia" w:ascii="Times New Roman" w:hAnsi="Times New Roman" w:eastAsia="宋体" w:cs="Times New Roman"/>
                <w:color w:val="000000"/>
                <w:sz w:val="18"/>
                <w:szCs w:val="18"/>
                <w:lang w:eastAsia="zh-CN"/>
              </w:rPr>
              <w:sym w:font="Wingdings" w:char="F06F"/>
            </w:r>
            <w:r>
              <w:rPr>
                <w:rFonts w:hint="eastAsia" w:ascii="Times New Roman" w:hAnsi="Times New Roman" w:eastAsia="宋体" w:cs="Times New Roman"/>
                <w:color w:val="000000"/>
                <w:sz w:val="18"/>
                <w:szCs w:val="18"/>
                <w:lang w:eastAsia="zh-CN"/>
              </w:rPr>
              <w:t xml:space="preserve">  </w:t>
            </w:r>
            <w:r>
              <w:rPr>
                <w:rFonts w:hint="default" w:cs="Times New Roman"/>
                <w:color w:val="000000"/>
                <w:sz w:val="18"/>
                <w:szCs w:val="18"/>
                <w:lang w:eastAsia="zh-CN"/>
              </w:rPr>
              <w:t xml:space="preserve"> </w:t>
            </w:r>
            <w:r>
              <w:rPr>
                <w:rFonts w:hint="eastAsia" w:ascii="Times New Roman" w:hAnsi="Times New Roman" w:eastAsia="宋体" w:cs="Times New Roman"/>
                <w:color w:val="000000"/>
                <w:sz w:val="18"/>
                <w:szCs w:val="18"/>
                <w:lang w:eastAsia="zh-CN"/>
              </w:rPr>
              <w:t xml:space="preserve">   迁建</w:t>
            </w:r>
            <w:r>
              <w:rPr>
                <w:rFonts w:hint="eastAsia" w:ascii="Times New Roman" w:hAnsi="Times New Roman" w:eastAsia="宋体" w:cs="Times New Roman"/>
                <w:color w:val="000000"/>
                <w:sz w:val="18"/>
                <w:szCs w:val="18"/>
                <w:lang w:eastAsia="zh-CN"/>
              </w:rPr>
              <w:sym w:font="Wingdings" w:char="F06F"/>
            </w:r>
          </w:p>
        </w:tc>
        <w:tc>
          <w:tcPr>
            <w:tcW w:w="2001" w:type="dxa"/>
            <w:gridSpan w:val="2"/>
            <w:shd w:val="clear" w:color="auto" w:fill="D9D9D9"/>
            <w:noWrap w:val="0"/>
            <w:tcMar>
              <w:left w:w="57" w:type="dxa"/>
              <w:right w:w="57" w:type="dxa"/>
            </w:tcMar>
            <w:vAlign w:val="center"/>
          </w:tcPr>
          <w:p w14:paraId="6CA5AA33">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项目厂区中心经度</w:t>
            </w:r>
            <w:r>
              <w:rPr>
                <w:rFonts w:ascii="Times New Roman" w:hAnsi="Times New Roman" w:eastAsia="宋体"/>
                <w:b/>
                <w:bCs/>
                <w:color w:val="000000"/>
                <w:sz w:val="18"/>
                <w:szCs w:val="18"/>
              </w:rPr>
              <w:t>/</w:t>
            </w:r>
            <w:r>
              <w:rPr>
                <w:rFonts w:ascii="Times New Roman" w:hAnsi="宋体" w:eastAsia="宋体"/>
                <w:b/>
                <w:bCs/>
                <w:color w:val="000000"/>
                <w:sz w:val="18"/>
                <w:szCs w:val="18"/>
              </w:rPr>
              <w:t>纬度</w:t>
            </w:r>
          </w:p>
        </w:tc>
        <w:tc>
          <w:tcPr>
            <w:tcW w:w="3163" w:type="dxa"/>
            <w:gridSpan w:val="3"/>
            <w:noWrap w:val="0"/>
            <w:tcMar>
              <w:left w:w="57" w:type="dxa"/>
              <w:right w:w="57" w:type="dxa"/>
            </w:tcMar>
            <w:vAlign w:val="center"/>
          </w:tcPr>
          <w:p w14:paraId="33C6A35C">
            <w:pPr>
              <w:keepNext w:val="0"/>
              <w:keepLines w:val="0"/>
              <w:pageBreakBefore w:val="0"/>
              <w:widowControl/>
              <w:kinsoku/>
              <w:wordWrap w:val="0"/>
              <w:overflowPunct/>
              <w:topLinePunct/>
              <w:autoSpaceDE/>
              <w:autoSpaceDN/>
              <w:bidi w:val="0"/>
              <w:adjustRightInd w:val="0"/>
              <w:snapToGrid w:val="0"/>
              <w:spacing w:line="240" w:lineRule="auto"/>
              <w:jc w:val="center"/>
              <w:rPr>
                <w:sz w:val="18"/>
                <w:szCs w:val="18"/>
                <w:u w:val="none"/>
              </w:rPr>
            </w:pPr>
            <w:r>
              <w:rPr>
                <w:sz w:val="18"/>
                <w:szCs w:val="18"/>
                <w:u w:val="none"/>
              </w:rPr>
              <w:t>1</w:t>
            </w:r>
            <w:r>
              <w:rPr>
                <w:rFonts w:hint="eastAsia"/>
                <w:sz w:val="18"/>
                <w:szCs w:val="18"/>
                <w:u w:val="none"/>
              </w:rPr>
              <w:t>16度55分45.146秒</w:t>
            </w:r>
          </w:p>
          <w:p w14:paraId="7B619F4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sz w:val="18"/>
                <w:szCs w:val="18"/>
                <w:u w:val="none"/>
              </w:rPr>
              <w:t>31</w:t>
            </w:r>
            <w:r>
              <w:rPr>
                <w:rFonts w:hint="eastAsia"/>
                <w:sz w:val="18"/>
                <w:szCs w:val="18"/>
                <w:u w:val="none"/>
              </w:rPr>
              <w:t>度29分12.019秒</w:t>
            </w:r>
          </w:p>
        </w:tc>
      </w:tr>
      <w:tr w14:paraId="7BE57D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1A86FEE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76416BC4">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设计生产能力</w:t>
            </w:r>
          </w:p>
        </w:tc>
        <w:tc>
          <w:tcPr>
            <w:tcW w:w="3701" w:type="dxa"/>
            <w:gridSpan w:val="5"/>
            <w:shd w:val="clear" w:color="auto" w:fill="auto"/>
            <w:noWrap w:val="0"/>
            <w:tcMar>
              <w:left w:w="57" w:type="dxa"/>
              <w:right w:w="57" w:type="dxa"/>
            </w:tcMar>
            <w:vAlign w:val="center"/>
          </w:tcPr>
          <w:p w14:paraId="54183851">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color w:val="auto"/>
                <w:kern w:val="0"/>
                <w:sz w:val="18"/>
                <w:szCs w:val="18"/>
                <w:lang w:val="zh-CN"/>
              </w:rPr>
              <w:t>年产</w:t>
            </w:r>
            <w:r>
              <w:rPr>
                <w:rFonts w:hint="eastAsia"/>
                <w:color w:val="auto"/>
                <w:kern w:val="0"/>
                <w:sz w:val="18"/>
                <w:szCs w:val="18"/>
              </w:rPr>
              <w:t>10000樘</w:t>
            </w:r>
            <w:r>
              <w:rPr>
                <w:rFonts w:hint="eastAsia" w:eastAsia="新宋体"/>
                <w:color w:val="auto"/>
                <w:kern w:val="0"/>
                <w:sz w:val="18"/>
                <w:szCs w:val="18"/>
              </w:rPr>
              <w:t>钢制非标门</w:t>
            </w:r>
          </w:p>
        </w:tc>
        <w:tc>
          <w:tcPr>
            <w:tcW w:w="2292" w:type="dxa"/>
            <w:gridSpan w:val="4"/>
            <w:shd w:val="clear" w:color="auto" w:fill="D9D9D9"/>
            <w:noWrap w:val="0"/>
            <w:tcMar>
              <w:left w:w="57" w:type="dxa"/>
              <w:right w:w="57" w:type="dxa"/>
            </w:tcMar>
            <w:vAlign w:val="center"/>
          </w:tcPr>
          <w:p w14:paraId="5AA3D769">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实际生产能力</w:t>
            </w:r>
          </w:p>
        </w:tc>
        <w:tc>
          <w:tcPr>
            <w:tcW w:w="2476" w:type="dxa"/>
            <w:gridSpan w:val="3"/>
            <w:shd w:val="clear" w:color="auto" w:fill="auto"/>
            <w:noWrap w:val="0"/>
            <w:tcMar>
              <w:left w:w="57" w:type="dxa"/>
              <w:right w:w="57" w:type="dxa"/>
            </w:tcMar>
            <w:vAlign w:val="center"/>
          </w:tcPr>
          <w:p w14:paraId="4EBBD6D6">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color w:val="auto"/>
                <w:kern w:val="0"/>
                <w:sz w:val="18"/>
                <w:szCs w:val="18"/>
                <w:lang w:val="zh-CN"/>
              </w:rPr>
              <w:t>年产</w:t>
            </w:r>
            <w:r>
              <w:rPr>
                <w:rFonts w:hint="eastAsia"/>
                <w:color w:val="auto"/>
                <w:kern w:val="0"/>
                <w:sz w:val="18"/>
                <w:szCs w:val="18"/>
              </w:rPr>
              <w:t>10000樘</w:t>
            </w:r>
            <w:r>
              <w:rPr>
                <w:rFonts w:hint="eastAsia" w:eastAsia="新宋体"/>
                <w:color w:val="auto"/>
                <w:kern w:val="0"/>
                <w:sz w:val="18"/>
                <w:szCs w:val="18"/>
              </w:rPr>
              <w:t>钢制非标门</w:t>
            </w:r>
          </w:p>
        </w:tc>
        <w:tc>
          <w:tcPr>
            <w:tcW w:w="2001" w:type="dxa"/>
            <w:gridSpan w:val="2"/>
            <w:shd w:val="clear" w:color="auto" w:fill="D9D9D9"/>
            <w:noWrap w:val="0"/>
            <w:tcMar>
              <w:left w:w="57" w:type="dxa"/>
              <w:right w:w="57" w:type="dxa"/>
            </w:tcMar>
            <w:vAlign w:val="center"/>
          </w:tcPr>
          <w:p w14:paraId="1ECE2355">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环评单位</w:t>
            </w:r>
          </w:p>
        </w:tc>
        <w:tc>
          <w:tcPr>
            <w:tcW w:w="3163" w:type="dxa"/>
            <w:gridSpan w:val="3"/>
            <w:noWrap w:val="0"/>
            <w:tcMar>
              <w:left w:w="57" w:type="dxa"/>
              <w:right w:w="57" w:type="dxa"/>
            </w:tcMar>
            <w:vAlign w:val="center"/>
          </w:tcPr>
          <w:p w14:paraId="73896135">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安徽锦环环境科技有限公司</w:t>
            </w:r>
          </w:p>
        </w:tc>
      </w:tr>
      <w:tr w14:paraId="659C07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6497818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34B533F5">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环评文件审批机关</w:t>
            </w:r>
          </w:p>
        </w:tc>
        <w:tc>
          <w:tcPr>
            <w:tcW w:w="3701" w:type="dxa"/>
            <w:gridSpan w:val="5"/>
            <w:shd w:val="clear" w:color="auto" w:fill="auto"/>
            <w:noWrap w:val="0"/>
            <w:tcMar>
              <w:left w:w="57" w:type="dxa"/>
              <w:right w:w="57" w:type="dxa"/>
            </w:tcMar>
            <w:vAlign w:val="center"/>
          </w:tcPr>
          <w:p w14:paraId="639C9424">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六安市舒城县生态环境分局</w:t>
            </w:r>
          </w:p>
        </w:tc>
        <w:tc>
          <w:tcPr>
            <w:tcW w:w="2292" w:type="dxa"/>
            <w:gridSpan w:val="4"/>
            <w:shd w:val="clear" w:color="auto" w:fill="D9D9D9"/>
            <w:noWrap w:val="0"/>
            <w:tcMar>
              <w:left w:w="57" w:type="dxa"/>
              <w:right w:w="57" w:type="dxa"/>
            </w:tcMar>
            <w:vAlign w:val="center"/>
          </w:tcPr>
          <w:p w14:paraId="676BD8B3">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审批文号</w:t>
            </w:r>
          </w:p>
        </w:tc>
        <w:tc>
          <w:tcPr>
            <w:tcW w:w="2476" w:type="dxa"/>
            <w:gridSpan w:val="3"/>
            <w:shd w:val="clear" w:color="auto" w:fill="auto"/>
            <w:noWrap w:val="0"/>
            <w:tcMar>
              <w:left w:w="57" w:type="dxa"/>
              <w:right w:w="57" w:type="dxa"/>
            </w:tcMar>
            <w:vAlign w:val="center"/>
          </w:tcPr>
          <w:p w14:paraId="669B08AA">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eastAsia="zh-CN"/>
              </w:rPr>
              <w:t>舒环评</w:t>
            </w:r>
            <w:r>
              <w:rPr>
                <w:rFonts w:hint="eastAsia" w:cs="Times New Roman"/>
                <w:color w:val="000000"/>
                <w:sz w:val="18"/>
                <w:szCs w:val="18"/>
                <w:lang w:val="en-US" w:eastAsia="zh-CN"/>
              </w:rPr>
              <w:t>[2022]52号</w:t>
            </w:r>
          </w:p>
        </w:tc>
        <w:tc>
          <w:tcPr>
            <w:tcW w:w="2001" w:type="dxa"/>
            <w:gridSpan w:val="2"/>
            <w:shd w:val="clear" w:color="auto" w:fill="D9D9D9"/>
            <w:noWrap w:val="0"/>
            <w:tcMar>
              <w:left w:w="57" w:type="dxa"/>
              <w:right w:w="57" w:type="dxa"/>
            </w:tcMar>
            <w:vAlign w:val="center"/>
          </w:tcPr>
          <w:p w14:paraId="60966E78">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环评文件类型</w:t>
            </w:r>
          </w:p>
        </w:tc>
        <w:tc>
          <w:tcPr>
            <w:tcW w:w="3163" w:type="dxa"/>
            <w:gridSpan w:val="3"/>
            <w:noWrap w:val="0"/>
            <w:tcMar>
              <w:left w:w="57" w:type="dxa"/>
              <w:right w:w="57" w:type="dxa"/>
            </w:tcMar>
            <w:vAlign w:val="center"/>
          </w:tcPr>
          <w:p w14:paraId="5E544A82">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环境影响报告表</w:t>
            </w:r>
          </w:p>
        </w:tc>
      </w:tr>
      <w:tr w14:paraId="60A6F4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508C003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6DEA60D0">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开工日期</w:t>
            </w:r>
          </w:p>
        </w:tc>
        <w:tc>
          <w:tcPr>
            <w:tcW w:w="3701" w:type="dxa"/>
            <w:gridSpan w:val="5"/>
            <w:shd w:val="clear" w:color="auto" w:fill="auto"/>
            <w:noWrap w:val="0"/>
            <w:tcMar>
              <w:left w:w="57" w:type="dxa"/>
              <w:right w:w="57" w:type="dxa"/>
            </w:tcMar>
            <w:vAlign w:val="center"/>
          </w:tcPr>
          <w:p w14:paraId="4944437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2023年3月</w:t>
            </w:r>
          </w:p>
        </w:tc>
        <w:tc>
          <w:tcPr>
            <w:tcW w:w="2292" w:type="dxa"/>
            <w:gridSpan w:val="4"/>
            <w:shd w:val="clear" w:color="auto" w:fill="D9D9D9"/>
            <w:noWrap w:val="0"/>
            <w:tcMar>
              <w:left w:w="57" w:type="dxa"/>
              <w:right w:w="57" w:type="dxa"/>
            </w:tcMar>
            <w:vAlign w:val="center"/>
          </w:tcPr>
          <w:p w14:paraId="781DC6F4">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竣工日期</w:t>
            </w:r>
          </w:p>
        </w:tc>
        <w:tc>
          <w:tcPr>
            <w:tcW w:w="2476" w:type="dxa"/>
            <w:gridSpan w:val="3"/>
            <w:shd w:val="clear" w:color="auto" w:fill="auto"/>
            <w:noWrap w:val="0"/>
            <w:tcMar>
              <w:left w:w="57" w:type="dxa"/>
              <w:right w:w="57" w:type="dxa"/>
            </w:tcMar>
            <w:vAlign w:val="center"/>
          </w:tcPr>
          <w:p w14:paraId="1B74225B">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2024年3月</w:t>
            </w:r>
          </w:p>
        </w:tc>
        <w:tc>
          <w:tcPr>
            <w:tcW w:w="2001" w:type="dxa"/>
            <w:gridSpan w:val="2"/>
            <w:shd w:val="clear" w:color="auto" w:fill="D9D9D9"/>
            <w:noWrap w:val="0"/>
            <w:tcMar>
              <w:left w:w="57" w:type="dxa"/>
              <w:right w:w="57" w:type="dxa"/>
            </w:tcMar>
            <w:vAlign w:val="center"/>
          </w:tcPr>
          <w:p w14:paraId="102B77F2">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排污许可证申领时间</w:t>
            </w:r>
          </w:p>
        </w:tc>
        <w:tc>
          <w:tcPr>
            <w:tcW w:w="3163" w:type="dxa"/>
            <w:gridSpan w:val="3"/>
            <w:noWrap w:val="0"/>
            <w:tcMar>
              <w:left w:w="57" w:type="dxa"/>
              <w:right w:w="57" w:type="dxa"/>
            </w:tcMar>
            <w:vAlign w:val="center"/>
          </w:tcPr>
          <w:p w14:paraId="04E6742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2024年8月</w:t>
            </w:r>
          </w:p>
        </w:tc>
      </w:tr>
      <w:tr w14:paraId="31593A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1342ED6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36AE9810">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环保设施设计单位</w:t>
            </w:r>
          </w:p>
        </w:tc>
        <w:tc>
          <w:tcPr>
            <w:tcW w:w="3701" w:type="dxa"/>
            <w:gridSpan w:val="5"/>
            <w:shd w:val="clear" w:color="auto" w:fill="auto"/>
            <w:noWrap w:val="0"/>
            <w:tcMar>
              <w:left w:w="57" w:type="dxa"/>
              <w:right w:w="57" w:type="dxa"/>
            </w:tcMar>
            <w:vAlign w:val="center"/>
          </w:tcPr>
          <w:p w14:paraId="0EEC30F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w:t>
            </w:r>
          </w:p>
        </w:tc>
        <w:tc>
          <w:tcPr>
            <w:tcW w:w="2292" w:type="dxa"/>
            <w:gridSpan w:val="4"/>
            <w:shd w:val="clear" w:color="auto" w:fill="D9D9D9"/>
            <w:noWrap w:val="0"/>
            <w:tcMar>
              <w:left w:w="57" w:type="dxa"/>
              <w:right w:w="57" w:type="dxa"/>
            </w:tcMar>
            <w:vAlign w:val="center"/>
          </w:tcPr>
          <w:p w14:paraId="0BE59207">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环保设施施工单位</w:t>
            </w:r>
          </w:p>
        </w:tc>
        <w:tc>
          <w:tcPr>
            <w:tcW w:w="2476" w:type="dxa"/>
            <w:gridSpan w:val="3"/>
            <w:shd w:val="clear" w:color="auto" w:fill="auto"/>
            <w:noWrap w:val="0"/>
            <w:tcMar>
              <w:left w:w="57" w:type="dxa"/>
              <w:right w:w="57" w:type="dxa"/>
            </w:tcMar>
            <w:vAlign w:val="center"/>
          </w:tcPr>
          <w:p w14:paraId="5557F50D">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w:t>
            </w:r>
          </w:p>
        </w:tc>
        <w:tc>
          <w:tcPr>
            <w:tcW w:w="2001" w:type="dxa"/>
            <w:gridSpan w:val="2"/>
            <w:shd w:val="clear" w:color="auto" w:fill="D9D9D9"/>
            <w:noWrap w:val="0"/>
            <w:tcMar>
              <w:left w:w="57" w:type="dxa"/>
              <w:right w:w="57" w:type="dxa"/>
            </w:tcMar>
            <w:vAlign w:val="center"/>
          </w:tcPr>
          <w:p w14:paraId="3F237E2D">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rPr>
            </w:pPr>
            <w:r>
              <w:rPr>
                <w:rFonts w:ascii="Times New Roman" w:hAnsi="宋体" w:eastAsia="宋体"/>
                <w:b/>
                <w:bCs/>
                <w:color w:val="auto"/>
                <w:sz w:val="18"/>
                <w:szCs w:val="18"/>
              </w:rPr>
              <w:t>本工程排污许可证编号</w:t>
            </w:r>
          </w:p>
        </w:tc>
        <w:tc>
          <w:tcPr>
            <w:tcW w:w="3163" w:type="dxa"/>
            <w:gridSpan w:val="3"/>
            <w:noWrap w:val="0"/>
            <w:tcMar>
              <w:left w:w="57" w:type="dxa"/>
              <w:right w:w="57" w:type="dxa"/>
            </w:tcMar>
            <w:vAlign w:val="center"/>
          </w:tcPr>
          <w:p w14:paraId="322D51F7">
            <w:pPr>
              <w:pStyle w:val="26"/>
              <w:keepNext w:val="0"/>
              <w:keepLines w:val="0"/>
              <w:pageBreakBefore w:val="0"/>
              <w:widowControl/>
              <w:kinsoku/>
              <w:overflowPunct/>
              <w:topLinePunct/>
              <w:autoSpaceDE/>
              <w:autoSpaceDN/>
              <w:bidi w:val="0"/>
              <w:adjustRightInd w:val="0"/>
              <w:snapToGrid w:val="0"/>
              <w:spacing w:line="240" w:lineRule="auto"/>
              <w:jc w:val="center"/>
              <w:rPr>
                <w:rFonts w:hint="eastAsia" w:ascii="Times New Roman" w:hAnsi="Times New Roman" w:eastAsia="宋体" w:cs="Times New Roman"/>
                <w:color w:val="auto"/>
                <w:sz w:val="18"/>
                <w:szCs w:val="18"/>
                <w:lang w:eastAsia="zh-CN"/>
              </w:rPr>
            </w:pPr>
            <w:r>
              <w:rPr>
                <w:sz w:val="18"/>
                <w:szCs w:val="18"/>
                <w:lang w:val="en-US" w:eastAsia="zh-CN"/>
              </w:rPr>
              <w:t>91341523MA2NUU8R98001X</w:t>
            </w:r>
          </w:p>
        </w:tc>
      </w:tr>
      <w:tr w14:paraId="273B1C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2B90EB3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5DE07A9C">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验收单位</w:t>
            </w:r>
          </w:p>
        </w:tc>
        <w:tc>
          <w:tcPr>
            <w:tcW w:w="3701" w:type="dxa"/>
            <w:gridSpan w:val="5"/>
            <w:shd w:val="clear" w:color="auto" w:fill="auto"/>
            <w:noWrap w:val="0"/>
            <w:tcMar>
              <w:left w:w="57" w:type="dxa"/>
              <w:right w:w="57" w:type="dxa"/>
            </w:tcMar>
            <w:vAlign w:val="center"/>
          </w:tcPr>
          <w:p w14:paraId="092C312B">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安徽锦环环境科技有限公司</w:t>
            </w:r>
          </w:p>
        </w:tc>
        <w:tc>
          <w:tcPr>
            <w:tcW w:w="2292" w:type="dxa"/>
            <w:gridSpan w:val="4"/>
            <w:shd w:val="clear" w:color="auto" w:fill="D9D9D9"/>
            <w:noWrap w:val="0"/>
            <w:tcMar>
              <w:left w:w="57" w:type="dxa"/>
              <w:right w:w="57" w:type="dxa"/>
            </w:tcMar>
            <w:vAlign w:val="center"/>
          </w:tcPr>
          <w:p w14:paraId="3EC69173">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环保设施监测单位</w:t>
            </w:r>
          </w:p>
        </w:tc>
        <w:tc>
          <w:tcPr>
            <w:tcW w:w="2476" w:type="dxa"/>
            <w:gridSpan w:val="3"/>
            <w:shd w:val="clear" w:color="auto" w:fill="auto"/>
            <w:noWrap w:val="0"/>
            <w:tcMar>
              <w:left w:w="57" w:type="dxa"/>
              <w:right w:w="57" w:type="dxa"/>
            </w:tcMar>
            <w:vAlign w:val="center"/>
          </w:tcPr>
          <w:p w14:paraId="7C1B6AE3">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color w:val="auto"/>
                <w:sz w:val="18"/>
                <w:szCs w:val="18"/>
                <w:lang w:eastAsia="zh-CN"/>
              </w:rPr>
            </w:pPr>
            <w:r>
              <w:rPr>
                <w:rFonts w:hint="eastAsia"/>
                <w:color w:val="auto"/>
                <w:sz w:val="18"/>
                <w:szCs w:val="18"/>
                <w:lang w:eastAsia="zh-CN"/>
              </w:rPr>
              <w:t>安徽文竹环境科技有限公司</w:t>
            </w:r>
          </w:p>
        </w:tc>
        <w:tc>
          <w:tcPr>
            <w:tcW w:w="2001" w:type="dxa"/>
            <w:gridSpan w:val="2"/>
            <w:shd w:val="clear" w:color="auto" w:fill="D9D9D9"/>
            <w:noWrap w:val="0"/>
            <w:tcMar>
              <w:left w:w="57" w:type="dxa"/>
              <w:right w:w="57" w:type="dxa"/>
            </w:tcMar>
            <w:vAlign w:val="center"/>
          </w:tcPr>
          <w:p w14:paraId="51B2E56B">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rPr>
            </w:pPr>
            <w:r>
              <w:rPr>
                <w:rFonts w:ascii="Times New Roman" w:hAnsi="宋体" w:eastAsia="宋体"/>
                <w:b/>
                <w:bCs/>
                <w:color w:val="auto"/>
                <w:sz w:val="18"/>
                <w:szCs w:val="18"/>
              </w:rPr>
              <w:t>验收监测时工况</w:t>
            </w:r>
          </w:p>
        </w:tc>
        <w:tc>
          <w:tcPr>
            <w:tcW w:w="3163" w:type="dxa"/>
            <w:gridSpan w:val="3"/>
            <w:noWrap w:val="0"/>
            <w:tcMar>
              <w:left w:w="57" w:type="dxa"/>
              <w:right w:w="57" w:type="dxa"/>
            </w:tcMar>
            <w:vAlign w:val="center"/>
          </w:tcPr>
          <w:p w14:paraId="6E36EBD7">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auto"/>
                <w:sz w:val="18"/>
                <w:szCs w:val="18"/>
                <w:lang w:val="en-US" w:eastAsia="zh-CN"/>
              </w:rPr>
            </w:pPr>
            <w:r>
              <w:rPr>
                <w:rFonts w:hint="eastAsia"/>
                <w:color w:val="auto"/>
                <w:sz w:val="18"/>
                <w:szCs w:val="18"/>
                <w:lang w:eastAsia="zh-CN"/>
              </w:rPr>
              <w:t>≥</w:t>
            </w:r>
            <w:r>
              <w:rPr>
                <w:rFonts w:hint="eastAsia"/>
                <w:color w:val="auto"/>
                <w:sz w:val="18"/>
                <w:szCs w:val="18"/>
                <w:lang w:val="en-US" w:eastAsia="zh-CN"/>
              </w:rPr>
              <w:t>80%</w:t>
            </w:r>
          </w:p>
        </w:tc>
      </w:tr>
      <w:tr w14:paraId="1E38C1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1AAD1D1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05EAB654">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投资总概算（万元）</w:t>
            </w:r>
          </w:p>
        </w:tc>
        <w:tc>
          <w:tcPr>
            <w:tcW w:w="3701" w:type="dxa"/>
            <w:gridSpan w:val="5"/>
            <w:shd w:val="clear" w:color="auto" w:fill="auto"/>
            <w:noWrap w:val="0"/>
            <w:tcMar>
              <w:left w:w="57" w:type="dxa"/>
              <w:right w:w="57" w:type="dxa"/>
            </w:tcMar>
            <w:vAlign w:val="center"/>
          </w:tcPr>
          <w:p w14:paraId="5CAFD3A8">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1100</w:t>
            </w:r>
          </w:p>
        </w:tc>
        <w:tc>
          <w:tcPr>
            <w:tcW w:w="2292" w:type="dxa"/>
            <w:gridSpan w:val="4"/>
            <w:shd w:val="clear" w:color="auto" w:fill="D9D9D9"/>
            <w:noWrap w:val="0"/>
            <w:tcMar>
              <w:left w:w="57" w:type="dxa"/>
              <w:right w:w="57" w:type="dxa"/>
            </w:tcMar>
            <w:vAlign w:val="center"/>
          </w:tcPr>
          <w:p w14:paraId="43B787F6">
            <w:pPr>
              <w:keepNext w:val="0"/>
              <w:keepLines w:val="0"/>
              <w:pageBreakBefore w:val="0"/>
              <w:widowControl/>
              <w:tabs>
                <w:tab w:val="left" w:pos="690"/>
              </w:tabs>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环保投资总概算（万元）</w:t>
            </w:r>
          </w:p>
        </w:tc>
        <w:tc>
          <w:tcPr>
            <w:tcW w:w="2476" w:type="dxa"/>
            <w:gridSpan w:val="3"/>
            <w:shd w:val="clear" w:color="auto" w:fill="auto"/>
            <w:noWrap w:val="0"/>
            <w:tcMar>
              <w:left w:w="57" w:type="dxa"/>
              <w:right w:w="57" w:type="dxa"/>
            </w:tcMar>
            <w:vAlign w:val="center"/>
          </w:tcPr>
          <w:p w14:paraId="4D3ECA66">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80</w:t>
            </w:r>
          </w:p>
        </w:tc>
        <w:tc>
          <w:tcPr>
            <w:tcW w:w="2001" w:type="dxa"/>
            <w:gridSpan w:val="2"/>
            <w:shd w:val="clear" w:color="auto" w:fill="D9D9D9"/>
            <w:noWrap w:val="0"/>
            <w:tcMar>
              <w:left w:w="57" w:type="dxa"/>
              <w:right w:w="57" w:type="dxa"/>
            </w:tcMar>
            <w:vAlign w:val="center"/>
          </w:tcPr>
          <w:p w14:paraId="7DFA531F">
            <w:pPr>
              <w:keepNext w:val="0"/>
              <w:keepLines w:val="0"/>
              <w:pageBreakBefore w:val="0"/>
              <w:widowControl/>
              <w:tabs>
                <w:tab w:val="left" w:pos="690"/>
              </w:tabs>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rPr>
            </w:pPr>
            <w:r>
              <w:rPr>
                <w:rFonts w:ascii="Times New Roman" w:hAnsi="宋体" w:eastAsia="宋体"/>
                <w:b/>
                <w:bCs/>
                <w:color w:val="auto"/>
                <w:sz w:val="18"/>
                <w:szCs w:val="18"/>
              </w:rPr>
              <w:t>所占比例（</w:t>
            </w:r>
            <w:r>
              <w:rPr>
                <w:rFonts w:ascii="Times New Roman" w:hAnsi="Times New Roman" w:eastAsia="宋体"/>
                <w:b/>
                <w:bCs/>
                <w:color w:val="auto"/>
                <w:sz w:val="18"/>
                <w:szCs w:val="18"/>
              </w:rPr>
              <w:t>%</w:t>
            </w:r>
            <w:r>
              <w:rPr>
                <w:rFonts w:ascii="Times New Roman" w:hAnsi="宋体" w:eastAsia="宋体"/>
                <w:b/>
                <w:bCs/>
                <w:color w:val="auto"/>
                <w:sz w:val="18"/>
                <w:szCs w:val="18"/>
              </w:rPr>
              <w:t>）</w:t>
            </w:r>
          </w:p>
        </w:tc>
        <w:tc>
          <w:tcPr>
            <w:tcW w:w="3163" w:type="dxa"/>
            <w:gridSpan w:val="3"/>
            <w:noWrap w:val="0"/>
            <w:tcMar>
              <w:left w:w="57" w:type="dxa"/>
              <w:right w:w="57" w:type="dxa"/>
            </w:tcMar>
            <w:vAlign w:val="center"/>
          </w:tcPr>
          <w:p w14:paraId="0AE3E1B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7.3</w:t>
            </w:r>
          </w:p>
        </w:tc>
      </w:tr>
      <w:tr w14:paraId="340B47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34E4414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1ED399CD">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highlight w:val="none"/>
              </w:rPr>
            </w:pPr>
            <w:r>
              <w:rPr>
                <w:rFonts w:ascii="Times New Roman" w:hAnsi="宋体" w:eastAsia="宋体"/>
                <w:b/>
                <w:color w:val="000000"/>
                <w:sz w:val="18"/>
                <w:szCs w:val="18"/>
                <w:highlight w:val="none"/>
              </w:rPr>
              <w:t>实际总投资</w:t>
            </w:r>
          </w:p>
        </w:tc>
        <w:tc>
          <w:tcPr>
            <w:tcW w:w="3701" w:type="dxa"/>
            <w:gridSpan w:val="5"/>
            <w:shd w:val="clear" w:color="auto" w:fill="auto"/>
            <w:noWrap w:val="0"/>
            <w:tcMar>
              <w:left w:w="57" w:type="dxa"/>
              <w:right w:w="57" w:type="dxa"/>
            </w:tcMar>
            <w:vAlign w:val="center"/>
          </w:tcPr>
          <w:p w14:paraId="0B4DC79E">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998</w:t>
            </w:r>
          </w:p>
        </w:tc>
        <w:tc>
          <w:tcPr>
            <w:tcW w:w="2292" w:type="dxa"/>
            <w:gridSpan w:val="4"/>
            <w:shd w:val="clear" w:color="auto" w:fill="D9D9D9"/>
            <w:noWrap w:val="0"/>
            <w:tcMar>
              <w:left w:w="57" w:type="dxa"/>
              <w:right w:w="57" w:type="dxa"/>
            </w:tcMar>
            <w:vAlign w:val="center"/>
          </w:tcPr>
          <w:p w14:paraId="730DA522">
            <w:pPr>
              <w:keepNext w:val="0"/>
              <w:keepLines w:val="0"/>
              <w:pageBreakBefore w:val="0"/>
              <w:widowControl/>
              <w:kinsoku/>
              <w:wordWrap w:val="0"/>
              <w:overflowPunct/>
              <w:topLinePunct/>
              <w:autoSpaceDE/>
              <w:autoSpaceDN/>
              <w:bidi w:val="0"/>
              <w:adjustRightInd w:val="0"/>
              <w:snapToGrid w:val="0"/>
              <w:spacing w:line="240" w:lineRule="auto"/>
              <w:ind w:right="0"/>
              <w:jc w:val="distribute"/>
              <w:textAlignment w:val="auto"/>
              <w:rPr>
                <w:rFonts w:hint="eastAsia" w:ascii="Times New Roman" w:hAnsi="Times New Roman" w:eastAsia="宋体"/>
                <w:b/>
                <w:color w:val="000000"/>
                <w:sz w:val="18"/>
                <w:szCs w:val="18"/>
                <w:highlight w:val="none"/>
                <w:lang w:eastAsia="zh-CN"/>
              </w:rPr>
            </w:pPr>
            <w:r>
              <w:rPr>
                <w:rFonts w:ascii="Times New Roman" w:hAnsi="宋体" w:eastAsia="宋体"/>
                <w:b/>
                <w:color w:val="000000"/>
                <w:sz w:val="18"/>
                <w:szCs w:val="18"/>
                <w:highlight w:val="none"/>
              </w:rPr>
              <w:t>实际环保投资</w:t>
            </w:r>
            <w:r>
              <w:rPr>
                <w:rFonts w:hint="eastAsia" w:hAnsi="宋体"/>
                <w:b/>
                <w:color w:val="000000"/>
                <w:sz w:val="18"/>
                <w:szCs w:val="18"/>
                <w:highlight w:val="none"/>
                <w:lang w:val="en-US" w:eastAsia="zh-CN"/>
              </w:rPr>
              <w:t>(</w:t>
            </w:r>
            <w:r>
              <w:rPr>
                <w:rFonts w:hint="eastAsia" w:hAnsi="宋体"/>
                <w:b/>
                <w:color w:val="000000"/>
                <w:sz w:val="18"/>
                <w:szCs w:val="18"/>
                <w:highlight w:val="none"/>
                <w:lang w:eastAsia="zh-CN"/>
              </w:rPr>
              <w:t>万元</w:t>
            </w:r>
            <w:r>
              <w:rPr>
                <w:rFonts w:hint="eastAsia" w:hAnsi="宋体"/>
                <w:b/>
                <w:color w:val="000000"/>
                <w:sz w:val="18"/>
                <w:szCs w:val="18"/>
                <w:highlight w:val="none"/>
                <w:lang w:val="en-US" w:eastAsia="zh-CN"/>
              </w:rPr>
              <w:t>)</w:t>
            </w:r>
          </w:p>
        </w:tc>
        <w:tc>
          <w:tcPr>
            <w:tcW w:w="2476" w:type="dxa"/>
            <w:gridSpan w:val="3"/>
            <w:shd w:val="clear" w:color="auto" w:fill="auto"/>
            <w:noWrap w:val="0"/>
            <w:tcMar>
              <w:left w:w="57" w:type="dxa"/>
              <w:right w:w="57" w:type="dxa"/>
            </w:tcMar>
            <w:vAlign w:val="center"/>
          </w:tcPr>
          <w:p w14:paraId="3EAA80DF">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55</w:t>
            </w:r>
          </w:p>
        </w:tc>
        <w:tc>
          <w:tcPr>
            <w:tcW w:w="2001" w:type="dxa"/>
            <w:gridSpan w:val="2"/>
            <w:shd w:val="clear" w:color="auto" w:fill="D9D9D9"/>
            <w:noWrap w:val="0"/>
            <w:tcMar>
              <w:left w:w="57" w:type="dxa"/>
              <w:right w:w="57" w:type="dxa"/>
            </w:tcMar>
            <w:vAlign w:val="center"/>
          </w:tcPr>
          <w:p w14:paraId="60BDEE2B">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highlight w:val="none"/>
              </w:rPr>
            </w:pPr>
            <w:r>
              <w:rPr>
                <w:rFonts w:ascii="Times New Roman" w:hAnsi="宋体" w:eastAsia="宋体"/>
                <w:b/>
                <w:bCs/>
                <w:color w:val="auto"/>
                <w:sz w:val="18"/>
                <w:szCs w:val="18"/>
                <w:highlight w:val="none"/>
              </w:rPr>
              <w:t>所占比例（</w:t>
            </w:r>
            <w:r>
              <w:rPr>
                <w:rFonts w:ascii="Times New Roman" w:hAnsi="Times New Roman" w:eastAsia="宋体"/>
                <w:b/>
                <w:bCs/>
                <w:color w:val="auto"/>
                <w:sz w:val="18"/>
                <w:szCs w:val="18"/>
                <w:highlight w:val="none"/>
              </w:rPr>
              <w:t>%</w:t>
            </w:r>
            <w:r>
              <w:rPr>
                <w:rFonts w:ascii="Times New Roman" w:hAnsi="宋体" w:eastAsia="宋体"/>
                <w:b/>
                <w:bCs/>
                <w:color w:val="auto"/>
                <w:sz w:val="18"/>
                <w:szCs w:val="18"/>
                <w:highlight w:val="none"/>
              </w:rPr>
              <w:t>）</w:t>
            </w:r>
          </w:p>
        </w:tc>
        <w:tc>
          <w:tcPr>
            <w:tcW w:w="3163" w:type="dxa"/>
            <w:gridSpan w:val="3"/>
            <w:noWrap w:val="0"/>
            <w:tcMar>
              <w:left w:w="57" w:type="dxa"/>
              <w:right w:w="57" w:type="dxa"/>
            </w:tcMar>
            <w:vAlign w:val="center"/>
          </w:tcPr>
          <w:p w14:paraId="6E613128">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5.5</w:t>
            </w:r>
          </w:p>
        </w:tc>
      </w:tr>
      <w:tr w14:paraId="68131B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356" w:type="dxa"/>
            <w:vMerge w:val="continue"/>
            <w:shd w:val="clear" w:color="auto" w:fill="D9D9D9"/>
            <w:noWrap w:val="0"/>
            <w:tcMar>
              <w:left w:w="57" w:type="dxa"/>
              <w:right w:w="57" w:type="dxa"/>
            </w:tcMar>
            <w:vAlign w:val="center"/>
          </w:tcPr>
          <w:p w14:paraId="46171BE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6437FDEB">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highlight w:val="none"/>
              </w:rPr>
            </w:pPr>
            <w:r>
              <w:rPr>
                <w:rFonts w:ascii="Times New Roman" w:hAnsi="宋体" w:eastAsia="宋体"/>
                <w:b/>
                <w:color w:val="000000"/>
                <w:sz w:val="18"/>
                <w:szCs w:val="18"/>
                <w:highlight w:val="none"/>
              </w:rPr>
              <w:t>废水治理（万元）</w:t>
            </w:r>
          </w:p>
        </w:tc>
        <w:tc>
          <w:tcPr>
            <w:tcW w:w="910" w:type="dxa"/>
            <w:shd w:val="clear" w:color="auto" w:fill="auto"/>
            <w:noWrap w:val="0"/>
            <w:tcMar>
              <w:left w:w="57" w:type="dxa"/>
              <w:right w:w="57" w:type="dxa"/>
            </w:tcMar>
            <w:vAlign w:val="center"/>
          </w:tcPr>
          <w:p w14:paraId="38BE351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highlight w:val="none"/>
                <w:lang w:val="en-US" w:eastAsia="zh-CN"/>
              </w:rPr>
            </w:pPr>
            <w:r>
              <w:rPr>
                <w:rFonts w:hint="eastAsia"/>
                <w:color w:val="000000"/>
                <w:sz w:val="18"/>
                <w:szCs w:val="18"/>
                <w:highlight w:val="none"/>
                <w:lang w:val="en-US" w:eastAsia="zh-CN"/>
              </w:rPr>
              <w:t>22</w:t>
            </w:r>
          </w:p>
        </w:tc>
        <w:tc>
          <w:tcPr>
            <w:tcW w:w="1652" w:type="dxa"/>
            <w:gridSpan w:val="2"/>
            <w:shd w:val="clear" w:color="auto" w:fill="D9D9D9"/>
            <w:noWrap w:val="0"/>
            <w:tcMar>
              <w:left w:w="57" w:type="dxa"/>
              <w:right w:w="57" w:type="dxa"/>
            </w:tcMar>
            <w:vAlign w:val="center"/>
          </w:tcPr>
          <w:p w14:paraId="52AA550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highlight w:val="none"/>
              </w:rPr>
            </w:pPr>
            <w:r>
              <w:rPr>
                <w:rFonts w:ascii="Times New Roman" w:hAnsi="宋体" w:eastAsia="宋体"/>
                <w:b/>
                <w:color w:val="000000"/>
                <w:sz w:val="18"/>
                <w:szCs w:val="18"/>
                <w:highlight w:val="none"/>
              </w:rPr>
              <w:t>废气治理（万元）</w:t>
            </w:r>
          </w:p>
        </w:tc>
        <w:tc>
          <w:tcPr>
            <w:tcW w:w="1139" w:type="dxa"/>
            <w:gridSpan w:val="2"/>
            <w:shd w:val="clear" w:color="auto" w:fill="auto"/>
            <w:noWrap w:val="0"/>
            <w:tcMar>
              <w:left w:w="57" w:type="dxa"/>
              <w:right w:w="57" w:type="dxa"/>
            </w:tcMar>
            <w:vAlign w:val="center"/>
          </w:tcPr>
          <w:p w14:paraId="278F2D9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color w:val="000000"/>
                <w:sz w:val="18"/>
                <w:szCs w:val="18"/>
                <w:lang w:val="en-US" w:eastAsia="zh-CN"/>
              </w:rPr>
            </w:pPr>
            <w:r>
              <w:rPr>
                <w:rFonts w:hint="eastAsia"/>
                <w:color w:val="000000"/>
                <w:sz w:val="18"/>
                <w:szCs w:val="18"/>
                <w:lang w:val="en-US" w:eastAsia="zh-CN"/>
              </w:rPr>
              <w:t>28</w:t>
            </w:r>
          </w:p>
        </w:tc>
        <w:tc>
          <w:tcPr>
            <w:tcW w:w="1462" w:type="dxa"/>
            <w:gridSpan w:val="2"/>
            <w:shd w:val="clear" w:color="auto" w:fill="D9D9D9"/>
            <w:noWrap w:val="0"/>
            <w:tcMar>
              <w:left w:w="57" w:type="dxa"/>
              <w:right w:w="57" w:type="dxa"/>
            </w:tcMar>
            <w:vAlign w:val="center"/>
          </w:tcPr>
          <w:p w14:paraId="6A7D4C8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FF0000"/>
                <w:sz w:val="18"/>
                <w:szCs w:val="18"/>
                <w:highlight w:val="none"/>
              </w:rPr>
            </w:pPr>
            <w:r>
              <w:rPr>
                <w:rFonts w:ascii="Times New Roman" w:hAnsi="宋体" w:eastAsia="宋体"/>
                <w:b/>
                <w:color w:val="000000"/>
                <w:sz w:val="18"/>
                <w:szCs w:val="18"/>
                <w:highlight w:val="none"/>
              </w:rPr>
              <w:t>噪声治理（万元）</w:t>
            </w:r>
          </w:p>
        </w:tc>
        <w:tc>
          <w:tcPr>
            <w:tcW w:w="830" w:type="dxa"/>
            <w:gridSpan w:val="2"/>
            <w:shd w:val="clear" w:color="auto" w:fill="auto"/>
            <w:noWrap w:val="0"/>
            <w:tcMar>
              <w:left w:w="57" w:type="dxa"/>
              <w:right w:w="57" w:type="dxa"/>
            </w:tcMar>
            <w:vAlign w:val="center"/>
          </w:tcPr>
          <w:p w14:paraId="5E284116">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highlight w:val="none"/>
                <w:lang w:val="en-US" w:eastAsia="zh-CN"/>
              </w:rPr>
            </w:pPr>
            <w:r>
              <w:rPr>
                <w:rFonts w:hint="eastAsia"/>
                <w:color w:val="000000"/>
                <w:sz w:val="18"/>
                <w:szCs w:val="18"/>
                <w:highlight w:val="none"/>
                <w:lang w:val="en-US" w:eastAsia="zh-CN"/>
              </w:rPr>
              <w:t>3</w:t>
            </w:r>
          </w:p>
        </w:tc>
        <w:tc>
          <w:tcPr>
            <w:tcW w:w="1970" w:type="dxa"/>
            <w:gridSpan w:val="2"/>
            <w:shd w:val="clear" w:color="auto" w:fill="D9D9D9"/>
            <w:noWrap w:val="0"/>
            <w:tcMar>
              <w:left w:w="57" w:type="dxa"/>
              <w:right w:w="57" w:type="dxa"/>
            </w:tcMar>
            <w:vAlign w:val="center"/>
          </w:tcPr>
          <w:p w14:paraId="05D7379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auto"/>
                <w:sz w:val="18"/>
                <w:szCs w:val="18"/>
                <w:highlight w:val="none"/>
              </w:rPr>
            </w:pPr>
            <w:r>
              <w:rPr>
                <w:rFonts w:ascii="Times New Roman" w:hAnsi="宋体" w:eastAsia="宋体"/>
                <w:b/>
                <w:color w:val="auto"/>
                <w:sz w:val="18"/>
                <w:szCs w:val="18"/>
                <w:highlight w:val="none"/>
              </w:rPr>
              <w:t>固体废物治理（万元）</w:t>
            </w:r>
          </w:p>
        </w:tc>
        <w:tc>
          <w:tcPr>
            <w:tcW w:w="506" w:type="dxa"/>
            <w:shd w:val="clear" w:color="auto" w:fill="auto"/>
            <w:noWrap w:val="0"/>
            <w:tcMar>
              <w:left w:w="57" w:type="dxa"/>
              <w:right w:w="57" w:type="dxa"/>
            </w:tcMar>
            <w:vAlign w:val="center"/>
          </w:tcPr>
          <w:p w14:paraId="6826FB54">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auto"/>
                <w:sz w:val="18"/>
                <w:szCs w:val="18"/>
                <w:highlight w:val="none"/>
                <w:lang w:val="en-US" w:eastAsia="zh-CN"/>
              </w:rPr>
            </w:pPr>
            <w:r>
              <w:rPr>
                <w:rFonts w:hint="eastAsia"/>
                <w:color w:val="auto"/>
                <w:sz w:val="18"/>
                <w:szCs w:val="18"/>
                <w:highlight w:val="none"/>
                <w:lang w:val="en-US" w:eastAsia="zh-CN"/>
              </w:rPr>
              <w:t>2</w:t>
            </w:r>
          </w:p>
        </w:tc>
        <w:tc>
          <w:tcPr>
            <w:tcW w:w="2001" w:type="dxa"/>
            <w:gridSpan w:val="2"/>
            <w:shd w:val="clear" w:color="auto" w:fill="D9D9D9"/>
            <w:noWrap w:val="0"/>
            <w:tcMar>
              <w:left w:w="57" w:type="dxa"/>
              <w:right w:w="57" w:type="dxa"/>
            </w:tcMar>
            <w:vAlign w:val="center"/>
          </w:tcPr>
          <w:p w14:paraId="533B3F2B">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highlight w:val="none"/>
              </w:rPr>
            </w:pPr>
            <w:r>
              <w:rPr>
                <w:rFonts w:ascii="Times New Roman" w:hAnsi="宋体" w:eastAsia="宋体"/>
                <w:b/>
                <w:bCs/>
                <w:color w:val="auto"/>
                <w:sz w:val="18"/>
                <w:szCs w:val="18"/>
                <w:highlight w:val="none"/>
              </w:rPr>
              <w:t>绿化及生态（万元）</w:t>
            </w:r>
          </w:p>
        </w:tc>
        <w:tc>
          <w:tcPr>
            <w:tcW w:w="1108" w:type="dxa"/>
            <w:noWrap w:val="0"/>
            <w:tcMar>
              <w:left w:w="57" w:type="dxa"/>
              <w:right w:w="57" w:type="dxa"/>
            </w:tcMar>
            <w:vAlign w:val="center"/>
          </w:tcPr>
          <w:p w14:paraId="3D0C9B9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auto"/>
                <w:sz w:val="18"/>
                <w:szCs w:val="18"/>
                <w:highlight w:val="none"/>
              </w:rPr>
            </w:pPr>
            <w:r>
              <w:rPr>
                <w:rFonts w:ascii="Times New Roman" w:hAnsi="Times New Roman" w:eastAsia="宋体"/>
                <w:color w:val="auto"/>
                <w:sz w:val="18"/>
                <w:szCs w:val="18"/>
                <w:highlight w:val="none"/>
              </w:rPr>
              <w:t>/</w:t>
            </w:r>
          </w:p>
        </w:tc>
        <w:tc>
          <w:tcPr>
            <w:tcW w:w="1174" w:type="dxa"/>
            <w:noWrap w:val="0"/>
            <w:tcMar>
              <w:left w:w="57" w:type="dxa"/>
              <w:right w:w="57" w:type="dxa"/>
            </w:tcMar>
            <w:vAlign w:val="center"/>
          </w:tcPr>
          <w:p w14:paraId="3CEC86E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auto"/>
                <w:sz w:val="18"/>
                <w:szCs w:val="18"/>
                <w:highlight w:val="none"/>
              </w:rPr>
            </w:pPr>
            <w:r>
              <w:rPr>
                <w:rFonts w:ascii="Times New Roman" w:hAnsi="宋体" w:eastAsia="宋体"/>
                <w:b/>
                <w:color w:val="auto"/>
                <w:sz w:val="18"/>
                <w:szCs w:val="18"/>
                <w:highlight w:val="none"/>
              </w:rPr>
              <w:t>其他（万元）</w:t>
            </w:r>
          </w:p>
        </w:tc>
        <w:tc>
          <w:tcPr>
            <w:tcW w:w="881" w:type="dxa"/>
            <w:noWrap w:val="0"/>
            <w:tcMar>
              <w:left w:w="57" w:type="dxa"/>
              <w:right w:w="57" w:type="dxa"/>
            </w:tcMar>
            <w:vAlign w:val="center"/>
          </w:tcPr>
          <w:p w14:paraId="19D6295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highlight w:val="none"/>
                <w:lang w:val="en-US" w:eastAsia="zh-CN"/>
              </w:rPr>
            </w:pPr>
            <w:r>
              <w:rPr>
                <w:rFonts w:hint="eastAsia" w:ascii="Times New Roman" w:hAnsi="Times New Roman" w:eastAsia="宋体"/>
                <w:color w:val="000000"/>
                <w:sz w:val="18"/>
                <w:szCs w:val="18"/>
                <w:highlight w:val="none"/>
                <w:lang w:val="en-US" w:eastAsia="zh-CN"/>
              </w:rPr>
              <w:t>/</w:t>
            </w:r>
          </w:p>
        </w:tc>
      </w:tr>
      <w:tr w14:paraId="5D9653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83" w:hRule="atLeast"/>
          <w:jc w:val="center"/>
        </w:trPr>
        <w:tc>
          <w:tcPr>
            <w:tcW w:w="356" w:type="dxa"/>
            <w:vMerge w:val="continue"/>
            <w:shd w:val="clear" w:color="auto" w:fill="D9D9D9"/>
            <w:noWrap w:val="0"/>
            <w:tcMar>
              <w:left w:w="57" w:type="dxa"/>
              <w:right w:w="57" w:type="dxa"/>
            </w:tcMar>
            <w:vAlign w:val="center"/>
          </w:tcPr>
          <w:p w14:paraId="3B4392F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7" w:type="dxa"/>
            <w:gridSpan w:val="3"/>
            <w:shd w:val="clear" w:color="auto" w:fill="D9D9D9"/>
            <w:noWrap w:val="0"/>
            <w:tcMar>
              <w:left w:w="57" w:type="dxa"/>
              <w:right w:w="57" w:type="dxa"/>
            </w:tcMar>
            <w:vAlign w:val="center"/>
          </w:tcPr>
          <w:p w14:paraId="5A3304DA">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新增废水处理设施能力</w:t>
            </w:r>
          </w:p>
        </w:tc>
        <w:tc>
          <w:tcPr>
            <w:tcW w:w="3701" w:type="dxa"/>
            <w:gridSpan w:val="5"/>
            <w:shd w:val="clear" w:color="auto" w:fill="auto"/>
            <w:noWrap w:val="0"/>
            <w:tcMar>
              <w:left w:w="57" w:type="dxa"/>
              <w:right w:w="57" w:type="dxa"/>
            </w:tcMar>
            <w:vAlign w:val="center"/>
          </w:tcPr>
          <w:p w14:paraId="5FF082F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292" w:type="dxa"/>
            <w:gridSpan w:val="4"/>
            <w:shd w:val="clear" w:color="auto" w:fill="D9D9D9"/>
            <w:noWrap w:val="0"/>
            <w:tcMar>
              <w:left w:w="57" w:type="dxa"/>
              <w:right w:w="57" w:type="dxa"/>
            </w:tcMar>
            <w:vAlign w:val="center"/>
          </w:tcPr>
          <w:p w14:paraId="0737D6F8">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新增废气处理设施能力</w:t>
            </w:r>
          </w:p>
        </w:tc>
        <w:tc>
          <w:tcPr>
            <w:tcW w:w="2476" w:type="dxa"/>
            <w:gridSpan w:val="3"/>
            <w:shd w:val="clear" w:color="auto" w:fill="auto"/>
            <w:noWrap w:val="0"/>
            <w:tcMar>
              <w:left w:w="57" w:type="dxa"/>
              <w:right w:w="57" w:type="dxa"/>
            </w:tcMar>
            <w:vAlign w:val="center"/>
          </w:tcPr>
          <w:p w14:paraId="135811E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c>
          <w:tcPr>
            <w:tcW w:w="2001" w:type="dxa"/>
            <w:gridSpan w:val="2"/>
            <w:shd w:val="clear" w:color="auto" w:fill="D9D9D9"/>
            <w:noWrap w:val="0"/>
            <w:tcMar>
              <w:left w:w="57" w:type="dxa"/>
              <w:right w:w="57" w:type="dxa"/>
            </w:tcMar>
            <w:vAlign w:val="center"/>
          </w:tcPr>
          <w:p w14:paraId="24F4B34C">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b/>
                <w:bCs/>
                <w:color w:val="000000"/>
                <w:sz w:val="18"/>
                <w:szCs w:val="18"/>
                <w:lang w:eastAsia="zh-CN"/>
              </w:rPr>
            </w:pPr>
            <w:r>
              <w:rPr>
                <w:rFonts w:ascii="Times New Roman" w:hAnsi="宋体" w:eastAsia="宋体"/>
                <w:b/>
                <w:bCs/>
                <w:color w:val="000000"/>
                <w:sz w:val="18"/>
                <w:szCs w:val="18"/>
              </w:rPr>
              <w:t>年平均工作时</w:t>
            </w:r>
            <w:r>
              <w:rPr>
                <w:rFonts w:hint="eastAsia" w:ascii="Times New Roman" w:hAnsi="宋体" w:eastAsia="宋体"/>
                <w:b/>
                <w:bCs/>
                <w:color w:val="000000"/>
                <w:sz w:val="18"/>
                <w:szCs w:val="18"/>
                <w:lang w:eastAsia="zh-CN"/>
              </w:rPr>
              <w:t>间</w:t>
            </w:r>
          </w:p>
        </w:tc>
        <w:tc>
          <w:tcPr>
            <w:tcW w:w="3163" w:type="dxa"/>
            <w:gridSpan w:val="3"/>
            <w:noWrap w:val="0"/>
            <w:tcMar>
              <w:left w:w="57" w:type="dxa"/>
              <w:right w:w="57" w:type="dxa"/>
            </w:tcMar>
            <w:vAlign w:val="center"/>
          </w:tcPr>
          <w:p w14:paraId="48434184">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2400</w:t>
            </w:r>
          </w:p>
        </w:tc>
      </w:tr>
      <w:tr w14:paraId="736B56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2343" w:type="dxa"/>
            <w:gridSpan w:val="4"/>
            <w:shd w:val="clear" w:color="auto" w:fill="D9D9D9"/>
            <w:noWrap w:val="0"/>
            <w:tcMar>
              <w:left w:w="57" w:type="dxa"/>
              <w:right w:w="57" w:type="dxa"/>
            </w:tcMar>
            <w:vAlign w:val="center"/>
          </w:tcPr>
          <w:p w14:paraId="7423941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运营单位</w:t>
            </w:r>
          </w:p>
        </w:tc>
        <w:tc>
          <w:tcPr>
            <w:tcW w:w="2124" w:type="dxa"/>
            <w:gridSpan w:val="2"/>
            <w:shd w:val="clear" w:color="auto" w:fill="auto"/>
            <w:noWrap w:val="0"/>
            <w:tcMar>
              <w:left w:w="57" w:type="dxa"/>
              <w:right w:w="57" w:type="dxa"/>
            </w:tcMar>
            <w:vAlign w:val="center"/>
          </w:tcPr>
          <w:p w14:paraId="478971B5">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eastAsia="zh-CN"/>
              </w:rPr>
            </w:pPr>
            <w:r>
              <w:rPr>
                <w:rFonts w:hint="eastAsia" w:hAnsi="宋体"/>
                <w:b w:val="0"/>
                <w:bCs/>
                <w:color w:val="auto"/>
                <w:sz w:val="18"/>
                <w:szCs w:val="18"/>
                <w:lang w:eastAsia="zh-CN"/>
              </w:rPr>
              <w:t>舒城润昇门业</w:t>
            </w:r>
            <w:r>
              <w:rPr>
                <w:rFonts w:hint="eastAsia" w:ascii="Times New Roman" w:hAnsi="宋体" w:eastAsia="宋体"/>
                <w:b w:val="0"/>
                <w:bCs/>
                <w:color w:val="auto"/>
                <w:sz w:val="18"/>
                <w:szCs w:val="18"/>
                <w:lang w:eastAsia="zh-CN"/>
              </w:rPr>
              <w:t>有限公司</w:t>
            </w:r>
          </w:p>
        </w:tc>
        <w:tc>
          <w:tcPr>
            <w:tcW w:w="3869" w:type="dxa"/>
            <w:gridSpan w:val="7"/>
            <w:shd w:val="clear" w:color="auto" w:fill="D9D9D9"/>
            <w:noWrap w:val="0"/>
            <w:tcMar>
              <w:left w:w="57" w:type="dxa"/>
              <w:right w:w="57" w:type="dxa"/>
            </w:tcMar>
            <w:vAlign w:val="center"/>
          </w:tcPr>
          <w:p w14:paraId="6ED536E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运营单位社会统一信用代码（或组织机构代码）</w:t>
            </w:r>
          </w:p>
        </w:tc>
        <w:tc>
          <w:tcPr>
            <w:tcW w:w="3411" w:type="dxa"/>
            <w:gridSpan w:val="4"/>
            <w:shd w:val="clear" w:color="auto" w:fill="auto"/>
            <w:noWrap w:val="0"/>
            <w:tcMar>
              <w:left w:w="57" w:type="dxa"/>
              <w:right w:w="57" w:type="dxa"/>
            </w:tcMar>
            <w:vAlign w:val="center"/>
          </w:tcPr>
          <w:p w14:paraId="222C6AA2">
            <w:pPr>
              <w:keepNext w:val="0"/>
              <w:keepLines w:val="0"/>
              <w:pageBreakBefore w:val="0"/>
              <w:widowControl/>
              <w:shd w:val="clear" w:color="auto" w:fill="FFFFFF"/>
              <w:kinsoku/>
              <w:wordWrap w:val="0"/>
              <w:overflowPunct/>
              <w:topLinePunct/>
              <w:autoSpaceDE/>
              <w:autoSpaceDN/>
              <w:bidi w:val="0"/>
              <w:adjustRightInd w:val="0"/>
              <w:snapToGrid w:val="0"/>
              <w:spacing w:line="240" w:lineRule="auto"/>
              <w:jc w:val="center"/>
              <w:textAlignment w:val="top"/>
              <w:rPr>
                <w:rFonts w:hint="default" w:ascii="Times New Roman" w:hAnsi="Times New Roman" w:eastAsia="宋体"/>
                <w:color w:val="FF0000"/>
                <w:sz w:val="18"/>
                <w:szCs w:val="18"/>
                <w:highlight w:val="none"/>
                <w:lang w:val="en-US" w:eastAsia="zh-CN"/>
              </w:rPr>
            </w:pPr>
            <w:r>
              <w:rPr>
                <w:rFonts w:hint="default" w:ascii="Times New Roman" w:hAnsi="Times New Roman" w:eastAsia="微软雅黑" w:cs="Times New Roman"/>
                <w:i w:val="0"/>
                <w:iCs w:val="0"/>
                <w:caps w:val="0"/>
                <w:color w:val="131313"/>
                <w:spacing w:val="0"/>
                <w:sz w:val="18"/>
                <w:szCs w:val="18"/>
                <w:shd w:val="clear" w:fill="FFFFFF"/>
              </w:rPr>
              <w:t>91341523MA2NUU8R98</w:t>
            </w:r>
          </w:p>
        </w:tc>
        <w:tc>
          <w:tcPr>
            <w:tcW w:w="2174" w:type="dxa"/>
            <w:gridSpan w:val="2"/>
            <w:shd w:val="clear" w:color="auto" w:fill="D9D9D9"/>
            <w:noWrap w:val="0"/>
            <w:tcMar>
              <w:left w:w="57" w:type="dxa"/>
              <w:right w:w="57" w:type="dxa"/>
            </w:tcMar>
            <w:vAlign w:val="center"/>
          </w:tcPr>
          <w:p w14:paraId="0D1B66E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FF0000"/>
                <w:sz w:val="18"/>
                <w:szCs w:val="18"/>
              </w:rPr>
            </w:pPr>
            <w:r>
              <w:rPr>
                <w:rFonts w:ascii="Times New Roman" w:hAnsi="宋体" w:eastAsia="宋体"/>
                <w:b/>
                <w:color w:val="000000"/>
                <w:sz w:val="18"/>
                <w:szCs w:val="18"/>
              </w:rPr>
              <w:t>验收时间</w:t>
            </w:r>
          </w:p>
        </w:tc>
        <w:tc>
          <w:tcPr>
            <w:tcW w:w="2055" w:type="dxa"/>
            <w:gridSpan w:val="2"/>
            <w:noWrap w:val="0"/>
            <w:tcMar>
              <w:left w:w="57" w:type="dxa"/>
              <w:right w:w="57" w:type="dxa"/>
            </w:tcMar>
            <w:vAlign w:val="center"/>
          </w:tcPr>
          <w:p w14:paraId="37A0490B">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2024年</w:t>
            </w:r>
            <w:r>
              <w:rPr>
                <w:rFonts w:hint="eastAsia"/>
                <w:color w:val="000000"/>
                <w:sz w:val="18"/>
                <w:szCs w:val="18"/>
                <w:lang w:val="en-US" w:eastAsia="zh-CN"/>
              </w:rPr>
              <w:t>8</w:t>
            </w:r>
            <w:r>
              <w:rPr>
                <w:rFonts w:hint="eastAsia" w:ascii="Times New Roman" w:hAnsi="Times New Roman" w:eastAsia="宋体"/>
                <w:color w:val="000000"/>
                <w:sz w:val="18"/>
                <w:szCs w:val="18"/>
                <w:lang w:val="en-US" w:eastAsia="zh-CN"/>
              </w:rPr>
              <w:t>月</w:t>
            </w:r>
          </w:p>
        </w:tc>
      </w:tr>
      <w:tr w14:paraId="417280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493" w:hRule="atLeast"/>
          <w:jc w:val="center"/>
        </w:trPr>
        <w:tc>
          <w:tcPr>
            <w:tcW w:w="599" w:type="dxa"/>
            <w:gridSpan w:val="2"/>
            <w:vMerge w:val="restart"/>
            <w:shd w:val="clear" w:color="auto" w:fill="D9D9D9"/>
            <w:noWrap w:val="0"/>
            <w:tcMar>
              <w:left w:w="57" w:type="dxa"/>
              <w:right w:w="57" w:type="dxa"/>
            </w:tcMar>
            <w:vAlign w:val="center"/>
          </w:tcPr>
          <w:p w14:paraId="6E4851C5">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污染</w:t>
            </w:r>
          </w:p>
          <w:p w14:paraId="47F33437">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物排</w:t>
            </w:r>
          </w:p>
          <w:p w14:paraId="6C04EE00">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放达</w:t>
            </w:r>
          </w:p>
          <w:p w14:paraId="652687F3">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标与</w:t>
            </w:r>
          </w:p>
          <w:p w14:paraId="084C891F">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总量</w:t>
            </w:r>
          </w:p>
          <w:p w14:paraId="0AA69304">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控制（工</w:t>
            </w:r>
          </w:p>
          <w:p w14:paraId="50DE1C98">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业建</w:t>
            </w:r>
          </w:p>
          <w:p w14:paraId="39D515E2">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设项</w:t>
            </w:r>
          </w:p>
          <w:p w14:paraId="4E813A25">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目详填）</w:t>
            </w:r>
          </w:p>
        </w:tc>
        <w:tc>
          <w:tcPr>
            <w:tcW w:w="1744" w:type="dxa"/>
            <w:gridSpan w:val="2"/>
            <w:shd w:val="clear" w:color="auto" w:fill="D9D9D9"/>
            <w:noWrap w:val="0"/>
            <w:tcMar>
              <w:left w:w="57" w:type="dxa"/>
              <w:right w:w="57" w:type="dxa"/>
            </w:tcMar>
            <w:vAlign w:val="center"/>
          </w:tcPr>
          <w:p w14:paraId="340C49C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污染物</w:t>
            </w:r>
          </w:p>
        </w:tc>
        <w:tc>
          <w:tcPr>
            <w:tcW w:w="910" w:type="dxa"/>
            <w:shd w:val="clear" w:color="auto" w:fill="D9D9D9"/>
            <w:noWrap w:val="0"/>
            <w:tcMar>
              <w:left w:w="57" w:type="dxa"/>
              <w:right w:w="57" w:type="dxa"/>
            </w:tcMar>
            <w:vAlign w:val="center"/>
          </w:tcPr>
          <w:p w14:paraId="2901079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原有排</w:t>
            </w:r>
          </w:p>
          <w:p w14:paraId="38E64E7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放量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w:t>
            </w:r>
          </w:p>
        </w:tc>
        <w:tc>
          <w:tcPr>
            <w:tcW w:w="1214" w:type="dxa"/>
            <w:shd w:val="clear" w:color="auto" w:fill="D9D9D9"/>
            <w:noWrap w:val="0"/>
            <w:tcMar>
              <w:left w:w="57" w:type="dxa"/>
              <w:right w:w="57" w:type="dxa"/>
            </w:tcMar>
            <w:vAlign w:val="center"/>
          </w:tcPr>
          <w:p w14:paraId="0F0007D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本期工程实际排放浓度</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2)</w:t>
            </w:r>
          </w:p>
        </w:tc>
        <w:tc>
          <w:tcPr>
            <w:tcW w:w="1284" w:type="dxa"/>
            <w:gridSpan w:val="2"/>
            <w:shd w:val="clear" w:color="auto" w:fill="D9D9D9"/>
            <w:noWrap w:val="0"/>
            <w:tcMar>
              <w:left w:w="57" w:type="dxa"/>
              <w:right w:w="57" w:type="dxa"/>
            </w:tcMar>
            <w:vAlign w:val="center"/>
          </w:tcPr>
          <w:p w14:paraId="4B0538B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本期工程允许排放浓度</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3)</w:t>
            </w:r>
          </w:p>
        </w:tc>
        <w:tc>
          <w:tcPr>
            <w:tcW w:w="989" w:type="dxa"/>
            <w:gridSpan w:val="2"/>
            <w:shd w:val="clear" w:color="auto" w:fill="D9D9D9"/>
            <w:noWrap w:val="0"/>
            <w:tcMar>
              <w:left w:w="57" w:type="dxa"/>
              <w:right w:w="57" w:type="dxa"/>
            </w:tcMar>
            <w:vAlign w:val="center"/>
          </w:tcPr>
          <w:p w14:paraId="5BFB088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本期工程产生量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4)</w:t>
            </w:r>
          </w:p>
        </w:tc>
        <w:tc>
          <w:tcPr>
            <w:tcW w:w="1133" w:type="dxa"/>
            <w:gridSpan w:val="2"/>
            <w:shd w:val="clear" w:color="auto" w:fill="D9D9D9"/>
            <w:noWrap w:val="0"/>
            <w:tcMar>
              <w:left w:w="57" w:type="dxa"/>
              <w:right w:w="57" w:type="dxa"/>
            </w:tcMar>
            <w:vAlign w:val="center"/>
          </w:tcPr>
          <w:p w14:paraId="5B544A8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本期工程自身削减量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5)</w:t>
            </w:r>
          </w:p>
        </w:tc>
        <w:tc>
          <w:tcPr>
            <w:tcW w:w="1152" w:type="dxa"/>
            <w:gridSpan w:val="2"/>
            <w:shd w:val="clear" w:color="auto" w:fill="D9D9D9"/>
            <w:noWrap w:val="0"/>
            <w:tcMar>
              <w:left w:w="57" w:type="dxa"/>
              <w:right w:w="57" w:type="dxa"/>
            </w:tcMar>
            <w:vAlign w:val="center"/>
          </w:tcPr>
          <w:p w14:paraId="617A3C0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本期工程实际排放量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6)</w:t>
            </w:r>
          </w:p>
        </w:tc>
        <w:tc>
          <w:tcPr>
            <w:tcW w:w="1281" w:type="dxa"/>
            <w:shd w:val="clear" w:color="auto" w:fill="D9D9D9"/>
            <w:noWrap w:val="0"/>
            <w:tcMar>
              <w:left w:w="57" w:type="dxa"/>
              <w:right w:w="57" w:type="dxa"/>
            </w:tcMar>
            <w:vAlign w:val="center"/>
          </w:tcPr>
          <w:p w14:paraId="4D7BC9D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本期工程核定排放总量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7)</w:t>
            </w:r>
          </w:p>
        </w:tc>
        <w:tc>
          <w:tcPr>
            <w:tcW w:w="1441" w:type="dxa"/>
            <w:gridSpan w:val="2"/>
            <w:shd w:val="clear" w:color="auto" w:fill="D9D9D9"/>
            <w:noWrap w:val="0"/>
            <w:tcMar>
              <w:left w:w="57" w:type="dxa"/>
              <w:right w:w="57" w:type="dxa"/>
            </w:tcMar>
            <w:vAlign w:val="center"/>
          </w:tcPr>
          <w:p w14:paraId="69EB73A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w:t>
            </w:r>
            <w:r>
              <w:rPr>
                <w:rFonts w:ascii="Times New Roman" w:hAnsi="Times New Roman" w:eastAsia="宋体"/>
                <w:b/>
                <w:color w:val="000000"/>
                <w:sz w:val="18"/>
                <w:szCs w:val="18"/>
              </w:rPr>
              <w:t>“</w:t>
            </w:r>
            <w:r>
              <w:rPr>
                <w:rFonts w:ascii="Times New Roman" w:hAnsi="宋体" w:eastAsia="宋体"/>
                <w:b/>
                <w:color w:val="000000"/>
                <w:sz w:val="18"/>
                <w:szCs w:val="18"/>
              </w:rPr>
              <w:t>以新带老</w:t>
            </w:r>
            <w:r>
              <w:rPr>
                <w:rFonts w:ascii="Times New Roman" w:hAnsi="Times New Roman" w:eastAsia="宋体"/>
                <w:b/>
                <w:color w:val="000000"/>
                <w:sz w:val="18"/>
                <w:szCs w:val="18"/>
              </w:rPr>
              <w:t>”</w:t>
            </w:r>
            <w:r>
              <w:rPr>
                <w:rFonts w:ascii="Times New Roman" w:hAnsi="宋体" w:eastAsia="宋体"/>
                <w:b/>
                <w:color w:val="000000"/>
                <w:sz w:val="18"/>
                <w:szCs w:val="18"/>
              </w:rPr>
              <w:t>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8)</w:t>
            </w:r>
          </w:p>
        </w:tc>
        <w:tc>
          <w:tcPr>
            <w:tcW w:w="1066" w:type="dxa"/>
            <w:shd w:val="clear" w:color="auto" w:fill="D9D9D9"/>
            <w:noWrap w:val="0"/>
            <w:tcMar>
              <w:left w:w="57" w:type="dxa"/>
              <w:right w:w="57" w:type="dxa"/>
            </w:tcMar>
            <w:vAlign w:val="center"/>
          </w:tcPr>
          <w:p w14:paraId="0FD99C5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全厂实际排放总量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9)</w:t>
            </w:r>
          </w:p>
        </w:tc>
        <w:tc>
          <w:tcPr>
            <w:tcW w:w="1108" w:type="dxa"/>
            <w:shd w:val="clear" w:color="auto" w:fill="D9D9D9"/>
            <w:noWrap w:val="0"/>
            <w:tcMar>
              <w:left w:w="57" w:type="dxa"/>
              <w:right w:w="57" w:type="dxa"/>
            </w:tcMar>
            <w:vAlign w:val="center"/>
          </w:tcPr>
          <w:p w14:paraId="61DFAB6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全厂核定排放总量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10)</w:t>
            </w:r>
          </w:p>
        </w:tc>
        <w:tc>
          <w:tcPr>
            <w:tcW w:w="1174" w:type="dxa"/>
            <w:shd w:val="clear" w:color="auto" w:fill="D9D9D9"/>
            <w:noWrap w:val="0"/>
            <w:tcMar>
              <w:left w:w="57" w:type="dxa"/>
              <w:right w:w="57" w:type="dxa"/>
            </w:tcMar>
            <w:vAlign w:val="center"/>
          </w:tcPr>
          <w:p w14:paraId="1B25190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区域平衡替代削减量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11)</w:t>
            </w:r>
          </w:p>
        </w:tc>
        <w:tc>
          <w:tcPr>
            <w:tcW w:w="881" w:type="dxa"/>
            <w:shd w:val="clear" w:color="auto" w:fill="D9D9D9"/>
            <w:noWrap w:val="0"/>
            <w:tcMar>
              <w:left w:w="57" w:type="dxa"/>
              <w:right w:w="57" w:type="dxa"/>
            </w:tcMar>
            <w:vAlign w:val="center"/>
          </w:tcPr>
          <w:p w14:paraId="060CCE3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排放增减量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12)</w:t>
            </w:r>
          </w:p>
        </w:tc>
      </w:tr>
      <w:tr w14:paraId="097CA8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2285677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78C4B3F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废水</w:t>
            </w:r>
          </w:p>
        </w:tc>
        <w:tc>
          <w:tcPr>
            <w:tcW w:w="910" w:type="dxa"/>
            <w:noWrap w:val="0"/>
            <w:tcMar>
              <w:left w:w="57" w:type="dxa"/>
              <w:right w:w="57" w:type="dxa"/>
            </w:tcMar>
            <w:vAlign w:val="center"/>
          </w:tcPr>
          <w:p w14:paraId="760E993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41E4135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54B69E0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13A842F6">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6DDF6A0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7D4BC65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434C34A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23E01FE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5676B1F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4A88276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29BC01E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4B8CEA4F">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r>
      <w:tr w14:paraId="1E327C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3064234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47BF963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化学需氧量</w:t>
            </w:r>
          </w:p>
        </w:tc>
        <w:tc>
          <w:tcPr>
            <w:tcW w:w="910" w:type="dxa"/>
            <w:noWrap w:val="0"/>
            <w:tcMar>
              <w:left w:w="57" w:type="dxa"/>
              <w:right w:w="57" w:type="dxa"/>
            </w:tcMar>
            <w:vAlign w:val="center"/>
          </w:tcPr>
          <w:p w14:paraId="6C46A2C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4211562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w:t>
            </w:r>
          </w:p>
        </w:tc>
        <w:tc>
          <w:tcPr>
            <w:tcW w:w="1284" w:type="dxa"/>
            <w:gridSpan w:val="2"/>
            <w:noWrap w:val="0"/>
            <w:tcMar>
              <w:left w:w="57" w:type="dxa"/>
              <w:right w:w="57" w:type="dxa"/>
            </w:tcMar>
            <w:vAlign w:val="center"/>
          </w:tcPr>
          <w:p w14:paraId="5817197F">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3662E213">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61EB48C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382562F6">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6AC2D1A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3A09DB1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67BD771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5B20537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1AD1AC3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27032B5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lang w:val="en-US" w:eastAsia="zh-CN"/>
              </w:rPr>
            </w:pPr>
            <w:r>
              <w:rPr>
                <w:rFonts w:ascii="Times New Roman" w:hAnsi="Times New Roman" w:eastAsia="宋体"/>
                <w:color w:val="000000"/>
                <w:sz w:val="18"/>
                <w:szCs w:val="18"/>
              </w:rPr>
              <w:t>/</w:t>
            </w:r>
          </w:p>
        </w:tc>
      </w:tr>
      <w:tr w14:paraId="3C1D09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2617480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3061761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氨氮</w:t>
            </w:r>
          </w:p>
        </w:tc>
        <w:tc>
          <w:tcPr>
            <w:tcW w:w="910" w:type="dxa"/>
            <w:noWrap w:val="0"/>
            <w:tcMar>
              <w:left w:w="57" w:type="dxa"/>
              <w:right w:w="57" w:type="dxa"/>
            </w:tcMar>
            <w:vAlign w:val="center"/>
          </w:tcPr>
          <w:p w14:paraId="1BA1768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69BA0CF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w:t>
            </w:r>
          </w:p>
        </w:tc>
        <w:tc>
          <w:tcPr>
            <w:tcW w:w="1284" w:type="dxa"/>
            <w:gridSpan w:val="2"/>
            <w:noWrap w:val="0"/>
            <w:tcMar>
              <w:left w:w="57" w:type="dxa"/>
              <w:right w:w="57" w:type="dxa"/>
            </w:tcMar>
            <w:vAlign w:val="center"/>
          </w:tcPr>
          <w:p w14:paraId="4B9D1CDC">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2C74C62A">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4EA9F90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77BE221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2692FFA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361144D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55E8B06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1EBEF46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3C2175B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492FEC04">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lang w:val="en-US" w:eastAsia="zh-CN"/>
              </w:rPr>
            </w:pPr>
            <w:r>
              <w:rPr>
                <w:rFonts w:ascii="Times New Roman" w:hAnsi="Times New Roman" w:eastAsia="宋体"/>
                <w:color w:val="000000"/>
                <w:sz w:val="18"/>
                <w:szCs w:val="18"/>
              </w:rPr>
              <w:t>/</w:t>
            </w:r>
          </w:p>
        </w:tc>
      </w:tr>
      <w:tr w14:paraId="03B161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7425A98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12D1645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生物需氧量（五日）</w:t>
            </w:r>
          </w:p>
        </w:tc>
        <w:tc>
          <w:tcPr>
            <w:tcW w:w="910" w:type="dxa"/>
            <w:noWrap w:val="0"/>
            <w:tcMar>
              <w:left w:w="57" w:type="dxa"/>
              <w:right w:w="57" w:type="dxa"/>
            </w:tcMar>
            <w:vAlign w:val="center"/>
          </w:tcPr>
          <w:p w14:paraId="2D74125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7001D99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w:t>
            </w:r>
          </w:p>
        </w:tc>
        <w:tc>
          <w:tcPr>
            <w:tcW w:w="1284" w:type="dxa"/>
            <w:gridSpan w:val="2"/>
            <w:noWrap w:val="0"/>
            <w:tcMar>
              <w:left w:w="57" w:type="dxa"/>
              <w:right w:w="57" w:type="dxa"/>
            </w:tcMar>
            <w:vAlign w:val="center"/>
          </w:tcPr>
          <w:p w14:paraId="091CEABA">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56A4A49E">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5C736ED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3E0295F8">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32A4DB1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4BD19CA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7BED8C5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132E0D9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4BC4F43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36AA2CF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r>
      <w:tr w14:paraId="2C3A5E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2DCE5B5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699BC7C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悬浮物</w:t>
            </w:r>
          </w:p>
        </w:tc>
        <w:tc>
          <w:tcPr>
            <w:tcW w:w="910" w:type="dxa"/>
            <w:noWrap w:val="0"/>
            <w:tcMar>
              <w:left w:w="57" w:type="dxa"/>
              <w:right w:w="57" w:type="dxa"/>
            </w:tcMar>
            <w:vAlign w:val="center"/>
          </w:tcPr>
          <w:p w14:paraId="764B740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4514DE3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24868541">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2C9AAE52">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7F85142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28C4A57D">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1ACB131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1DC56C3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73716AB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019A04B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34170ED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2BE501A7">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lang w:val="en-US" w:eastAsia="zh-CN"/>
              </w:rPr>
            </w:pPr>
            <w:r>
              <w:rPr>
                <w:rFonts w:ascii="Times New Roman" w:hAnsi="Times New Roman" w:eastAsia="宋体"/>
                <w:color w:val="000000"/>
                <w:sz w:val="18"/>
                <w:szCs w:val="18"/>
              </w:rPr>
              <w:t>/</w:t>
            </w:r>
          </w:p>
        </w:tc>
      </w:tr>
      <w:tr w14:paraId="47AF7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5ACF680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1AE46BEC">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b/>
                <w:color w:val="000000"/>
                <w:sz w:val="18"/>
                <w:szCs w:val="18"/>
                <w:lang w:eastAsia="zh-CN"/>
              </w:rPr>
            </w:pPr>
            <w:r>
              <w:rPr>
                <w:rFonts w:hint="eastAsia" w:ascii="Times New Roman" w:hAnsi="宋体" w:eastAsia="宋体"/>
                <w:b/>
                <w:color w:val="000000"/>
                <w:sz w:val="18"/>
                <w:szCs w:val="18"/>
                <w:lang w:eastAsia="zh-CN"/>
              </w:rPr>
              <w:t>总磷</w:t>
            </w:r>
          </w:p>
        </w:tc>
        <w:tc>
          <w:tcPr>
            <w:tcW w:w="910" w:type="dxa"/>
            <w:noWrap w:val="0"/>
            <w:tcMar>
              <w:left w:w="57" w:type="dxa"/>
              <w:right w:w="57" w:type="dxa"/>
            </w:tcMar>
            <w:vAlign w:val="center"/>
          </w:tcPr>
          <w:p w14:paraId="3B6AEC2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40CA6CD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48E923F8">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1F2ED74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64ACA22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43F18D6E">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5CB9EF5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70A1E87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61436FD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1AD4BF4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03AC41D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206C29F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r>
      <w:tr w14:paraId="197E2D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34D4664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35181CF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废气</w:t>
            </w:r>
          </w:p>
        </w:tc>
        <w:tc>
          <w:tcPr>
            <w:tcW w:w="910" w:type="dxa"/>
            <w:noWrap w:val="0"/>
            <w:tcMar>
              <w:left w:w="57" w:type="dxa"/>
              <w:right w:w="57" w:type="dxa"/>
            </w:tcMar>
            <w:vAlign w:val="center"/>
          </w:tcPr>
          <w:p w14:paraId="00BF2DB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7C92D80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056E2EC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28B5DCE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05E980A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0C90090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087DB53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70B54A1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3223BF8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3480B35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7C2B6D4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17F2007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15A778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303" w:hRule="atLeast"/>
          <w:jc w:val="center"/>
        </w:trPr>
        <w:tc>
          <w:tcPr>
            <w:tcW w:w="599" w:type="dxa"/>
            <w:gridSpan w:val="2"/>
            <w:vMerge w:val="continue"/>
            <w:shd w:val="clear" w:color="auto" w:fill="D9D9D9"/>
            <w:noWrap w:val="0"/>
            <w:tcMar>
              <w:left w:w="57" w:type="dxa"/>
              <w:right w:w="57" w:type="dxa"/>
            </w:tcMar>
            <w:vAlign w:val="center"/>
          </w:tcPr>
          <w:p w14:paraId="5411FD6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2AA436D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颗粒物</w:t>
            </w:r>
          </w:p>
        </w:tc>
        <w:tc>
          <w:tcPr>
            <w:tcW w:w="910" w:type="dxa"/>
            <w:noWrap w:val="0"/>
            <w:tcMar>
              <w:left w:w="57" w:type="dxa"/>
              <w:right w:w="57" w:type="dxa"/>
            </w:tcMar>
            <w:vAlign w:val="center"/>
          </w:tcPr>
          <w:p w14:paraId="435D48B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434F29B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eastAsia="宋体"/>
                <w:color w:val="000000"/>
                <w:sz w:val="18"/>
                <w:szCs w:val="18"/>
                <w:lang w:val="en-US" w:eastAsia="zh-CN"/>
              </w:rPr>
              <w:t>3.9</w:t>
            </w:r>
          </w:p>
        </w:tc>
        <w:tc>
          <w:tcPr>
            <w:tcW w:w="1284" w:type="dxa"/>
            <w:gridSpan w:val="2"/>
            <w:noWrap w:val="0"/>
            <w:tcMar>
              <w:left w:w="57" w:type="dxa"/>
              <w:right w:w="57" w:type="dxa"/>
            </w:tcMar>
            <w:vAlign w:val="center"/>
          </w:tcPr>
          <w:p w14:paraId="3F60CC05">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652C962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0.027</w:t>
            </w:r>
          </w:p>
        </w:tc>
        <w:tc>
          <w:tcPr>
            <w:tcW w:w="1133" w:type="dxa"/>
            <w:gridSpan w:val="2"/>
            <w:noWrap w:val="0"/>
            <w:tcMar>
              <w:left w:w="57" w:type="dxa"/>
              <w:right w:w="57" w:type="dxa"/>
            </w:tcMar>
            <w:vAlign w:val="center"/>
          </w:tcPr>
          <w:p w14:paraId="6937EF2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031C9C3B">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4231AF4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0.1636</w:t>
            </w:r>
          </w:p>
        </w:tc>
        <w:tc>
          <w:tcPr>
            <w:tcW w:w="1441" w:type="dxa"/>
            <w:gridSpan w:val="2"/>
            <w:noWrap w:val="0"/>
            <w:tcMar>
              <w:left w:w="57" w:type="dxa"/>
              <w:right w:w="57" w:type="dxa"/>
            </w:tcMar>
            <w:vAlign w:val="center"/>
          </w:tcPr>
          <w:p w14:paraId="74AAA02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0A317FE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66A238C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0A7EEBE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4E253CBE">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eastAsia="宋体"/>
                <w:color w:val="000000"/>
                <w:sz w:val="18"/>
                <w:szCs w:val="18"/>
                <w:lang w:val="en-US" w:eastAsia="zh-CN"/>
              </w:rPr>
              <w:t>+0.027</w:t>
            </w:r>
          </w:p>
        </w:tc>
      </w:tr>
      <w:tr w14:paraId="02660B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1" w:hRule="atLeast"/>
          <w:jc w:val="center"/>
        </w:trPr>
        <w:tc>
          <w:tcPr>
            <w:tcW w:w="599" w:type="dxa"/>
            <w:gridSpan w:val="2"/>
            <w:vMerge w:val="continue"/>
            <w:shd w:val="clear" w:color="auto" w:fill="D9D9D9"/>
            <w:noWrap w:val="0"/>
            <w:tcMar>
              <w:left w:w="57" w:type="dxa"/>
              <w:right w:w="57" w:type="dxa"/>
            </w:tcMar>
            <w:vAlign w:val="center"/>
          </w:tcPr>
          <w:p w14:paraId="4668769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4014196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b/>
                <w:color w:val="000000"/>
                <w:sz w:val="18"/>
                <w:szCs w:val="18"/>
                <w:highlight w:val="none"/>
                <w:lang w:val="en-US" w:eastAsia="zh-CN"/>
              </w:rPr>
            </w:pPr>
            <w:r>
              <w:rPr>
                <w:rFonts w:hint="eastAsia" w:ascii="Times New Roman" w:hAnsi="宋体" w:eastAsia="宋体"/>
                <w:b/>
                <w:color w:val="000000"/>
                <w:sz w:val="18"/>
                <w:szCs w:val="18"/>
                <w:highlight w:val="none"/>
                <w:lang w:val="en-US" w:eastAsia="zh-CN"/>
              </w:rPr>
              <w:t>VOCs</w:t>
            </w:r>
          </w:p>
        </w:tc>
        <w:tc>
          <w:tcPr>
            <w:tcW w:w="910" w:type="dxa"/>
            <w:noWrap w:val="0"/>
            <w:tcMar>
              <w:left w:w="57" w:type="dxa"/>
              <w:right w:w="57" w:type="dxa"/>
            </w:tcMar>
            <w:vAlign w:val="center"/>
          </w:tcPr>
          <w:p w14:paraId="766B95C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157B286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4.91</w:t>
            </w:r>
          </w:p>
        </w:tc>
        <w:tc>
          <w:tcPr>
            <w:tcW w:w="1284" w:type="dxa"/>
            <w:gridSpan w:val="2"/>
            <w:noWrap w:val="0"/>
            <w:tcMar>
              <w:left w:w="57" w:type="dxa"/>
              <w:right w:w="57" w:type="dxa"/>
            </w:tcMar>
            <w:vAlign w:val="center"/>
          </w:tcPr>
          <w:p w14:paraId="19F7F40E">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989" w:type="dxa"/>
            <w:gridSpan w:val="2"/>
            <w:noWrap w:val="0"/>
            <w:tcMar>
              <w:left w:w="57" w:type="dxa"/>
              <w:right w:w="57" w:type="dxa"/>
            </w:tcMar>
            <w:vAlign w:val="center"/>
          </w:tcPr>
          <w:p w14:paraId="00B3F865">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0.062</w:t>
            </w:r>
          </w:p>
        </w:tc>
        <w:tc>
          <w:tcPr>
            <w:tcW w:w="1133" w:type="dxa"/>
            <w:gridSpan w:val="2"/>
            <w:noWrap w:val="0"/>
            <w:tcMar>
              <w:left w:w="57" w:type="dxa"/>
              <w:right w:w="57" w:type="dxa"/>
            </w:tcMar>
            <w:vAlign w:val="center"/>
          </w:tcPr>
          <w:p w14:paraId="3C15E31F">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1152" w:type="dxa"/>
            <w:gridSpan w:val="2"/>
            <w:noWrap w:val="0"/>
            <w:tcMar>
              <w:left w:w="57" w:type="dxa"/>
              <w:right w:w="57" w:type="dxa"/>
            </w:tcMar>
            <w:vAlign w:val="center"/>
          </w:tcPr>
          <w:p w14:paraId="78DF0DA7">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7E3FFEC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0.107</w:t>
            </w:r>
          </w:p>
        </w:tc>
        <w:tc>
          <w:tcPr>
            <w:tcW w:w="1441" w:type="dxa"/>
            <w:gridSpan w:val="2"/>
            <w:noWrap w:val="0"/>
            <w:tcMar>
              <w:left w:w="57" w:type="dxa"/>
              <w:right w:w="57" w:type="dxa"/>
            </w:tcMar>
            <w:vAlign w:val="center"/>
          </w:tcPr>
          <w:p w14:paraId="03E67D8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554A6D5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0B32614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4FC2CBA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431E5E06">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eastAsia="宋体"/>
                <w:color w:val="000000"/>
                <w:sz w:val="18"/>
                <w:szCs w:val="18"/>
                <w:lang w:val="en-US" w:eastAsia="zh-CN"/>
              </w:rPr>
              <w:t>+0.062</w:t>
            </w:r>
          </w:p>
        </w:tc>
      </w:tr>
      <w:tr w14:paraId="678FB1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62" w:hRule="atLeast"/>
          <w:jc w:val="center"/>
        </w:trPr>
        <w:tc>
          <w:tcPr>
            <w:tcW w:w="599" w:type="dxa"/>
            <w:gridSpan w:val="2"/>
            <w:vMerge w:val="continue"/>
            <w:shd w:val="clear" w:color="auto" w:fill="D9D9D9"/>
            <w:noWrap w:val="0"/>
            <w:tcMar>
              <w:left w:w="57" w:type="dxa"/>
              <w:right w:w="57" w:type="dxa"/>
            </w:tcMar>
            <w:vAlign w:val="center"/>
          </w:tcPr>
          <w:p w14:paraId="275A9EE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711E3A7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氮氧化物</w:t>
            </w:r>
          </w:p>
        </w:tc>
        <w:tc>
          <w:tcPr>
            <w:tcW w:w="910" w:type="dxa"/>
            <w:noWrap w:val="0"/>
            <w:tcMar>
              <w:left w:w="57" w:type="dxa"/>
              <w:right w:w="57" w:type="dxa"/>
            </w:tcMar>
            <w:vAlign w:val="center"/>
          </w:tcPr>
          <w:p w14:paraId="7C6C400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157A953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51A754A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271B173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4C3A242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7599202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518F30B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13D3BE8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6DF7449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3D6A959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7463352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4D0DB22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26DA8E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2" w:hRule="atLeast"/>
          <w:jc w:val="center"/>
        </w:trPr>
        <w:tc>
          <w:tcPr>
            <w:tcW w:w="599" w:type="dxa"/>
            <w:gridSpan w:val="2"/>
            <w:vMerge w:val="continue"/>
            <w:shd w:val="clear" w:color="auto" w:fill="D9D9D9"/>
            <w:noWrap w:val="0"/>
            <w:tcMar>
              <w:left w:w="57" w:type="dxa"/>
              <w:right w:w="57" w:type="dxa"/>
            </w:tcMar>
            <w:vAlign w:val="center"/>
          </w:tcPr>
          <w:p w14:paraId="5F1A431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4" w:type="dxa"/>
            <w:gridSpan w:val="2"/>
            <w:shd w:val="clear" w:color="auto" w:fill="D9D9D9"/>
            <w:noWrap w:val="0"/>
            <w:tcMar>
              <w:left w:w="57" w:type="dxa"/>
              <w:right w:w="57" w:type="dxa"/>
            </w:tcMar>
            <w:vAlign w:val="center"/>
          </w:tcPr>
          <w:p w14:paraId="4835C70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工业固体废物</w:t>
            </w:r>
          </w:p>
        </w:tc>
        <w:tc>
          <w:tcPr>
            <w:tcW w:w="910" w:type="dxa"/>
            <w:noWrap w:val="0"/>
            <w:tcMar>
              <w:left w:w="57" w:type="dxa"/>
              <w:right w:w="57" w:type="dxa"/>
            </w:tcMar>
            <w:vAlign w:val="center"/>
          </w:tcPr>
          <w:p w14:paraId="797084E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30B9D08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2E04B00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41425E3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7A99F30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3C47B79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05CEEEF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6B5F6A4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407D08B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6470B94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4ECC1AA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2036B57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394CB8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92" w:hRule="atLeast"/>
          <w:jc w:val="center"/>
        </w:trPr>
        <w:tc>
          <w:tcPr>
            <w:tcW w:w="599" w:type="dxa"/>
            <w:gridSpan w:val="2"/>
            <w:vMerge w:val="restart"/>
            <w:shd w:val="clear" w:color="auto" w:fill="D9D9D9"/>
            <w:noWrap w:val="0"/>
            <w:tcMar>
              <w:left w:w="57" w:type="dxa"/>
              <w:right w:w="57" w:type="dxa"/>
            </w:tcMar>
            <w:vAlign w:val="center"/>
          </w:tcPr>
          <w:p w14:paraId="72EE78E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416" w:type="dxa"/>
            <w:vMerge w:val="restart"/>
            <w:shd w:val="clear" w:color="auto" w:fill="D9D9D9"/>
            <w:noWrap w:val="0"/>
            <w:tcMar>
              <w:left w:w="57" w:type="dxa"/>
              <w:right w:w="57" w:type="dxa"/>
            </w:tcMar>
            <w:vAlign w:val="center"/>
          </w:tcPr>
          <w:p w14:paraId="38D625B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与项目有关的其他特征污染物</w:t>
            </w:r>
          </w:p>
        </w:tc>
        <w:tc>
          <w:tcPr>
            <w:tcW w:w="328" w:type="dxa"/>
            <w:shd w:val="clear" w:color="auto" w:fill="FFFFFF"/>
            <w:noWrap w:val="0"/>
            <w:tcMar>
              <w:left w:w="57" w:type="dxa"/>
              <w:right w:w="57" w:type="dxa"/>
            </w:tcMar>
            <w:vAlign w:val="center"/>
          </w:tcPr>
          <w:p w14:paraId="5EEDA8E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p>
        </w:tc>
        <w:tc>
          <w:tcPr>
            <w:tcW w:w="910" w:type="dxa"/>
            <w:noWrap w:val="0"/>
            <w:tcMar>
              <w:left w:w="57" w:type="dxa"/>
              <w:right w:w="57" w:type="dxa"/>
            </w:tcMar>
            <w:vAlign w:val="center"/>
          </w:tcPr>
          <w:p w14:paraId="4BA4203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41F22ED7">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7A44DB1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165201A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20FB057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7451F8DA">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691379A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6445FB1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379C4D3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24E1D5F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251F1D8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0DE5417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5E467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80" w:hRule="atLeast"/>
          <w:jc w:val="center"/>
        </w:trPr>
        <w:tc>
          <w:tcPr>
            <w:tcW w:w="599" w:type="dxa"/>
            <w:gridSpan w:val="2"/>
            <w:vMerge w:val="continue"/>
            <w:shd w:val="clear" w:color="auto" w:fill="D9D9D9"/>
            <w:noWrap w:val="0"/>
            <w:tcMar>
              <w:left w:w="57" w:type="dxa"/>
              <w:right w:w="57" w:type="dxa"/>
            </w:tcMar>
            <w:vAlign w:val="center"/>
          </w:tcPr>
          <w:p w14:paraId="34C3A2E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416" w:type="dxa"/>
            <w:vMerge w:val="continue"/>
            <w:noWrap w:val="0"/>
            <w:tcMar>
              <w:left w:w="57" w:type="dxa"/>
              <w:right w:w="57" w:type="dxa"/>
            </w:tcMar>
            <w:vAlign w:val="center"/>
          </w:tcPr>
          <w:p w14:paraId="073F658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p>
        </w:tc>
        <w:tc>
          <w:tcPr>
            <w:tcW w:w="328" w:type="dxa"/>
            <w:noWrap w:val="0"/>
            <w:tcMar>
              <w:left w:w="57" w:type="dxa"/>
              <w:right w:w="57" w:type="dxa"/>
            </w:tcMar>
            <w:vAlign w:val="center"/>
          </w:tcPr>
          <w:p w14:paraId="1CB333B1">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p>
        </w:tc>
        <w:tc>
          <w:tcPr>
            <w:tcW w:w="910" w:type="dxa"/>
            <w:noWrap w:val="0"/>
            <w:tcMar>
              <w:left w:w="57" w:type="dxa"/>
              <w:right w:w="57" w:type="dxa"/>
            </w:tcMar>
            <w:vAlign w:val="center"/>
          </w:tcPr>
          <w:p w14:paraId="07D396A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14" w:type="dxa"/>
            <w:noWrap w:val="0"/>
            <w:tcMar>
              <w:left w:w="57" w:type="dxa"/>
              <w:right w:w="57" w:type="dxa"/>
            </w:tcMar>
            <w:vAlign w:val="center"/>
          </w:tcPr>
          <w:p w14:paraId="4B66B03E">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4" w:type="dxa"/>
            <w:gridSpan w:val="2"/>
            <w:noWrap w:val="0"/>
            <w:tcMar>
              <w:left w:w="57" w:type="dxa"/>
              <w:right w:w="57" w:type="dxa"/>
            </w:tcMar>
            <w:vAlign w:val="center"/>
          </w:tcPr>
          <w:p w14:paraId="53E31EC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89" w:type="dxa"/>
            <w:gridSpan w:val="2"/>
            <w:noWrap w:val="0"/>
            <w:tcMar>
              <w:left w:w="57" w:type="dxa"/>
              <w:right w:w="57" w:type="dxa"/>
            </w:tcMar>
            <w:vAlign w:val="center"/>
          </w:tcPr>
          <w:p w14:paraId="0B96C50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7FDA7D4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6510502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1" w:type="dxa"/>
            <w:noWrap w:val="0"/>
            <w:tcMar>
              <w:left w:w="57" w:type="dxa"/>
              <w:right w:w="57" w:type="dxa"/>
            </w:tcMar>
            <w:vAlign w:val="center"/>
          </w:tcPr>
          <w:p w14:paraId="477D4BE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1" w:type="dxa"/>
            <w:gridSpan w:val="2"/>
            <w:noWrap w:val="0"/>
            <w:tcMar>
              <w:left w:w="57" w:type="dxa"/>
              <w:right w:w="57" w:type="dxa"/>
            </w:tcMar>
            <w:vAlign w:val="center"/>
          </w:tcPr>
          <w:p w14:paraId="08E0F0A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668FE04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28CBFD7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5BF6859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1" w:type="dxa"/>
            <w:noWrap w:val="0"/>
            <w:tcMar>
              <w:left w:w="57" w:type="dxa"/>
              <w:right w:w="57" w:type="dxa"/>
            </w:tcMar>
            <w:vAlign w:val="center"/>
          </w:tcPr>
          <w:p w14:paraId="7071440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bl>
    <w:p w14:paraId="006A005B">
      <w:pPr>
        <w:keepNext w:val="0"/>
        <w:keepLines w:val="0"/>
        <w:pageBreakBefore w:val="0"/>
        <w:widowControl/>
        <w:kinsoku/>
        <w:wordWrap w:val="0"/>
        <w:overflowPunct/>
        <w:topLinePunct/>
        <w:autoSpaceDE/>
        <w:autoSpaceDN/>
        <w:bidi w:val="0"/>
        <w:adjustRightInd w:val="0"/>
        <w:snapToGrid w:val="0"/>
        <w:spacing w:line="240" w:lineRule="auto"/>
        <w:textAlignment w:val="auto"/>
        <w:rPr>
          <w:rFonts w:hint="default"/>
        </w:rPr>
      </w:pPr>
      <w:r>
        <w:rPr>
          <w:rFonts w:ascii="Times New Roman" w:hAnsi="宋体" w:eastAsia="宋体"/>
          <w:b/>
          <w:color w:val="auto"/>
          <w:sz w:val="15"/>
          <w:szCs w:val="15"/>
        </w:rPr>
        <w:t>注</w:t>
      </w:r>
      <w:r>
        <w:rPr>
          <w:rFonts w:ascii="Times New Roman" w:hAnsi="宋体" w:eastAsia="宋体"/>
          <w:color w:val="auto"/>
          <w:sz w:val="15"/>
          <w:szCs w:val="15"/>
        </w:rPr>
        <w:t>：</w:t>
      </w:r>
      <w:r>
        <w:rPr>
          <w:rFonts w:ascii="Times New Roman" w:hAnsi="Times New Roman" w:eastAsia="宋体"/>
          <w:color w:val="auto"/>
          <w:sz w:val="15"/>
          <w:szCs w:val="15"/>
        </w:rPr>
        <w:t>1</w:t>
      </w:r>
      <w:r>
        <w:rPr>
          <w:rFonts w:ascii="Times New Roman" w:hAnsi="宋体" w:eastAsia="宋体"/>
          <w:color w:val="auto"/>
          <w:sz w:val="15"/>
          <w:szCs w:val="15"/>
        </w:rPr>
        <w:t>、</w:t>
      </w:r>
      <w:r>
        <w:rPr>
          <w:rFonts w:ascii="Times New Roman" w:hAnsi="宋体" w:eastAsia="宋体"/>
          <w:color w:val="auto"/>
          <w:spacing w:val="-4"/>
          <w:sz w:val="15"/>
          <w:szCs w:val="15"/>
        </w:rPr>
        <w:t>排放增减量：（</w:t>
      </w:r>
      <w:r>
        <w:rPr>
          <w:rFonts w:ascii="Times New Roman" w:hAnsi="Times New Roman" w:eastAsia="宋体"/>
          <w:color w:val="auto"/>
          <w:spacing w:val="-4"/>
          <w:sz w:val="15"/>
          <w:szCs w:val="15"/>
        </w:rPr>
        <w:t>+</w:t>
      </w:r>
      <w:r>
        <w:rPr>
          <w:rFonts w:ascii="Times New Roman" w:hAnsi="宋体" w:eastAsia="宋体"/>
          <w:color w:val="auto"/>
          <w:spacing w:val="-4"/>
          <w:sz w:val="15"/>
          <w:szCs w:val="15"/>
        </w:rPr>
        <w:t>）表示增加，（</w:t>
      </w:r>
      <w:r>
        <w:rPr>
          <w:rFonts w:ascii="Times New Roman" w:hAnsi="Times New Roman" w:eastAsia="宋体"/>
          <w:color w:val="auto"/>
          <w:spacing w:val="-4"/>
          <w:sz w:val="15"/>
          <w:szCs w:val="15"/>
        </w:rPr>
        <w:t>-</w:t>
      </w:r>
      <w:r>
        <w:rPr>
          <w:rFonts w:ascii="Times New Roman" w:hAnsi="宋体" w:eastAsia="宋体"/>
          <w:color w:val="auto"/>
          <w:spacing w:val="-4"/>
          <w:sz w:val="15"/>
          <w:szCs w:val="15"/>
        </w:rPr>
        <w:t>）表示减少。</w:t>
      </w:r>
      <w:r>
        <w:rPr>
          <w:rFonts w:ascii="Times New Roman" w:hAnsi="Times New Roman" w:eastAsia="宋体"/>
          <w:color w:val="auto"/>
          <w:spacing w:val="-4"/>
          <w:sz w:val="15"/>
          <w:szCs w:val="15"/>
        </w:rPr>
        <w:t>2</w:t>
      </w:r>
      <w:r>
        <w:rPr>
          <w:rFonts w:ascii="Times New Roman" w:hAnsi="宋体" w:eastAsia="宋体"/>
          <w:color w:val="auto"/>
          <w:spacing w:val="-4"/>
          <w:sz w:val="15"/>
          <w:szCs w:val="15"/>
        </w:rPr>
        <w:t>、</w:t>
      </w:r>
      <w:r>
        <w:rPr>
          <w:rFonts w:ascii="Times New Roman" w:hAnsi="Times New Roman" w:eastAsia="宋体"/>
          <w:color w:val="auto"/>
          <w:spacing w:val="-4"/>
          <w:sz w:val="15"/>
          <w:szCs w:val="15"/>
        </w:rPr>
        <w:t>(12)=(6)-(8)-(11)</w:t>
      </w:r>
      <w:r>
        <w:rPr>
          <w:rFonts w:ascii="Times New Roman" w:hAnsi="宋体" w:eastAsia="宋体"/>
          <w:color w:val="auto"/>
          <w:spacing w:val="-4"/>
          <w:sz w:val="15"/>
          <w:szCs w:val="15"/>
        </w:rPr>
        <w:t>，（</w:t>
      </w:r>
      <w:r>
        <w:rPr>
          <w:rFonts w:ascii="Times New Roman" w:hAnsi="Times New Roman" w:eastAsia="宋体"/>
          <w:color w:val="auto"/>
          <w:spacing w:val="-4"/>
          <w:sz w:val="15"/>
          <w:szCs w:val="15"/>
        </w:rPr>
        <w:t>9</w:t>
      </w:r>
      <w:r>
        <w:rPr>
          <w:rFonts w:ascii="Times New Roman" w:hAnsi="宋体" w:eastAsia="宋体"/>
          <w:color w:val="auto"/>
          <w:spacing w:val="-4"/>
          <w:sz w:val="15"/>
          <w:szCs w:val="15"/>
        </w:rPr>
        <w:t>）</w:t>
      </w:r>
      <w:r>
        <w:rPr>
          <w:rFonts w:ascii="Times New Roman" w:hAnsi="Times New Roman" w:eastAsia="宋体"/>
          <w:color w:val="auto"/>
          <w:spacing w:val="-4"/>
          <w:sz w:val="15"/>
          <w:szCs w:val="15"/>
        </w:rPr>
        <w:t>= (4)-(5)-(8)- (11) +</w:t>
      </w:r>
      <w:r>
        <w:rPr>
          <w:rFonts w:ascii="Times New Roman" w:hAnsi="宋体" w:eastAsia="宋体"/>
          <w:color w:val="auto"/>
          <w:spacing w:val="-4"/>
          <w:sz w:val="15"/>
          <w:szCs w:val="15"/>
        </w:rPr>
        <w:t>（</w:t>
      </w:r>
      <w:r>
        <w:rPr>
          <w:rFonts w:ascii="Times New Roman" w:hAnsi="Times New Roman" w:eastAsia="宋体"/>
          <w:color w:val="auto"/>
          <w:spacing w:val="-4"/>
          <w:sz w:val="15"/>
          <w:szCs w:val="15"/>
        </w:rPr>
        <w:t>1</w:t>
      </w:r>
      <w:r>
        <w:rPr>
          <w:rFonts w:ascii="Times New Roman" w:hAnsi="宋体" w:eastAsia="宋体"/>
          <w:color w:val="auto"/>
          <w:spacing w:val="-4"/>
          <w:sz w:val="15"/>
          <w:szCs w:val="15"/>
        </w:rPr>
        <w:t>）。</w:t>
      </w:r>
      <w:r>
        <w:rPr>
          <w:rFonts w:ascii="Times New Roman" w:hAnsi="Times New Roman" w:eastAsia="宋体"/>
          <w:color w:val="auto"/>
          <w:spacing w:val="-4"/>
          <w:sz w:val="15"/>
          <w:szCs w:val="15"/>
        </w:rPr>
        <w:t>3</w:t>
      </w:r>
      <w:r>
        <w:rPr>
          <w:rFonts w:ascii="Times New Roman" w:hAnsi="宋体" w:eastAsia="宋体"/>
          <w:color w:val="auto"/>
          <w:spacing w:val="-4"/>
          <w:sz w:val="15"/>
          <w:szCs w:val="15"/>
        </w:rPr>
        <w:t>、计量单位：废水排放量</w:t>
      </w:r>
      <w:r>
        <w:rPr>
          <w:rFonts w:ascii="Times New Roman" w:hAnsi="Times New Roman" w:eastAsia="宋体"/>
          <w:color w:val="auto"/>
          <w:spacing w:val="-4"/>
          <w:sz w:val="15"/>
          <w:szCs w:val="15"/>
        </w:rPr>
        <w:t>——</w:t>
      </w:r>
      <w:r>
        <w:rPr>
          <w:rFonts w:hint="eastAsia" w:ascii="Times New Roman" w:hAnsi="Times New Roman" w:eastAsia="宋体"/>
          <w:color w:val="auto"/>
          <w:spacing w:val="-4"/>
          <w:sz w:val="15"/>
          <w:szCs w:val="15"/>
          <w:lang w:eastAsia="zh-CN"/>
        </w:rPr>
        <w:t>万</w:t>
      </w:r>
      <w:r>
        <w:rPr>
          <w:rFonts w:ascii="Times New Roman" w:hAnsi="宋体" w:eastAsia="宋体"/>
          <w:color w:val="auto"/>
          <w:spacing w:val="-4"/>
          <w:sz w:val="15"/>
          <w:szCs w:val="15"/>
        </w:rPr>
        <w:t>吨</w:t>
      </w:r>
      <w:r>
        <w:rPr>
          <w:rFonts w:ascii="Times New Roman" w:hAnsi="Times New Roman" w:eastAsia="宋体"/>
          <w:color w:val="auto"/>
          <w:spacing w:val="-4"/>
          <w:sz w:val="15"/>
          <w:szCs w:val="15"/>
        </w:rPr>
        <w:t>/</w:t>
      </w:r>
      <w:r>
        <w:rPr>
          <w:rFonts w:ascii="Times New Roman" w:hAnsi="宋体" w:eastAsia="宋体"/>
          <w:color w:val="auto"/>
          <w:spacing w:val="-4"/>
          <w:sz w:val="15"/>
          <w:szCs w:val="15"/>
        </w:rPr>
        <w:t>年；废气排放量</w:t>
      </w:r>
      <w:r>
        <w:rPr>
          <w:rFonts w:ascii="Times New Roman" w:hAnsi="Times New Roman" w:eastAsia="宋体"/>
          <w:color w:val="auto"/>
          <w:spacing w:val="-4"/>
          <w:sz w:val="15"/>
          <w:szCs w:val="15"/>
        </w:rPr>
        <w:t>——</w:t>
      </w:r>
      <w:r>
        <w:rPr>
          <w:rFonts w:ascii="Times New Roman" w:hAnsi="宋体" w:eastAsia="宋体"/>
          <w:color w:val="auto"/>
          <w:spacing w:val="-4"/>
          <w:sz w:val="15"/>
          <w:szCs w:val="15"/>
        </w:rPr>
        <w:t>标立方米</w:t>
      </w:r>
      <w:r>
        <w:rPr>
          <w:rFonts w:ascii="Times New Roman" w:hAnsi="Times New Roman" w:eastAsia="宋体"/>
          <w:color w:val="auto"/>
          <w:spacing w:val="-4"/>
          <w:sz w:val="15"/>
          <w:szCs w:val="15"/>
        </w:rPr>
        <w:t>/</w:t>
      </w:r>
      <w:r>
        <w:rPr>
          <w:rFonts w:ascii="Times New Roman" w:hAnsi="宋体" w:eastAsia="宋体"/>
          <w:color w:val="auto"/>
          <w:spacing w:val="-4"/>
          <w:sz w:val="15"/>
          <w:szCs w:val="15"/>
        </w:rPr>
        <w:t>年；工业固体废物排放</w:t>
      </w:r>
      <w:r>
        <w:rPr>
          <w:rFonts w:ascii="Times New Roman" w:hAnsi="宋体" w:eastAsia="宋体"/>
          <w:color w:val="auto"/>
          <w:sz w:val="15"/>
          <w:szCs w:val="15"/>
        </w:rPr>
        <w:t>量</w:t>
      </w:r>
      <w:r>
        <w:rPr>
          <w:rFonts w:ascii="Times New Roman" w:hAnsi="Times New Roman" w:eastAsia="宋体"/>
          <w:color w:val="auto"/>
          <w:sz w:val="15"/>
          <w:szCs w:val="15"/>
        </w:rPr>
        <w:t>——</w:t>
      </w:r>
      <w:r>
        <w:rPr>
          <w:rFonts w:ascii="Times New Roman" w:hAnsi="宋体" w:eastAsia="宋体"/>
          <w:color w:val="auto"/>
          <w:sz w:val="15"/>
          <w:szCs w:val="15"/>
        </w:rPr>
        <w:t>万吨</w:t>
      </w:r>
      <w:r>
        <w:rPr>
          <w:rFonts w:ascii="Times New Roman" w:hAnsi="Times New Roman" w:eastAsia="宋体"/>
          <w:color w:val="auto"/>
          <w:sz w:val="15"/>
          <w:szCs w:val="15"/>
        </w:rPr>
        <w:t>/</w:t>
      </w:r>
      <w:r>
        <w:rPr>
          <w:rFonts w:ascii="Times New Roman" w:hAnsi="宋体" w:eastAsia="宋体"/>
          <w:color w:val="auto"/>
          <w:sz w:val="15"/>
          <w:szCs w:val="15"/>
        </w:rPr>
        <w:t>年；水污染物排放浓度</w:t>
      </w:r>
      <w:r>
        <w:rPr>
          <w:rFonts w:ascii="Times New Roman" w:hAnsi="Times New Roman" w:eastAsia="宋体"/>
          <w:color w:val="auto"/>
          <w:sz w:val="15"/>
          <w:szCs w:val="15"/>
        </w:rPr>
        <w:t>——</w:t>
      </w:r>
      <w:r>
        <w:rPr>
          <w:rFonts w:ascii="Times New Roman" w:hAnsi="宋体" w:eastAsia="宋体"/>
          <w:color w:val="auto"/>
          <w:sz w:val="15"/>
          <w:szCs w:val="15"/>
        </w:rPr>
        <w:t>毫克</w:t>
      </w:r>
      <w:r>
        <w:rPr>
          <w:rFonts w:ascii="Times New Roman" w:hAnsi="Times New Roman" w:eastAsia="宋体"/>
          <w:color w:val="auto"/>
          <w:sz w:val="15"/>
          <w:szCs w:val="15"/>
        </w:rPr>
        <w:t>/</w:t>
      </w:r>
      <w:r>
        <w:rPr>
          <w:rFonts w:ascii="Times New Roman" w:hAnsi="宋体" w:eastAsia="宋体"/>
          <w:color w:val="auto"/>
          <w:sz w:val="15"/>
          <w:szCs w:val="15"/>
        </w:rPr>
        <w:t>升；废气排放浓度</w:t>
      </w:r>
      <w:r>
        <w:rPr>
          <w:rFonts w:ascii="Times New Roman" w:hAnsi="Times New Roman" w:eastAsia="宋体"/>
          <w:color w:val="auto"/>
          <w:sz w:val="15"/>
          <w:szCs w:val="15"/>
        </w:rPr>
        <w:t>——</w:t>
      </w:r>
      <w:r>
        <w:rPr>
          <w:rFonts w:ascii="Times New Roman" w:hAnsi="宋体" w:eastAsia="宋体"/>
          <w:color w:val="auto"/>
          <w:sz w:val="15"/>
          <w:szCs w:val="15"/>
        </w:rPr>
        <w:t>毫克</w:t>
      </w:r>
      <w:r>
        <w:rPr>
          <w:rFonts w:ascii="Times New Roman" w:hAnsi="Times New Roman" w:eastAsia="宋体"/>
          <w:color w:val="auto"/>
          <w:sz w:val="15"/>
          <w:szCs w:val="15"/>
        </w:rPr>
        <w:t>/</w:t>
      </w:r>
      <w:r>
        <w:rPr>
          <w:rFonts w:ascii="Times New Roman" w:hAnsi="宋体" w:eastAsia="宋体"/>
          <w:color w:val="auto"/>
          <w:sz w:val="15"/>
          <w:szCs w:val="15"/>
        </w:rPr>
        <w:t>立方</w:t>
      </w:r>
    </w:p>
    <w:sectPr>
      <w:footerReference r:id="rId7" w:type="default"/>
      <w:pgSz w:w="16838" w:h="11906" w:orient="landscape"/>
      <w:pgMar w:top="720" w:right="720" w:bottom="720" w:left="72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新宋体">
    <w:panose1 w:val="02010609030101010101"/>
    <w:charset w:val="86"/>
    <w:family w:val="modern"/>
    <w:pitch w:val="default"/>
    <w:sig w:usb0="00000003" w:usb1="288F0000" w:usb2="00000006" w:usb3="00000000" w:csb0="00040001" w:csb1="00000000"/>
  </w:font>
  <w:font w:name="MicrosoftYaHei">
    <w:altName w:val="Segoe Print"/>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05A0D">
    <w:pPr>
      <w:pStyle w:val="15"/>
      <w:tabs>
        <w:tab w:val="clear" w:pos="4153"/>
      </w:tabs>
      <w:spacing w:after="0"/>
      <w:ind w:right="360" w:firstLine="36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1F532">
    <w:pPr>
      <w:pStyle w:val="15"/>
      <w:tabs>
        <w:tab w:val="clear" w:pos="4153"/>
      </w:tabs>
      <w:spacing w:after="0"/>
      <w:ind w:right="360" w:firstLine="360"/>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CE25B0">
                          <w:pPr>
                            <w:pStyle w:val="15"/>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9CE25B0">
                    <w:pPr>
                      <w:pStyle w:val="15"/>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767B2">
    <w:pPr>
      <w:pStyle w:val="15"/>
      <w:rPr>
        <w:rFonts w:hint="eastAsia" w:eastAsia="宋体"/>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6D4BDE"/>
    <w:multiLevelType w:val="singleLevel"/>
    <w:tmpl w:val="F66D4BDE"/>
    <w:lvl w:ilvl="0" w:tentative="0">
      <w:start w:val="1"/>
      <w:numFmt w:val="decimal"/>
      <w:suff w:val="nothing"/>
      <w:lvlText w:val="（%1）"/>
      <w:lvlJc w:val="left"/>
    </w:lvl>
  </w:abstractNum>
  <w:abstractNum w:abstractNumId="1">
    <w:nsid w:val="65C9E9AA"/>
    <w:multiLevelType w:val="singleLevel"/>
    <w:tmpl w:val="65C9E9AA"/>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GZjMDA2YjkzN2UyZmYwMTMzMzIzMmZkMjE2NTMifQ=="/>
  </w:docVars>
  <w:rsids>
    <w:rsidRoot w:val="00172A27"/>
    <w:rsid w:val="011B6997"/>
    <w:rsid w:val="012D66CB"/>
    <w:rsid w:val="021B3A7E"/>
    <w:rsid w:val="022D72E6"/>
    <w:rsid w:val="02810A7C"/>
    <w:rsid w:val="048D7E88"/>
    <w:rsid w:val="05E80ABB"/>
    <w:rsid w:val="0608482E"/>
    <w:rsid w:val="06651836"/>
    <w:rsid w:val="06BF5748"/>
    <w:rsid w:val="08E6788B"/>
    <w:rsid w:val="0A55120F"/>
    <w:rsid w:val="0B7C073E"/>
    <w:rsid w:val="0B894B7C"/>
    <w:rsid w:val="0C815114"/>
    <w:rsid w:val="0F956886"/>
    <w:rsid w:val="0FD859EA"/>
    <w:rsid w:val="10757746"/>
    <w:rsid w:val="11843FEF"/>
    <w:rsid w:val="11E76422"/>
    <w:rsid w:val="13070B2A"/>
    <w:rsid w:val="13C56D49"/>
    <w:rsid w:val="13C833DE"/>
    <w:rsid w:val="1461426A"/>
    <w:rsid w:val="159D799B"/>
    <w:rsid w:val="168229B3"/>
    <w:rsid w:val="16BE6D8A"/>
    <w:rsid w:val="171165D8"/>
    <w:rsid w:val="18EE7612"/>
    <w:rsid w:val="18FC1C10"/>
    <w:rsid w:val="1A0F6642"/>
    <w:rsid w:val="1E0F6FDC"/>
    <w:rsid w:val="1EDB305C"/>
    <w:rsid w:val="1F242A63"/>
    <w:rsid w:val="1F6A74D6"/>
    <w:rsid w:val="20B91E5B"/>
    <w:rsid w:val="2115180C"/>
    <w:rsid w:val="23D77FBF"/>
    <w:rsid w:val="243A6885"/>
    <w:rsid w:val="244226EF"/>
    <w:rsid w:val="25272AE8"/>
    <w:rsid w:val="25A8777C"/>
    <w:rsid w:val="269A49CD"/>
    <w:rsid w:val="28E650F2"/>
    <w:rsid w:val="29585E98"/>
    <w:rsid w:val="2BF41A96"/>
    <w:rsid w:val="2F183841"/>
    <w:rsid w:val="31243945"/>
    <w:rsid w:val="32FB0E71"/>
    <w:rsid w:val="334825B2"/>
    <w:rsid w:val="33583534"/>
    <w:rsid w:val="34A82625"/>
    <w:rsid w:val="34BC6385"/>
    <w:rsid w:val="3640380C"/>
    <w:rsid w:val="39A60124"/>
    <w:rsid w:val="3A8746D6"/>
    <w:rsid w:val="3B6C0B0C"/>
    <w:rsid w:val="3C0D6901"/>
    <w:rsid w:val="3DC92628"/>
    <w:rsid w:val="3EA55A47"/>
    <w:rsid w:val="407364DE"/>
    <w:rsid w:val="40C2093E"/>
    <w:rsid w:val="415070A3"/>
    <w:rsid w:val="41C9151C"/>
    <w:rsid w:val="42725710"/>
    <w:rsid w:val="43785113"/>
    <w:rsid w:val="43B96A42"/>
    <w:rsid w:val="443828B8"/>
    <w:rsid w:val="453557C3"/>
    <w:rsid w:val="47B9188C"/>
    <w:rsid w:val="4AB95D46"/>
    <w:rsid w:val="4AE51C8D"/>
    <w:rsid w:val="4B81190A"/>
    <w:rsid w:val="4B880541"/>
    <w:rsid w:val="4CA00A81"/>
    <w:rsid w:val="4E824FCC"/>
    <w:rsid w:val="51EC4F8C"/>
    <w:rsid w:val="5234204D"/>
    <w:rsid w:val="526210CF"/>
    <w:rsid w:val="54413194"/>
    <w:rsid w:val="54907C78"/>
    <w:rsid w:val="55F9112E"/>
    <w:rsid w:val="5662624F"/>
    <w:rsid w:val="5681201C"/>
    <w:rsid w:val="56AC3817"/>
    <w:rsid w:val="577B25B9"/>
    <w:rsid w:val="57C02622"/>
    <w:rsid w:val="57D87045"/>
    <w:rsid w:val="57E6640E"/>
    <w:rsid w:val="59525615"/>
    <w:rsid w:val="59741916"/>
    <w:rsid w:val="5B9B60F4"/>
    <w:rsid w:val="5D1810FC"/>
    <w:rsid w:val="5E914D18"/>
    <w:rsid w:val="5F3B384B"/>
    <w:rsid w:val="5FCF5AF8"/>
    <w:rsid w:val="606D5311"/>
    <w:rsid w:val="61A42385"/>
    <w:rsid w:val="61B96A60"/>
    <w:rsid w:val="61CB5667"/>
    <w:rsid w:val="61F12AC0"/>
    <w:rsid w:val="62EC6277"/>
    <w:rsid w:val="63626C83"/>
    <w:rsid w:val="64EB7E05"/>
    <w:rsid w:val="65006754"/>
    <w:rsid w:val="657109B4"/>
    <w:rsid w:val="65924550"/>
    <w:rsid w:val="667D11DF"/>
    <w:rsid w:val="66D24120"/>
    <w:rsid w:val="67B657F0"/>
    <w:rsid w:val="67C12EF8"/>
    <w:rsid w:val="68182006"/>
    <w:rsid w:val="69432965"/>
    <w:rsid w:val="6AFF6C48"/>
    <w:rsid w:val="6BF01BF0"/>
    <w:rsid w:val="718D75C1"/>
    <w:rsid w:val="724E6D50"/>
    <w:rsid w:val="73333035"/>
    <w:rsid w:val="739C1D3D"/>
    <w:rsid w:val="76950F4C"/>
    <w:rsid w:val="77103FAC"/>
    <w:rsid w:val="77302EC9"/>
    <w:rsid w:val="773E0B95"/>
    <w:rsid w:val="78FD2735"/>
    <w:rsid w:val="79DB088E"/>
    <w:rsid w:val="7D133243"/>
    <w:rsid w:val="7F0D04A9"/>
    <w:rsid w:val="7F215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ordWrap w:val="0"/>
      <w:topLinePunct/>
      <w:adjustRightInd w:val="0"/>
      <w:snapToGrid w:val="0"/>
      <w:spacing w:line="360" w:lineRule="auto"/>
    </w:pPr>
    <w:rPr>
      <w:rFonts w:ascii="Times New Roman" w:hAnsi="Times New Roman" w:eastAsia="宋体" w:cs="Times New Roman"/>
      <w:sz w:val="24"/>
      <w:szCs w:val="24"/>
      <w:lang w:val="en-US" w:eastAsia="zh-CN" w:bidi="ar-SA"/>
    </w:rPr>
  </w:style>
  <w:style w:type="paragraph" w:styleId="2">
    <w:name w:val="heading 2"/>
    <w:basedOn w:val="1"/>
    <w:next w:val="1"/>
    <w:link w:val="39"/>
    <w:semiHidden/>
    <w:unhideWhenUsed/>
    <w:qFormat/>
    <w:uiPriority w:val="9"/>
    <w:pPr>
      <w:keepNext/>
      <w:keepLines/>
      <w:spacing w:before="260" w:after="260" w:line="416" w:lineRule="auto"/>
      <w:outlineLvl w:val="1"/>
    </w:pPr>
    <w:rPr>
      <w:rFonts w:ascii="Cambria" w:hAnsi="Cambria"/>
      <w:b/>
      <w:bCs/>
      <w:sz w:val="32"/>
      <w:szCs w:val="32"/>
    </w:rPr>
  </w:style>
  <w:style w:type="paragraph" w:styleId="3">
    <w:name w:val="heading 3"/>
    <w:basedOn w:val="1"/>
    <w:next w:val="1"/>
    <w:link w:val="38"/>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link w:val="37"/>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1">
    <w:name w:val="Default Paragraph Font"/>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List 3"/>
    <w:basedOn w:val="1"/>
    <w:next w:val="1"/>
    <w:qFormat/>
    <w:uiPriority w:val="0"/>
    <w:pPr>
      <w:adjustRightInd/>
      <w:spacing w:line="240" w:lineRule="auto"/>
      <w:ind w:left="0" w:leftChars="0" w:firstLine="0" w:firstLineChars="0"/>
      <w:jc w:val="center"/>
      <w:textAlignment w:val="auto"/>
    </w:pPr>
    <w:rPr>
      <w:rFonts w:ascii="Times New Roman" w:hAnsi="Times New Roman" w:eastAsia="宋体"/>
      <w:color w:val="000000" w:themeColor="text1"/>
      <w:sz w:val="21"/>
      <w14:textFill>
        <w14:solidFill>
          <w14:schemeClr w14:val="tx1"/>
        </w14:solidFill>
      </w14:textFill>
    </w:rPr>
  </w:style>
  <w:style w:type="paragraph" w:styleId="6">
    <w:name w:val="Normal Indent"/>
    <w:basedOn w:val="1"/>
    <w:unhideWhenUsed/>
    <w:qFormat/>
    <w:uiPriority w:val="99"/>
    <w:pPr>
      <w:adjustRightInd w:val="0"/>
      <w:spacing w:line="360" w:lineRule="auto"/>
      <w:ind w:firstLine="600" w:firstLineChars="200"/>
      <w:jc w:val="left"/>
    </w:pPr>
    <w:rPr>
      <w:rFonts w:ascii="Times New Roman" w:hAnsi="Times New Roman" w:eastAsia="宋体"/>
      <w:sz w:val="24"/>
    </w:rPr>
  </w:style>
  <w:style w:type="paragraph" w:styleId="7">
    <w:name w:val="toa heading"/>
    <w:basedOn w:val="1"/>
    <w:next w:val="1"/>
    <w:qFormat/>
    <w:uiPriority w:val="0"/>
    <w:pPr>
      <w:spacing w:before="120" w:beforeLines="0" w:beforeAutospacing="0"/>
    </w:pPr>
    <w:rPr>
      <w:rFonts w:ascii="Arial" w:hAnsi="Arial"/>
      <w:sz w:val="24"/>
    </w:rPr>
  </w:style>
  <w:style w:type="paragraph" w:styleId="8">
    <w:name w:val="annotation text"/>
    <w:basedOn w:val="1"/>
    <w:qFormat/>
    <w:uiPriority w:val="0"/>
    <w:pPr>
      <w:jc w:val="left"/>
    </w:pPr>
  </w:style>
  <w:style w:type="paragraph" w:styleId="9">
    <w:name w:val="Salutation"/>
    <w:basedOn w:val="1"/>
    <w:next w:val="1"/>
    <w:qFormat/>
    <w:uiPriority w:val="0"/>
    <w:rPr>
      <w:sz w:val="28"/>
      <w:szCs w:val="20"/>
    </w:rPr>
  </w:style>
  <w:style w:type="paragraph" w:styleId="10">
    <w:name w:val="Body Text"/>
    <w:basedOn w:val="1"/>
    <w:unhideWhenUsed/>
    <w:qFormat/>
    <w:uiPriority w:val="99"/>
    <w:pPr>
      <w:spacing w:after="120"/>
    </w:pPr>
  </w:style>
  <w:style w:type="paragraph" w:styleId="11">
    <w:name w:val="Body Text Indent"/>
    <w:basedOn w:val="1"/>
    <w:next w:val="12"/>
    <w:qFormat/>
    <w:uiPriority w:val="99"/>
    <w:pPr>
      <w:spacing w:line="520" w:lineRule="exact"/>
      <w:ind w:firstLine="480" w:firstLineChars="200"/>
    </w:pPr>
    <w:rPr>
      <w:sz w:val="24"/>
    </w:rPr>
  </w:style>
  <w:style w:type="paragraph" w:styleId="12">
    <w:name w:val="Body Text Indent 2"/>
    <w:basedOn w:val="1"/>
    <w:next w:val="13"/>
    <w:qFormat/>
    <w:uiPriority w:val="0"/>
    <w:pPr>
      <w:spacing w:line="500" w:lineRule="exact"/>
      <w:ind w:firstLine="573"/>
    </w:pPr>
    <w:rPr>
      <w:sz w:val="28"/>
    </w:rPr>
  </w:style>
  <w:style w:type="paragraph" w:styleId="13">
    <w:name w:val="Body Text First Indent 2"/>
    <w:basedOn w:val="11"/>
    <w:next w:val="1"/>
    <w:qFormat/>
    <w:uiPriority w:val="99"/>
    <w:pPr>
      <w:ind w:firstLine="420"/>
    </w:pPr>
  </w:style>
  <w:style w:type="paragraph" w:styleId="14">
    <w:name w:val="Plain Text"/>
    <w:basedOn w:val="1"/>
    <w:next w:val="9"/>
    <w:qFormat/>
    <w:uiPriority w:val="99"/>
    <w:rPr>
      <w:rFonts w:ascii="宋体" w:hAnsi="Courier New"/>
      <w:sz w:val="21"/>
    </w:rPr>
  </w:style>
  <w:style w:type="paragraph" w:styleId="15">
    <w:name w:val="footer"/>
    <w:basedOn w:val="1"/>
    <w:qFormat/>
    <w:uiPriority w:val="0"/>
    <w:pPr>
      <w:tabs>
        <w:tab w:val="center" w:pos="4153"/>
        <w:tab w:val="right" w:pos="8306"/>
      </w:tabs>
    </w:pPr>
    <w:rPr>
      <w:rFonts w:eastAsia="宋体"/>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Body Text 2"/>
    <w:basedOn w:val="1"/>
    <w:next w:val="1"/>
    <w:link w:val="40"/>
    <w:qFormat/>
    <w:uiPriority w:val="0"/>
    <w:pPr>
      <w:spacing w:after="120" w:line="480" w:lineRule="auto"/>
    </w:pPr>
    <w:rPr>
      <w:kern w:val="0"/>
      <w:sz w:val="20"/>
    </w:rPr>
  </w:style>
  <w:style w:type="paragraph" w:styleId="18">
    <w:name w:val="Normal (Web)"/>
    <w:basedOn w:val="1"/>
    <w:qFormat/>
    <w:uiPriority w:val="0"/>
    <w:pPr>
      <w:widowControl/>
      <w:spacing w:before="100" w:beforeAutospacing="1" w:after="100" w:afterAutospacing="1"/>
      <w:jc w:val="left"/>
    </w:pPr>
    <w:rPr>
      <w:rFonts w:ascii="宋体" w:hAnsi="宋体"/>
      <w:kern w:val="0"/>
      <w:sz w:val="24"/>
      <w:szCs w:val="20"/>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annotation reference"/>
    <w:qFormat/>
    <w:uiPriority w:val="0"/>
    <w:rPr>
      <w:sz w:val="21"/>
    </w:rPr>
  </w:style>
  <w:style w:type="paragraph" w:customStyle="1" w:styleId="24">
    <w:name w:val="Default1"/>
    <w:basedOn w:val="25"/>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25">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26">
    <w:name w:val="表格样式"/>
    <w:basedOn w:val="1"/>
    <w:next w:val="1"/>
    <w:link w:val="27"/>
    <w:qFormat/>
    <w:uiPriority w:val="0"/>
    <w:pPr>
      <w:adjustRightInd w:val="0"/>
      <w:spacing w:line="240" w:lineRule="auto"/>
      <w:ind w:firstLine="0"/>
      <w:jc w:val="center"/>
    </w:pPr>
    <w:rPr>
      <w:sz w:val="21"/>
    </w:rPr>
  </w:style>
  <w:style w:type="character" w:customStyle="1" w:styleId="27">
    <w:name w:val="表格样式 Char"/>
    <w:link w:val="26"/>
    <w:qFormat/>
    <w:uiPriority w:val="0"/>
    <w:rPr>
      <w:sz w:val="21"/>
    </w:rPr>
  </w:style>
  <w:style w:type="paragraph" w:styleId="28">
    <w:name w:val="List Paragraph"/>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paragraph" w:customStyle="1" w:styleId="29">
    <w:name w:val="Default"/>
    <w:basedOn w:val="30"/>
    <w:next w:val="31"/>
    <w:qFormat/>
    <w:uiPriority w:val="0"/>
    <w:pPr>
      <w:autoSpaceDE w:val="0"/>
      <w:autoSpaceDN w:val="0"/>
      <w:adjustRightInd w:val="0"/>
    </w:pPr>
    <w:rPr>
      <w:rFonts w:ascii="宋体" w:hAnsi="Calibri" w:cs="宋体" w:eastAsiaTheme="minorEastAsia"/>
      <w:color w:val="000000"/>
      <w:sz w:val="24"/>
    </w:rPr>
  </w:style>
  <w:style w:type="paragraph" w:customStyle="1" w:styleId="30">
    <w:name w:val="标题2"/>
    <w:basedOn w:val="1"/>
    <w:qFormat/>
    <w:uiPriority w:val="99"/>
    <w:pPr>
      <w:spacing w:line="360" w:lineRule="auto"/>
      <w:jc w:val="left"/>
    </w:pPr>
    <w:rPr>
      <w:b/>
      <w:sz w:val="28"/>
    </w:rPr>
  </w:style>
  <w:style w:type="paragraph" w:customStyle="1" w:styleId="31">
    <w:name w:val="样式35"/>
    <w:basedOn w:val="2"/>
    <w:link w:val="42"/>
    <w:qFormat/>
    <w:uiPriority w:val="0"/>
    <w:pPr>
      <w:spacing w:before="0" w:after="0" w:line="360" w:lineRule="auto"/>
      <w:ind w:firstLine="482" w:firstLineChars="200"/>
    </w:pPr>
    <w:rPr>
      <w:rFonts w:ascii="Times New Roman" w:hAnsi="Times New Roman"/>
      <w:b w:val="0"/>
      <w:sz w:val="24"/>
    </w:rPr>
  </w:style>
  <w:style w:type="character" w:customStyle="1" w:styleId="32">
    <w:name w:val="报告表正文 Char"/>
    <w:link w:val="33"/>
    <w:qFormat/>
    <w:locked/>
    <w:uiPriority w:val="99"/>
    <w:rPr>
      <w:rFonts w:ascii="Calibri" w:hAnsi="Calibri"/>
      <w:kern w:val="0"/>
      <w:sz w:val="20"/>
      <w:szCs w:val="20"/>
      <w:lang w:val="zh-CN"/>
    </w:rPr>
  </w:style>
  <w:style w:type="paragraph" w:customStyle="1" w:styleId="33">
    <w:name w:val="报告表正文"/>
    <w:basedOn w:val="1"/>
    <w:link w:val="32"/>
    <w:qFormat/>
    <w:uiPriority w:val="99"/>
    <w:pPr>
      <w:spacing w:line="360" w:lineRule="auto"/>
      <w:ind w:firstLine="200"/>
    </w:pPr>
    <w:rPr>
      <w:rFonts w:ascii="Calibri" w:hAnsi="Calibri"/>
      <w:kern w:val="0"/>
      <w:sz w:val="20"/>
      <w:szCs w:val="20"/>
      <w:lang w:val="zh-CN"/>
    </w:rPr>
  </w:style>
  <w:style w:type="paragraph" w:customStyle="1" w:styleId="34">
    <w:name w:val="表格标题"/>
    <w:basedOn w:val="1"/>
    <w:next w:val="35"/>
    <w:qFormat/>
    <w:uiPriority w:val="0"/>
    <w:pPr>
      <w:jc w:val="center"/>
    </w:pPr>
    <w:rPr>
      <w:b/>
      <w:kern w:val="0"/>
    </w:rPr>
  </w:style>
  <w:style w:type="paragraph" w:customStyle="1" w:styleId="35">
    <w:name w:val="表格内容"/>
    <w:basedOn w:val="14"/>
    <w:next w:val="1"/>
    <w:qFormat/>
    <w:uiPriority w:val="0"/>
    <w:pPr>
      <w:spacing w:line="240" w:lineRule="atLeast"/>
      <w:jc w:val="center"/>
    </w:pPr>
    <w:rPr>
      <w:kern w:val="0"/>
      <w:szCs w:val="20"/>
    </w:rPr>
  </w:style>
  <w:style w:type="paragraph" w:customStyle="1" w:styleId="36">
    <w:name w:val="xl27"/>
    <w:basedOn w:val="1"/>
    <w:next w:val="1"/>
    <w:link w:val="4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character" w:customStyle="1" w:styleId="37">
    <w:name w:val="标题 4 Char"/>
    <w:link w:val="4"/>
    <w:qFormat/>
    <w:uiPriority w:val="0"/>
    <w:rPr>
      <w:rFonts w:ascii="Arial" w:hAnsi="Arial" w:eastAsia="黑体"/>
      <w:b/>
      <w:sz w:val="28"/>
    </w:rPr>
  </w:style>
  <w:style w:type="character" w:customStyle="1" w:styleId="38">
    <w:name w:val="标题 3 Char"/>
    <w:link w:val="3"/>
    <w:qFormat/>
    <w:uiPriority w:val="0"/>
    <w:rPr>
      <w:b/>
      <w:sz w:val="32"/>
    </w:rPr>
  </w:style>
  <w:style w:type="character" w:customStyle="1" w:styleId="39">
    <w:name w:val="标题 2 Char"/>
    <w:link w:val="2"/>
    <w:qFormat/>
    <w:uiPriority w:val="9"/>
    <w:rPr>
      <w:rFonts w:ascii="Cambria" w:hAnsi="Cambria"/>
      <w:b/>
      <w:bCs/>
      <w:sz w:val="32"/>
      <w:szCs w:val="32"/>
    </w:rPr>
  </w:style>
  <w:style w:type="character" w:customStyle="1" w:styleId="40">
    <w:name w:val="正文文本 2 Char"/>
    <w:link w:val="17"/>
    <w:qFormat/>
    <w:uiPriority w:val="0"/>
    <w:rPr>
      <w:kern w:val="0"/>
      <w:sz w:val="20"/>
    </w:rPr>
  </w:style>
  <w:style w:type="character" w:customStyle="1" w:styleId="41">
    <w:name w:val="xl27 Char"/>
    <w:link w:val="36"/>
    <w:qFormat/>
    <w:uiPriority w:val="0"/>
    <w:rPr>
      <w:rFonts w:hint="eastAsia" w:ascii="PMingLiU" w:eastAsia="PMingLiU" w:cs="Times New Roman"/>
      <w:kern w:val="0"/>
      <w:sz w:val="16"/>
      <w:szCs w:val="16"/>
      <w:lang w:eastAsia="zh-TW"/>
    </w:rPr>
  </w:style>
  <w:style w:type="character" w:customStyle="1" w:styleId="42">
    <w:name w:val="样式35 Char"/>
    <w:link w:val="31"/>
    <w:qFormat/>
    <w:uiPriority w:val="0"/>
    <w:rPr>
      <w:rFonts w:ascii="Times New Roman" w:hAnsi="Times New Roman"/>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rot="0" vertOverflow="overflow" horzOverflow="overflow" vert="horz" wrap="square" lIns="91440" tIns="45720" rIns="91440" bIns="4572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22711</Words>
  <Characters>26722</Characters>
  <Lines>0</Lines>
  <Paragraphs>0</Paragraphs>
  <TotalTime>24</TotalTime>
  <ScaleCrop>false</ScaleCrop>
  <LinksUpToDate>false</LinksUpToDate>
  <CharactersWithSpaces>27042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2024-07-17T00:50:00Z</dcterms:created>
  <dc:creator>桥豆麻袋</dc:creator>
  <cp:lastModifiedBy>桥豆麻袋</cp:lastModifiedBy>
  <dcterms:modified xsi:type="dcterms:W3CDTF">2024-09-26T08:39:47Z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728B16AEE4F84EE2AFC9F34D0A922AC8_13</vt:lpwstr>
  </property>
</Properties>
</file>