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21F29">
      <w:pPr>
        <w:keepNext w:val="0"/>
        <w:pageBreakBefore w:val="0"/>
        <w:kinsoku/>
        <w:overflowPunct/>
        <w:autoSpaceDE/>
        <w:autoSpaceDN/>
        <w:bidi w:val="0"/>
        <w:snapToGrid w:val="0"/>
        <w:ind w:left="0" w:leftChars="0" w:firstLine="0" w:firstLineChars="0"/>
        <w:jc w:val="center"/>
        <w:textAlignment w:val="auto"/>
        <w:rPr>
          <w:rFonts w:hint="eastAsia" w:ascii="宋体" w:hAnsi="宋体" w:eastAsia="宋体" w:cs="宋体"/>
          <w:b/>
          <w:bCs/>
          <w:color w:val="auto"/>
          <w:sz w:val="36"/>
          <w:szCs w:val="36"/>
          <w:lang w:eastAsia="zh-CN"/>
        </w:rPr>
      </w:pPr>
      <w:r>
        <w:rPr>
          <w:rFonts w:hint="eastAsia" w:ascii="宋体" w:hAnsi="宋体" w:eastAsia="宋体" w:cs="宋体"/>
          <w:b/>
          <w:bCs/>
          <w:color w:val="auto"/>
          <w:sz w:val="36"/>
          <w:szCs w:val="36"/>
          <w:u w:val="none"/>
          <w:lang w:eastAsia="zh-CN"/>
        </w:rPr>
        <w:t>舒城润昇门业有限公司</w:t>
      </w:r>
      <w:r>
        <w:rPr>
          <w:rFonts w:hint="eastAsia" w:ascii="宋体" w:hAnsi="宋体" w:eastAsia="宋体" w:cs="宋体"/>
          <w:b/>
          <w:bCs/>
          <w:color w:val="auto"/>
          <w:sz w:val="36"/>
          <w:szCs w:val="36"/>
        </w:rPr>
        <w:t>钢制非标门加工制造项目</w:t>
      </w:r>
      <w:r>
        <w:rPr>
          <w:rFonts w:hint="eastAsia" w:ascii="宋体" w:hAnsi="宋体" w:eastAsia="宋体" w:cs="宋体"/>
          <w:b/>
          <w:bCs/>
          <w:color w:val="auto"/>
          <w:sz w:val="36"/>
          <w:szCs w:val="36"/>
          <w:lang w:eastAsia="zh-CN"/>
        </w:rPr>
        <w:t>竣工环境保护验收意见</w:t>
      </w:r>
    </w:p>
    <w:p w14:paraId="21989D27">
      <w:pPr>
        <w:keepNext w:val="0"/>
        <w:keepLines/>
        <w:pageBreakBefore w:val="0"/>
        <w:widowControl/>
        <w:kinsoku/>
        <w:wordWrap w:val="0"/>
        <w:overflowPunct/>
        <w:topLinePunct/>
        <w:autoSpaceDE/>
        <w:autoSpaceDN/>
        <w:bidi w:val="0"/>
        <w:adjustRightInd w:val="0"/>
        <w:snapToGrid w:val="0"/>
        <w:spacing w:line="360" w:lineRule="auto"/>
        <w:ind w:firstLine="480" w:firstLineChars="200"/>
        <w:textAlignment w:val="auto"/>
        <w:rPr>
          <w:rFonts w:hint="eastAsia"/>
          <w:sz w:val="24"/>
          <w:szCs w:val="24"/>
          <w:lang w:val="en-US" w:eastAsia="zh-CN"/>
        </w:rPr>
      </w:pPr>
      <w:r>
        <w:rPr>
          <w:rFonts w:hint="eastAsia"/>
          <w:sz w:val="24"/>
          <w:szCs w:val="24"/>
          <w:lang w:val="en-US" w:eastAsia="zh-CN"/>
        </w:rPr>
        <w:t>2024年8月25日，舒城润昇门业有限公司钢制非标门加工制造</w:t>
      </w:r>
      <w:r>
        <w:rPr>
          <w:rFonts w:hint="default"/>
          <w:sz w:val="24"/>
          <w:szCs w:val="24"/>
          <w:lang w:val="en-US" w:eastAsia="zh-CN"/>
        </w:rPr>
        <w:t>项目</w:t>
      </w:r>
      <w:r>
        <w:rPr>
          <w:rFonts w:hint="eastAsia"/>
          <w:sz w:val="24"/>
          <w:szCs w:val="24"/>
          <w:lang w:val="en-US" w:eastAsia="zh-CN"/>
        </w:rPr>
        <w:t>竣工环境保护验收会议，参加会议的有</w:t>
      </w:r>
      <w:r>
        <w:rPr>
          <w:rFonts w:hint="eastAsia" w:ascii="宋体" w:hAnsi="宋体" w:eastAsia="宋体" w:cs="宋体"/>
          <w:b w:val="0"/>
          <w:bCs w:val="0"/>
          <w:color w:val="auto"/>
          <w:sz w:val="24"/>
          <w:szCs w:val="24"/>
          <w:u w:val="none"/>
          <w:lang w:eastAsia="zh-CN"/>
        </w:rPr>
        <w:t>舒城润昇门业有限公司</w:t>
      </w:r>
      <w:r>
        <w:rPr>
          <w:rFonts w:hint="eastAsia"/>
          <w:sz w:val="24"/>
          <w:szCs w:val="24"/>
          <w:lang w:val="en-US" w:eastAsia="zh-CN"/>
        </w:rPr>
        <w:t>及舒城县生态环境分局、舒城县生态环境监测站的4位专家，与会者踏勘了项目现场，听取了建设单位关于项目建设情况的报告和检测报告单位关于环境保护执行情况的汇报，经认真讨论，形成意见如下：</w:t>
      </w:r>
    </w:p>
    <w:p w14:paraId="71C63371">
      <w:pPr>
        <w:keepNext w:val="0"/>
        <w:keepLines/>
        <w:pageBreakBefore w:val="0"/>
        <w:widowControl/>
        <w:numPr>
          <w:ilvl w:val="0"/>
          <w:numId w:val="0"/>
        </w:numPr>
        <w:kinsoku/>
        <w:wordWrap w:val="0"/>
        <w:overflowPunct/>
        <w:topLinePunct/>
        <w:autoSpaceDE/>
        <w:autoSpaceDN/>
        <w:bidi w:val="0"/>
        <w:adjustRightInd w:val="0"/>
        <w:snapToGrid w:val="0"/>
        <w:spacing w:line="36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bidi="ar-SA"/>
        </w:rPr>
        <w:t>一、</w:t>
      </w:r>
      <w:r>
        <w:rPr>
          <w:rFonts w:hint="eastAsia" w:ascii="宋体" w:hAnsi="宋体" w:eastAsia="宋体" w:cs="宋体"/>
          <w:b/>
          <w:bCs/>
          <w:sz w:val="24"/>
          <w:szCs w:val="24"/>
          <w:lang w:val="en-US" w:eastAsia="zh-CN"/>
        </w:rPr>
        <w:t>工程建设基本情况</w:t>
      </w:r>
    </w:p>
    <w:p w14:paraId="71525304">
      <w:pPr>
        <w:keepNext w:val="0"/>
        <w:keepLines/>
        <w:pageBreakBefore w:val="0"/>
        <w:widowControl/>
        <w:numPr>
          <w:ilvl w:val="0"/>
          <w:numId w:val="0"/>
        </w:numPr>
        <w:kinsoku/>
        <w:wordWrap w:val="0"/>
        <w:overflowPunct/>
        <w:topLinePunct/>
        <w:autoSpaceDE/>
        <w:autoSpaceDN/>
        <w:bidi w:val="0"/>
        <w:adjustRightInd w:val="0"/>
        <w:snapToGrid w:val="0"/>
        <w:spacing w:line="360" w:lineRule="auto"/>
        <w:ind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bidi="ar-SA"/>
        </w:rPr>
        <w:t>1、</w:t>
      </w:r>
      <w:r>
        <w:rPr>
          <w:rFonts w:hint="default" w:ascii="Times New Roman" w:hAnsi="Times New Roman" w:eastAsia="宋体" w:cs="Times New Roman"/>
          <w:b/>
          <w:bCs/>
          <w:sz w:val="24"/>
          <w:szCs w:val="24"/>
          <w:lang w:val="en-US" w:eastAsia="zh-CN"/>
        </w:rPr>
        <w:t>建设地点、规模和主要建设内容</w:t>
      </w:r>
    </w:p>
    <w:p w14:paraId="3FECD558">
      <w:pPr>
        <w:keepNext w:val="0"/>
        <w:keepLines w:val="0"/>
        <w:pageBreakBefore w:val="0"/>
        <w:widowControl/>
        <w:kinsoku/>
        <w:wordWrap/>
        <w:overflowPunct/>
        <w:topLinePunct w:val="0"/>
        <w:autoSpaceDE/>
        <w:autoSpaceDN/>
        <w:bidi w:val="0"/>
        <w:adjustRightInd w:val="0"/>
        <w:snapToGrid w:val="0"/>
        <w:ind w:firstLine="480" w:firstLineChars="200"/>
        <w:textAlignment w:val="auto"/>
        <w:rPr>
          <w:rFonts w:hint="default" w:ascii="Times New Roman" w:hAnsi="Times New Roman" w:eastAsia="宋体" w:cs="Times New Roman"/>
          <w:szCs w:val="24"/>
          <w:lang w:val="en-US" w:eastAsia="zh-CN"/>
        </w:rPr>
      </w:pPr>
      <w:r>
        <w:rPr>
          <w:rFonts w:hint="eastAsia"/>
          <w:lang w:val="en-US" w:eastAsia="zh-CN"/>
        </w:rPr>
        <w:t>本项目建设地点位于</w:t>
      </w:r>
      <w:r>
        <w:rPr>
          <w:rFonts w:hint="eastAsia"/>
        </w:rPr>
        <w:t>安徽省六安市舒城县安徽舒城经济开发区纬三路万德产业园3号楼D座</w:t>
      </w:r>
      <w:r>
        <w:rPr>
          <w:rFonts w:hint="eastAsia"/>
          <w:lang w:val="en-US" w:eastAsia="zh-CN"/>
        </w:rPr>
        <w:t>1~3F及5号楼1F；</w:t>
      </w:r>
      <w:r>
        <w:rPr>
          <w:rFonts w:hint="default"/>
          <w:lang w:val="en-US" w:eastAsia="zh-CN"/>
        </w:rPr>
        <w:t>厂址</w:t>
      </w:r>
      <w:r>
        <w:rPr>
          <w:rFonts w:hint="eastAsia"/>
          <w:lang w:val="en-US" w:eastAsia="zh-CN"/>
        </w:rPr>
        <w:t>中心</w:t>
      </w:r>
      <w:r>
        <w:rPr>
          <w:rFonts w:hint="default"/>
          <w:lang w:val="en-US" w:eastAsia="zh-CN"/>
        </w:rPr>
        <w:t>经纬度坐标</w:t>
      </w:r>
      <w:r>
        <w:rPr>
          <w:rFonts w:hint="eastAsia"/>
          <w:lang w:val="en-US" w:eastAsia="zh-CN"/>
        </w:rPr>
        <w:t>为</w:t>
      </w:r>
      <w:r>
        <w:rPr>
          <w:rFonts w:hint="default"/>
          <w:lang w:val="en-US" w:eastAsia="zh-CN"/>
        </w:rPr>
        <w:t>：</w:t>
      </w:r>
      <w:r>
        <w:t>1</w:t>
      </w:r>
      <w:r>
        <w:rPr>
          <w:rFonts w:hint="eastAsia"/>
        </w:rPr>
        <w:t>16度55分45.146秒</w:t>
      </w:r>
      <w:r>
        <w:rPr>
          <w:rFonts w:hint="eastAsia"/>
          <w:lang w:eastAsia="zh-CN"/>
        </w:rPr>
        <w:t>，</w:t>
      </w:r>
      <w:r>
        <w:t>31</w:t>
      </w:r>
      <w:r>
        <w:rPr>
          <w:rFonts w:hint="eastAsia"/>
        </w:rPr>
        <w:t>度29分12.019秒</w:t>
      </w:r>
      <w:r>
        <w:rPr>
          <w:rFonts w:hint="eastAsia" w:ascii="Times New Roman" w:hAnsi="Times New Roman" w:cs="Times New Roman" w:eastAsiaTheme="minorEastAsia"/>
          <w:kern w:val="0"/>
          <w:szCs w:val="24"/>
          <w:lang w:eastAsia="zh-CN"/>
        </w:rPr>
        <w:t>。项目租赁面积约</w:t>
      </w:r>
      <w:r>
        <w:rPr>
          <w:rFonts w:hint="eastAsia" w:ascii="Times New Roman" w:hAnsi="Times New Roman" w:cs="Times New Roman" w:eastAsiaTheme="minorEastAsia"/>
          <w:kern w:val="0"/>
          <w:szCs w:val="24"/>
          <w:lang w:val="en-US" w:eastAsia="zh-CN"/>
        </w:rPr>
        <w:t>5000m</w:t>
      </w:r>
      <w:r>
        <w:rPr>
          <w:rFonts w:hint="eastAsia" w:ascii="Times New Roman" w:hAnsi="Times New Roman" w:cs="Times New Roman" w:eastAsiaTheme="minorEastAsia"/>
          <w:kern w:val="0"/>
          <w:szCs w:val="24"/>
          <w:vertAlign w:val="superscript"/>
          <w:lang w:val="en-US" w:eastAsia="zh-CN"/>
        </w:rPr>
        <w:t>2</w:t>
      </w:r>
      <w:r>
        <w:rPr>
          <w:rFonts w:hint="eastAsia"/>
          <w:lang w:val="en-US" w:eastAsia="zh-CN"/>
        </w:rPr>
        <w:t>，</w:t>
      </w:r>
      <w:r>
        <w:rPr>
          <w:rFonts w:hint="eastAsia"/>
          <w:color w:val="auto"/>
          <w:kern w:val="0"/>
          <w:sz w:val="24"/>
          <w:lang w:eastAsia="zh-CN"/>
        </w:rPr>
        <w:t>建设</w:t>
      </w:r>
      <w:r>
        <w:rPr>
          <w:rFonts w:hint="eastAsia"/>
          <w:color w:val="auto"/>
          <w:kern w:val="0"/>
          <w:sz w:val="24"/>
        </w:rPr>
        <w:t>机加工</w:t>
      </w:r>
      <w:r>
        <w:rPr>
          <w:rFonts w:hint="eastAsia"/>
          <w:color w:val="auto"/>
          <w:kern w:val="0"/>
          <w:sz w:val="24"/>
          <w:lang w:eastAsia="zh-CN"/>
        </w:rPr>
        <w:t>区</w:t>
      </w:r>
      <w:r>
        <w:rPr>
          <w:rFonts w:hint="eastAsia"/>
          <w:color w:val="auto"/>
          <w:kern w:val="0"/>
          <w:sz w:val="24"/>
        </w:rPr>
        <w:t>、表面涂装加工</w:t>
      </w:r>
      <w:r>
        <w:rPr>
          <w:rFonts w:hint="eastAsia"/>
          <w:color w:val="auto"/>
          <w:kern w:val="0"/>
          <w:sz w:val="24"/>
          <w:lang w:eastAsia="zh-CN"/>
        </w:rPr>
        <w:t>区</w:t>
      </w:r>
      <w:r>
        <w:rPr>
          <w:rFonts w:hint="eastAsia"/>
          <w:color w:val="auto"/>
          <w:kern w:val="0"/>
          <w:sz w:val="24"/>
        </w:rPr>
        <w:t>，</w:t>
      </w:r>
      <w:r>
        <w:rPr>
          <w:rFonts w:hint="eastAsia"/>
          <w:color w:val="auto"/>
          <w:kern w:val="0"/>
          <w:sz w:val="24"/>
          <w:lang w:eastAsia="zh-CN"/>
        </w:rPr>
        <w:t>并</w:t>
      </w:r>
      <w:r>
        <w:rPr>
          <w:rFonts w:hint="eastAsia"/>
          <w:color w:val="auto"/>
          <w:kern w:val="0"/>
          <w:sz w:val="24"/>
        </w:rPr>
        <w:t>购置剪板机、折弯机、电焊机等机加工设备；</w:t>
      </w:r>
      <w:r>
        <w:rPr>
          <w:rFonts w:hint="eastAsia"/>
          <w:color w:val="auto"/>
          <w:kern w:val="0"/>
          <w:sz w:val="24"/>
          <w:lang w:eastAsia="zh-CN"/>
        </w:rPr>
        <w:t>设置</w:t>
      </w:r>
      <w:r>
        <w:rPr>
          <w:rFonts w:hint="eastAsia"/>
          <w:color w:val="auto"/>
          <w:kern w:val="0"/>
          <w:sz w:val="24"/>
        </w:rPr>
        <w:t>脱脂池、表调池、磷化池等表面处理设施；涂装加工区配套烘干供热装置</w:t>
      </w:r>
      <w:r>
        <w:rPr>
          <w:rFonts w:hint="eastAsia"/>
          <w:color w:val="auto"/>
          <w:kern w:val="0"/>
          <w:sz w:val="24"/>
          <w:lang w:val="zh-CN"/>
        </w:rPr>
        <w:t>。建成后</w:t>
      </w:r>
      <w:r>
        <w:rPr>
          <w:color w:val="auto"/>
          <w:kern w:val="0"/>
          <w:sz w:val="24"/>
          <w:lang w:val="zh-CN"/>
        </w:rPr>
        <w:t>可</w:t>
      </w:r>
      <w:r>
        <w:rPr>
          <w:rFonts w:hint="eastAsia"/>
          <w:color w:val="auto"/>
          <w:kern w:val="0"/>
          <w:sz w:val="24"/>
          <w:lang w:val="zh-CN"/>
        </w:rPr>
        <w:t>实现</w:t>
      </w:r>
      <w:r>
        <w:rPr>
          <w:color w:val="auto"/>
          <w:kern w:val="0"/>
          <w:sz w:val="24"/>
          <w:lang w:val="zh-CN"/>
        </w:rPr>
        <w:t>年产</w:t>
      </w:r>
      <w:r>
        <w:rPr>
          <w:rFonts w:hint="eastAsia"/>
          <w:color w:val="auto"/>
          <w:kern w:val="0"/>
          <w:sz w:val="24"/>
        </w:rPr>
        <w:t>10000樘</w:t>
      </w:r>
      <w:r>
        <w:rPr>
          <w:rFonts w:hint="eastAsia" w:eastAsia="新宋体"/>
          <w:color w:val="auto"/>
          <w:kern w:val="0"/>
          <w:sz w:val="24"/>
        </w:rPr>
        <w:t>钢制非标门</w:t>
      </w:r>
      <w:r>
        <w:rPr>
          <w:color w:val="auto"/>
          <w:kern w:val="0"/>
          <w:sz w:val="24"/>
          <w:lang w:val="zh-CN"/>
        </w:rPr>
        <w:t>的生产能力。</w:t>
      </w:r>
    </w:p>
    <w:p w14:paraId="3C72C5C1">
      <w:pPr>
        <w:keepNext w:val="0"/>
        <w:keepLines/>
        <w:pageBreakBefore w:val="0"/>
        <w:widowControl/>
        <w:numPr>
          <w:ilvl w:val="0"/>
          <w:numId w:val="0"/>
        </w:numPr>
        <w:kinsoku/>
        <w:wordWrap w:val="0"/>
        <w:overflowPunct/>
        <w:topLinePunct/>
        <w:autoSpaceDE/>
        <w:autoSpaceDN/>
        <w:bidi w:val="0"/>
        <w:adjustRightInd w:val="0"/>
        <w:snapToGrid w:val="0"/>
        <w:spacing w:line="360" w:lineRule="auto"/>
        <w:ind w:left="0" w:leftChars="0" w:firstLine="482" w:firstLineChars="200"/>
        <w:textAlignment w:val="auto"/>
        <w:rPr>
          <w:rFonts w:hint="eastAsia" w:eastAsiaTheme="minorEastAsia"/>
          <w:b/>
          <w:bCs/>
          <w:sz w:val="24"/>
          <w:szCs w:val="24"/>
          <w:lang w:val="en-US" w:eastAsia="zh-CN"/>
        </w:rPr>
      </w:pPr>
      <w:r>
        <w:rPr>
          <w:rFonts w:hint="eastAsia" w:ascii="Times New Roman" w:hAnsi="Times New Roman" w:cs="Times New Roman" w:eastAsiaTheme="minorEastAsia"/>
          <w:b/>
          <w:bCs/>
          <w:sz w:val="24"/>
          <w:szCs w:val="24"/>
          <w:lang w:val="en-US" w:eastAsia="zh-CN" w:bidi="ar-SA"/>
        </w:rPr>
        <w:t>2、</w:t>
      </w:r>
      <w:r>
        <w:rPr>
          <w:rFonts w:hint="eastAsia" w:eastAsiaTheme="minorEastAsia"/>
          <w:b/>
          <w:bCs/>
          <w:sz w:val="24"/>
          <w:szCs w:val="24"/>
          <w:lang w:val="en-US" w:eastAsia="zh-CN"/>
        </w:rPr>
        <w:t>建设过程</w:t>
      </w:r>
      <w:r>
        <w:rPr>
          <w:rFonts w:hint="eastAsia" w:ascii="宋体" w:hAnsi="宋体" w:eastAsia="宋体" w:cs="宋体"/>
          <w:b/>
          <w:bCs/>
          <w:sz w:val="24"/>
          <w:szCs w:val="24"/>
          <w:lang w:val="en-US" w:eastAsia="zh-CN"/>
        </w:rPr>
        <w:t>及环保审批</w:t>
      </w:r>
      <w:r>
        <w:rPr>
          <w:rFonts w:hint="eastAsia" w:eastAsiaTheme="minorEastAsia"/>
          <w:b/>
          <w:bCs/>
          <w:sz w:val="24"/>
          <w:szCs w:val="24"/>
          <w:lang w:val="en-US" w:eastAsia="zh-CN"/>
        </w:rPr>
        <w:t>情况</w:t>
      </w:r>
    </w:p>
    <w:p w14:paraId="6C93C08F">
      <w:pPr>
        <w:keepNext w:val="0"/>
        <w:keepLines w:val="0"/>
        <w:pageBreakBefore w:val="0"/>
        <w:widowControl/>
        <w:numPr>
          <w:ilvl w:val="0"/>
          <w:numId w:val="0"/>
        </w:numPr>
        <w:kinsoku/>
        <w:overflowPunct/>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pacing w:val="0"/>
          <w:w w:val="100"/>
          <w:sz w:val="24"/>
          <w:szCs w:val="24"/>
          <w:lang w:val="en-US" w:eastAsia="zh-CN"/>
        </w:rPr>
      </w:pPr>
      <w:r>
        <w:rPr>
          <w:rFonts w:hint="eastAsia" w:ascii="Times New Roman" w:hAnsi="Times New Roman" w:cs="Times New Roman" w:eastAsiaTheme="majorEastAsia"/>
          <w:color w:val="auto"/>
          <w:spacing w:val="0"/>
          <w:w w:val="100"/>
          <w:sz w:val="24"/>
          <w:szCs w:val="24"/>
          <w:lang w:val="en-US" w:eastAsia="zh-CN"/>
        </w:rPr>
        <w:t>2022年8月，</w:t>
      </w:r>
      <w:r>
        <w:rPr>
          <w:rFonts w:hint="eastAsia" w:cs="Times New Roman" w:eastAsiaTheme="majorEastAsia"/>
          <w:color w:val="auto"/>
          <w:spacing w:val="0"/>
          <w:w w:val="100"/>
          <w:sz w:val="24"/>
          <w:szCs w:val="24"/>
          <w:lang w:val="en-US" w:eastAsia="zh-CN"/>
        </w:rPr>
        <w:t>委托</w:t>
      </w:r>
      <w:r>
        <w:rPr>
          <w:rFonts w:hint="default" w:ascii="Times New Roman" w:hAnsi="Times New Roman" w:eastAsia="宋体" w:cs="Times New Roman"/>
          <w:color w:val="auto"/>
          <w:spacing w:val="0"/>
          <w:w w:val="100"/>
          <w:sz w:val="24"/>
          <w:szCs w:val="24"/>
        </w:rPr>
        <w:t>安徽有限公司编制</w:t>
      </w:r>
      <w:r>
        <w:rPr>
          <w:rFonts w:hint="eastAsia" w:cs="Times New Roman"/>
          <w:color w:val="auto"/>
          <w:spacing w:val="0"/>
          <w:w w:val="100"/>
          <w:sz w:val="24"/>
          <w:szCs w:val="24"/>
          <w:lang w:eastAsia="zh-CN"/>
        </w:rPr>
        <w:t>了</w:t>
      </w:r>
      <w:r>
        <w:rPr>
          <w:rFonts w:hint="eastAsia" w:cs="Times New Roman" w:eastAsiaTheme="majorEastAsia"/>
          <w:color w:val="auto"/>
          <w:spacing w:val="0"/>
          <w:w w:val="100"/>
          <w:sz w:val="24"/>
          <w:szCs w:val="24"/>
          <w:lang w:val="en-US" w:eastAsia="zh-CN"/>
        </w:rPr>
        <w:t>《舒城润昇门业有限公司钢制非标门加工制造项目环境影响报告表》；</w:t>
      </w:r>
    </w:p>
    <w:p w14:paraId="0A962CF7">
      <w:pPr>
        <w:pStyle w:val="7"/>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pacing w:val="0"/>
          <w:w w:val="100"/>
          <w:sz w:val="24"/>
          <w:szCs w:val="24"/>
          <w:lang w:val="en-US" w:eastAsia="zh-CN"/>
        </w:rPr>
      </w:pPr>
      <w:r>
        <w:rPr>
          <w:rFonts w:hint="default" w:ascii="Times New Roman" w:hAnsi="Times New Roman" w:cs="Times New Roman" w:eastAsiaTheme="majorEastAsia"/>
          <w:color w:val="auto"/>
          <w:spacing w:val="0"/>
          <w:w w:val="100"/>
          <w:lang w:val="en-US" w:eastAsia="zh-CN"/>
        </w:rPr>
        <w:t>2</w:t>
      </w:r>
      <w:r>
        <w:rPr>
          <w:rFonts w:hint="default" w:ascii="Times New Roman" w:hAnsi="Times New Roman" w:eastAsia="宋体" w:cs="Times New Roman"/>
          <w:color w:val="auto"/>
          <w:spacing w:val="0"/>
          <w:w w:val="100"/>
          <w:sz w:val="24"/>
          <w:szCs w:val="24"/>
          <w:lang w:val="en-US" w:eastAsia="zh-CN"/>
        </w:rPr>
        <w:t>022年9月5</w:t>
      </w:r>
      <w:r>
        <w:rPr>
          <w:rFonts w:hint="eastAsia" w:ascii="宋体" w:hAnsi="宋体" w:eastAsia="宋体" w:cs="宋体"/>
          <w:color w:val="auto"/>
          <w:spacing w:val="0"/>
          <w:w w:val="100"/>
          <w:sz w:val="24"/>
          <w:szCs w:val="24"/>
          <w:lang w:val="en-US" w:eastAsia="zh-CN"/>
        </w:rPr>
        <w:t>日，取得舒城县</w:t>
      </w:r>
      <w:r>
        <w:rPr>
          <w:rFonts w:hint="eastAsia" w:ascii="宋体" w:hAnsi="宋体" w:eastAsia="宋体" w:cs="宋体"/>
          <w:color w:val="auto"/>
          <w:sz w:val="24"/>
          <w:szCs w:val="24"/>
          <w:lang w:val="en-US" w:eastAsia="zh-CN"/>
        </w:rPr>
        <w:t>生态环境分局关于《舒城润昇门业有限公司钢制非标门加工制造项目环境影响报告表的</w:t>
      </w:r>
      <w:r>
        <w:rPr>
          <w:rFonts w:hint="eastAsia" w:ascii="宋体" w:hAnsi="宋体" w:eastAsia="宋体" w:cs="宋体"/>
          <w:color w:val="auto"/>
          <w:spacing w:val="0"/>
          <w:w w:val="100"/>
          <w:sz w:val="24"/>
          <w:szCs w:val="24"/>
          <w:lang w:val="en-US" w:eastAsia="zh-CN"/>
        </w:rPr>
        <w:t>批复》</w:t>
      </w:r>
      <w:r>
        <w:rPr>
          <w:rFonts w:hint="default" w:ascii="Times New Roman" w:hAnsi="Times New Roman" w:eastAsia="宋体" w:cs="Times New Roman"/>
          <w:color w:val="auto"/>
          <w:spacing w:val="0"/>
          <w:w w:val="100"/>
          <w:sz w:val="24"/>
          <w:szCs w:val="24"/>
          <w:lang w:val="en-US" w:eastAsia="zh-CN"/>
        </w:rPr>
        <w:t>（舒环评〔2022〕52号）</w:t>
      </w:r>
      <w:r>
        <w:rPr>
          <w:rFonts w:hint="eastAsia" w:cs="Times New Roman"/>
          <w:color w:val="auto"/>
          <w:spacing w:val="0"/>
          <w:w w:val="100"/>
          <w:sz w:val="24"/>
          <w:szCs w:val="24"/>
          <w:lang w:val="en-US" w:eastAsia="zh-CN"/>
        </w:rPr>
        <w:t>；</w:t>
      </w:r>
    </w:p>
    <w:p w14:paraId="4A7EA29E">
      <w:pPr>
        <w:keepNext w:val="0"/>
        <w:keepLines w:val="0"/>
        <w:pageBreakBefore w:val="0"/>
        <w:widowControl/>
        <w:kinsoku/>
        <w:overflowPunct/>
        <w:autoSpaceDE/>
        <w:autoSpaceDN/>
        <w:bidi w:val="0"/>
        <w:adjustRightInd w:val="0"/>
        <w:snapToGrid w:val="0"/>
        <w:spacing w:line="360" w:lineRule="auto"/>
        <w:ind w:firstLine="480" w:firstLineChars="200"/>
        <w:textAlignment w:val="auto"/>
      </w:pPr>
      <w:r>
        <w:rPr>
          <w:rFonts w:hint="default" w:ascii="Times New Roman" w:hAnsi="Times New Roman" w:eastAsia="宋体" w:cs="Times New Roman"/>
          <w:color w:val="auto"/>
          <w:sz w:val="24"/>
          <w:szCs w:val="24"/>
          <w:lang w:val="en-US" w:eastAsia="zh-CN" w:bidi="ar-SA"/>
        </w:rPr>
        <w:t>项目于202</w:t>
      </w:r>
      <w:r>
        <w:rPr>
          <w:rFonts w:hint="eastAsia" w:cs="Times New Roman"/>
          <w:color w:val="auto"/>
          <w:sz w:val="24"/>
          <w:szCs w:val="24"/>
          <w:lang w:val="en-US" w:eastAsia="zh-CN" w:bidi="ar-SA"/>
        </w:rPr>
        <w:t>3</w:t>
      </w:r>
      <w:r>
        <w:rPr>
          <w:rFonts w:hint="default" w:ascii="Times New Roman" w:hAnsi="Times New Roman" w:eastAsia="宋体" w:cs="Times New Roman"/>
          <w:color w:val="auto"/>
          <w:sz w:val="24"/>
          <w:szCs w:val="24"/>
          <w:lang w:val="en-US" w:eastAsia="zh-CN" w:bidi="ar-SA"/>
        </w:rPr>
        <w:t>年</w:t>
      </w:r>
      <w:r>
        <w:rPr>
          <w:rFonts w:hint="eastAsia" w:cs="Times New Roman"/>
          <w:color w:val="auto"/>
          <w:sz w:val="24"/>
          <w:szCs w:val="24"/>
          <w:lang w:val="en-US" w:eastAsia="zh-CN" w:bidi="ar-SA"/>
        </w:rPr>
        <w:t>3</w:t>
      </w:r>
      <w:r>
        <w:rPr>
          <w:rFonts w:hint="default" w:ascii="Times New Roman" w:hAnsi="Times New Roman" w:eastAsia="宋体" w:cs="Times New Roman"/>
          <w:color w:val="auto"/>
          <w:sz w:val="24"/>
          <w:szCs w:val="24"/>
          <w:lang w:val="en-US" w:eastAsia="zh-CN" w:bidi="ar-SA"/>
        </w:rPr>
        <w:t>月建设，202</w:t>
      </w:r>
      <w:r>
        <w:rPr>
          <w:rFonts w:hint="eastAsia" w:cs="Times New Roman"/>
          <w:color w:val="auto"/>
          <w:sz w:val="24"/>
          <w:szCs w:val="24"/>
          <w:lang w:val="en-US" w:eastAsia="zh-CN" w:bidi="ar-SA"/>
        </w:rPr>
        <w:t>4</w:t>
      </w:r>
      <w:r>
        <w:rPr>
          <w:rFonts w:hint="default" w:ascii="Times New Roman" w:hAnsi="Times New Roman" w:eastAsia="宋体" w:cs="Times New Roman"/>
          <w:color w:val="auto"/>
          <w:sz w:val="24"/>
          <w:szCs w:val="24"/>
          <w:lang w:val="en-US" w:eastAsia="zh-CN" w:bidi="ar-SA"/>
        </w:rPr>
        <w:t>年3月</w:t>
      </w:r>
      <w:r>
        <w:rPr>
          <w:rFonts w:hint="eastAsia" w:cs="Times New Roman"/>
          <w:color w:val="auto"/>
          <w:sz w:val="24"/>
          <w:szCs w:val="24"/>
          <w:lang w:val="en-US" w:eastAsia="zh-CN" w:bidi="ar-SA"/>
        </w:rPr>
        <w:t>~6月</w:t>
      </w:r>
      <w:r>
        <w:rPr>
          <w:rFonts w:hint="default" w:ascii="Times New Roman" w:hAnsi="Times New Roman" w:eastAsia="宋体" w:cs="Times New Roman"/>
          <w:color w:val="auto"/>
          <w:sz w:val="24"/>
          <w:szCs w:val="24"/>
          <w:lang w:val="en-US" w:eastAsia="zh-CN" w:bidi="ar-SA"/>
        </w:rPr>
        <w:t>进行调试，于2024年6月</w:t>
      </w:r>
      <w:r>
        <w:rPr>
          <w:rFonts w:hint="eastAsia" w:ascii="宋体" w:hAnsi="宋体" w:eastAsia="宋体" w:cs="宋体"/>
          <w:color w:val="auto"/>
          <w:sz w:val="24"/>
          <w:szCs w:val="24"/>
          <w:lang w:val="en-US" w:eastAsia="zh-CN" w:bidi="ar-SA"/>
        </w:rPr>
        <w:t>组织开展自主验收</w:t>
      </w:r>
      <w:r>
        <w:rPr>
          <w:rFonts w:hint="eastAsia" w:ascii="宋体" w:hAnsi="宋体" w:eastAsia="宋体" w:cs="宋体"/>
          <w:color w:val="auto"/>
          <w:sz w:val="24"/>
          <w:szCs w:val="24"/>
          <w:lang w:val="en-US" w:eastAsia="zh-CN"/>
        </w:rPr>
        <w:t>工作</w:t>
      </w:r>
      <w:r>
        <w:rPr>
          <w:rFonts w:hint="eastAsia" w:ascii="宋体" w:hAnsi="宋体" w:cs="宋体"/>
          <w:color w:val="auto"/>
          <w:sz w:val="24"/>
          <w:szCs w:val="24"/>
          <w:lang w:val="en-US" w:eastAsia="zh-CN"/>
        </w:rPr>
        <w:t>；</w:t>
      </w:r>
    </w:p>
    <w:p w14:paraId="505639F0">
      <w:pPr>
        <w:pStyle w:val="4"/>
        <w:keepNext w:val="0"/>
        <w:keepLines/>
        <w:pageBreakBefore w:val="0"/>
        <w:widowControl/>
        <w:kinsoku/>
        <w:wordWrap w:val="0"/>
        <w:overflowPunct/>
        <w:topLinePunct/>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lang w:val="en-US" w:eastAsia="zh-CN"/>
        </w:rPr>
        <w:t>2024年8月19日，项目取得排污许可登记回执。</w:t>
      </w:r>
    </w:p>
    <w:p w14:paraId="647740F4">
      <w:pPr>
        <w:keepNext w:val="0"/>
        <w:keepLines/>
        <w:pageBreakBefore w:val="0"/>
        <w:widowControl/>
        <w:kinsoku/>
        <w:wordWrap w:val="0"/>
        <w:overflowPunct/>
        <w:topLinePunct/>
        <w:autoSpaceDE/>
        <w:autoSpaceDN/>
        <w:bidi w:val="0"/>
        <w:adjustRightInd w:val="0"/>
        <w:snapToGrid w:val="0"/>
        <w:spacing w:line="360" w:lineRule="auto"/>
        <w:textAlignment w:val="auto"/>
        <w:rPr>
          <w:rFonts w:hint="eastAsia"/>
          <w:b/>
          <w:bCs/>
          <w:sz w:val="24"/>
          <w:szCs w:val="24"/>
          <w:lang w:val="en-US" w:eastAsia="zh-CN"/>
        </w:rPr>
      </w:pPr>
      <w:r>
        <w:rPr>
          <w:rFonts w:hint="eastAsia"/>
          <w:b/>
          <w:bCs/>
          <w:sz w:val="24"/>
          <w:szCs w:val="24"/>
          <w:lang w:val="en-US" w:eastAsia="zh-CN"/>
        </w:rPr>
        <w:t>3、投资情况</w:t>
      </w:r>
    </w:p>
    <w:p w14:paraId="28FBB729">
      <w:pPr>
        <w:keepNext w:val="0"/>
        <w:keepLines/>
        <w:pageBreakBefore w:val="0"/>
        <w:widowControl/>
        <w:kinsoku/>
        <w:wordWrap w:val="0"/>
        <w:overflowPunct/>
        <w:topLinePunct/>
        <w:autoSpaceDE/>
        <w:autoSpaceDN/>
        <w:bidi w:val="0"/>
        <w:adjustRightInd w:val="0"/>
        <w:snapToGrid w:val="0"/>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本项目总投资998</w:t>
      </w:r>
      <w:r>
        <w:rPr>
          <w:rFonts w:hint="default"/>
          <w:sz w:val="24"/>
          <w:szCs w:val="24"/>
          <w:lang w:val="en-US" w:eastAsia="zh-CN"/>
        </w:rPr>
        <w:t>万元，其中环保投资</w:t>
      </w:r>
      <w:r>
        <w:rPr>
          <w:rFonts w:hint="eastAsia"/>
          <w:sz w:val="24"/>
          <w:szCs w:val="24"/>
          <w:lang w:val="en-US" w:eastAsia="zh-CN"/>
        </w:rPr>
        <w:t>55</w:t>
      </w:r>
      <w:r>
        <w:rPr>
          <w:rFonts w:hint="default"/>
          <w:sz w:val="24"/>
          <w:szCs w:val="24"/>
          <w:lang w:val="en-US" w:eastAsia="zh-CN"/>
        </w:rPr>
        <w:t>万元，占工程总投资的</w:t>
      </w:r>
      <w:r>
        <w:rPr>
          <w:rFonts w:hint="eastAsia"/>
          <w:sz w:val="24"/>
          <w:szCs w:val="24"/>
          <w:lang w:val="en-US" w:eastAsia="zh-CN"/>
        </w:rPr>
        <w:t>5.5</w:t>
      </w:r>
      <w:r>
        <w:rPr>
          <w:rFonts w:hint="default"/>
          <w:sz w:val="24"/>
          <w:szCs w:val="24"/>
          <w:lang w:val="en-US" w:eastAsia="zh-CN"/>
        </w:rPr>
        <w:t>%</w:t>
      </w:r>
      <w:r>
        <w:rPr>
          <w:rFonts w:hint="eastAsia"/>
          <w:sz w:val="24"/>
          <w:szCs w:val="24"/>
          <w:lang w:val="en-US" w:eastAsia="zh-CN"/>
        </w:rPr>
        <w:t>。</w:t>
      </w:r>
    </w:p>
    <w:p w14:paraId="799ED870">
      <w:pPr>
        <w:keepNext w:val="0"/>
        <w:keepLines/>
        <w:pageBreakBefore w:val="0"/>
        <w:widowControl/>
        <w:numPr>
          <w:ilvl w:val="0"/>
          <w:numId w:val="0"/>
        </w:numPr>
        <w:kinsoku/>
        <w:wordWrap w:val="0"/>
        <w:overflowPunct/>
        <w:topLinePunct/>
        <w:autoSpaceDE/>
        <w:autoSpaceDN/>
        <w:bidi w:val="0"/>
        <w:adjustRightInd w:val="0"/>
        <w:snapToGrid w:val="0"/>
        <w:spacing w:line="360" w:lineRule="auto"/>
        <w:textAlignment w:val="auto"/>
        <w:rPr>
          <w:rFonts w:hint="eastAsia"/>
          <w:b/>
          <w:bCs/>
          <w:sz w:val="24"/>
          <w:szCs w:val="24"/>
          <w:lang w:val="en-US" w:eastAsia="zh-CN"/>
        </w:rPr>
      </w:pPr>
      <w:r>
        <w:rPr>
          <w:rFonts w:hint="eastAsia" w:ascii="Times New Roman" w:hAnsi="Times New Roman" w:eastAsia="宋体" w:cs="Times New Roman"/>
          <w:b/>
          <w:bCs/>
          <w:sz w:val="24"/>
          <w:szCs w:val="24"/>
          <w:lang w:val="en-US" w:eastAsia="zh-CN" w:bidi="ar-SA"/>
        </w:rPr>
        <w:t>二、</w:t>
      </w:r>
      <w:r>
        <w:rPr>
          <w:rFonts w:hint="eastAsia" w:ascii="Times New Roman" w:hAnsi="Times New Roman" w:eastAsia="宋体" w:cs="Times New Roman"/>
          <w:b/>
          <w:bCs/>
          <w:sz w:val="24"/>
          <w:szCs w:val="24"/>
          <w:lang w:val="en-US" w:eastAsia="zh-CN"/>
        </w:rPr>
        <w:t>工程变动情况</w:t>
      </w:r>
    </w:p>
    <w:p w14:paraId="1904FE44">
      <w:pPr>
        <w:keepNext w:val="0"/>
        <w:pageBreakBefore w:val="0"/>
        <w:kinsoku/>
        <w:overflowPunct/>
        <w:autoSpaceDE/>
        <w:autoSpaceDN/>
        <w:bidi w:val="0"/>
        <w:snapToGrid w:val="0"/>
        <w:textAlignment w:val="auto"/>
        <w:rPr>
          <w:rFonts w:hint="eastAsia"/>
          <w:color w:val="auto"/>
          <w:sz w:val="24"/>
          <w:szCs w:val="24"/>
          <w:lang w:val="en-US" w:eastAsia="zh-CN"/>
        </w:rPr>
      </w:pPr>
      <w:r>
        <w:rPr>
          <w:rFonts w:hint="eastAsia"/>
          <w:sz w:val="24"/>
          <w:szCs w:val="24"/>
          <w:lang w:val="en-US" w:eastAsia="zh-CN"/>
        </w:rPr>
        <w:t>环评文件及批复中要求设置焊接烟尘由</w:t>
      </w:r>
      <w:r>
        <w:rPr>
          <w:rFonts w:hint="eastAsia"/>
          <w:sz w:val="24"/>
          <w:szCs w:val="24"/>
        </w:rPr>
        <w:t>移动式焊接净化器处理后</w:t>
      </w:r>
      <w:r>
        <w:rPr>
          <w:rFonts w:hint="eastAsia"/>
          <w:sz w:val="24"/>
          <w:szCs w:val="24"/>
          <w:lang w:eastAsia="zh-CN"/>
        </w:rPr>
        <w:t>由管道连到</w:t>
      </w:r>
      <w:r>
        <w:rPr>
          <w:rFonts w:hint="eastAsia"/>
          <w:sz w:val="24"/>
          <w:szCs w:val="24"/>
        </w:rPr>
        <w:t>车间</w:t>
      </w:r>
      <w:r>
        <w:rPr>
          <w:rFonts w:hint="eastAsia"/>
          <w:sz w:val="24"/>
          <w:szCs w:val="24"/>
          <w:lang w:eastAsia="zh-CN"/>
        </w:rPr>
        <w:t>外</w:t>
      </w:r>
      <w:r>
        <w:rPr>
          <w:rFonts w:hint="eastAsia"/>
          <w:sz w:val="24"/>
          <w:szCs w:val="24"/>
        </w:rPr>
        <w:t>排放</w:t>
      </w:r>
      <w:r>
        <w:rPr>
          <w:rFonts w:hint="eastAsia"/>
          <w:sz w:val="24"/>
          <w:szCs w:val="24"/>
          <w:lang w:eastAsia="zh-CN"/>
        </w:rPr>
        <w:t>，</w:t>
      </w:r>
      <w:r>
        <w:rPr>
          <w:rFonts w:hint="eastAsia"/>
          <w:color w:val="auto"/>
          <w:sz w:val="24"/>
          <w:szCs w:val="24"/>
        </w:rPr>
        <w:t>由于焊接件较大且焊接点较为分散，</w:t>
      </w:r>
      <w:r>
        <w:rPr>
          <w:rFonts w:hint="eastAsia"/>
          <w:color w:val="auto"/>
          <w:sz w:val="24"/>
          <w:szCs w:val="24"/>
          <w:lang w:eastAsia="zh-CN"/>
        </w:rPr>
        <w:t>焊接废气</w:t>
      </w:r>
      <w:r>
        <w:rPr>
          <w:rFonts w:hint="eastAsia"/>
          <w:color w:val="auto"/>
          <w:sz w:val="24"/>
          <w:szCs w:val="24"/>
        </w:rPr>
        <w:t>移动式焊接净化器</w:t>
      </w:r>
      <w:r>
        <w:rPr>
          <w:rFonts w:hint="eastAsia"/>
          <w:color w:val="auto"/>
          <w:sz w:val="24"/>
          <w:szCs w:val="24"/>
          <w:lang w:eastAsia="zh-CN"/>
        </w:rPr>
        <w:t>收集</w:t>
      </w:r>
      <w:r>
        <w:rPr>
          <w:rFonts w:hint="eastAsia"/>
          <w:color w:val="auto"/>
          <w:sz w:val="24"/>
          <w:szCs w:val="24"/>
        </w:rPr>
        <w:t>处理</w:t>
      </w:r>
      <w:r>
        <w:rPr>
          <w:rFonts w:hint="eastAsia"/>
          <w:color w:val="auto"/>
          <w:sz w:val="24"/>
          <w:szCs w:val="24"/>
          <w:lang w:eastAsia="zh-CN"/>
        </w:rPr>
        <w:t>后连接到车间外排放</w:t>
      </w:r>
      <w:r>
        <w:rPr>
          <w:rFonts w:hint="eastAsia"/>
          <w:sz w:val="24"/>
          <w:szCs w:val="24"/>
          <w:lang w:eastAsia="zh-CN"/>
        </w:rPr>
        <w:t>；胶合废气</w:t>
      </w:r>
      <w:r>
        <w:rPr>
          <w:rFonts w:hint="eastAsia"/>
          <w:sz w:val="24"/>
          <w:szCs w:val="24"/>
        </w:rPr>
        <w:t>设置密闭胶合间，设负压集气系统对胶合废气进行收集后纳入二级活性炭装置处理后通过</w:t>
      </w:r>
      <w:r>
        <w:rPr>
          <w:rFonts w:hint="eastAsia"/>
          <w:sz w:val="24"/>
          <w:szCs w:val="24"/>
        </w:rPr>
        <w:t>1根15m高排气筒排放</w:t>
      </w:r>
      <w:r>
        <w:rPr>
          <w:rFonts w:hint="eastAsia"/>
          <w:color w:val="auto"/>
          <w:sz w:val="24"/>
          <w:szCs w:val="24"/>
          <w:lang w:eastAsia="zh-CN"/>
        </w:rPr>
        <w:t>，</w:t>
      </w:r>
      <w:r>
        <w:rPr>
          <w:rFonts w:hint="eastAsia"/>
          <w:color w:val="auto"/>
          <w:sz w:val="24"/>
          <w:szCs w:val="24"/>
          <w:lang w:val="en-US" w:eastAsia="zh-CN"/>
        </w:rPr>
        <w:t>胶合作业量少，实际胶合废气产生量少，未设置密闭胶合间，定期做好厂区除臭工作</w:t>
      </w:r>
      <w:r>
        <w:rPr>
          <w:rFonts w:hint="eastAsia"/>
          <w:color w:val="auto"/>
          <w:sz w:val="24"/>
          <w:szCs w:val="24"/>
          <w:lang w:eastAsia="zh-CN"/>
        </w:rPr>
        <w:t>；</w:t>
      </w:r>
      <w:r>
        <w:rPr>
          <w:color w:val="auto"/>
          <w:sz w:val="24"/>
          <w:szCs w:val="24"/>
        </w:rPr>
        <w:t>食堂油烟</w:t>
      </w:r>
      <w:r>
        <w:rPr>
          <w:rFonts w:hint="eastAsia"/>
          <w:color w:val="auto"/>
          <w:sz w:val="24"/>
          <w:szCs w:val="24"/>
          <w:lang w:eastAsia="zh-CN"/>
        </w:rPr>
        <w:t>经</w:t>
      </w:r>
      <w:r>
        <w:rPr>
          <w:color w:val="auto"/>
          <w:sz w:val="24"/>
          <w:szCs w:val="24"/>
        </w:rPr>
        <w:t>油烟净化器处理后</w:t>
      </w:r>
      <w:r>
        <w:rPr>
          <w:rFonts w:hint="eastAsia"/>
          <w:color w:val="auto"/>
          <w:sz w:val="24"/>
          <w:szCs w:val="24"/>
        </w:rPr>
        <w:t>引至屋顶通过8m排气筒</w:t>
      </w:r>
      <w:r>
        <w:rPr>
          <w:color w:val="auto"/>
          <w:sz w:val="24"/>
          <w:szCs w:val="24"/>
        </w:rPr>
        <w:t>排放</w:t>
      </w:r>
      <w:r>
        <w:rPr>
          <w:rFonts w:hint="eastAsia"/>
          <w:color w:val="auto"/>
          <w:sz w:val="24"/>
          <w:szCs w:val="24"/>
          <w:lang w:eastAsia="zh-CN"/>
        </w:rPr>
        <w:t>，</w:t>
      </w:r>
      <w:r>
        <w:rPr>
          <w:rFonts w:hint="eastAsia"/>
          <w:color w:val="auto"/>
          <w:sz w:val="24"/>
          <w:szCs w:val="24"/>
          <w:lang w:val="en-US" w:eastAsia="zh-CN"/>
        </w:rPr>
        <w:t>实际情况为食堂油烟经油烟净化器处理后无组织排放，厂区废气无组织排放符合《大气污染物综合排放标准》（GB1627-1996）标准。</w:t>
      </w:r>
    </w:p>
    <w:p w14:paraId="08722423">
      <w:pPr>
        <w:keepNext w:val="0"/>
        <w:pageBreakBefore w:val="0"/>
        <w:kinsoku/>
        <w:overflowPunct/>
        <w:autoSpaceDE/>
        <w:autoSpaceDN/>
        <w:bidi w:val="0"/>
        <w:snapToGrid w:val="0"/>
        <w:textAlignment w:val="auto"/>
        <w:rPr>
          <w:rFonts w:hint="eastAsia"/>
          <w:bCs/>
          <w:color w:val="auto"/>
          <w:sz w:val="24"/>
          <w:szCs w:val="24"/>
          <w:lang w:val="en-US" w:eastAsia="zh-CN"/>
        </w:rPr>
      </w:pPr>
      <w:r>
        <w:rPr>
          <w:rFonts w:hint="eastAsia"/>
          <w:color w:val="auto"/>
          <w:sz w:val="24"/>
          <w:szCs w:val="24"/>
          <w:lang w:val="en-US" w:eastAsia="zh-CN"/>
        </w:rPr>
        <w:t>环评文件及批复中</w:t>
      </w:r>
      <w:r>
        <w:rPr>
          <w:rFonts w:hint="eastAsia" w:cs="Times New Roman" w:eastAsiaTheme="majorEastAsia"/>
          <w:color w:val="auto"/>
          <w:spacing w:val="0"/>
          <w:w w:val="100"/>
          <w:sz w:val="24"/>
          <w:szCs w:val="24"/>
          <w:lang w:val="en-US" w:eastAsia="zh-CN"/>
        </w:rPr>
        <w:t>舒城润昇门业有限公司租赁万德产业园3号楼作为生产厂房，</w:t>
      </w:r>
      <w:r>
        <w:rPr>
          <w:rFonts w:hint="eastAsia"/>
          <w:bCs/>
          <w:color w:val="auto"/>
          <w:sz w:val="24"/>
          <w:szCs w:val="24"/>
          <w:lang w:eastAsia="zh-CN"/>
        </w:rPr>
        <w:t>本项目实际租赁的万德产业园</w:t>
      </w:r>
      <w:r>
        <w:rPr>
          <w:rFonts w:hint="eastAsia"/>
          <w:bCs/>
          <w:color w:val="auto"/>
          <w:sz w:val="24"/>
          <w:szCs w:val="24"/>
          <w:lang w:val="en-US" w:eastAsia="zh-CN"/>
        </w:rPr>
        <w:t>3#楼1~3F及5#楼1F，3#楼1层为表面处理区、涂装加工区、污水处理站及危废库等，2层为成品仓库，3层为食堂及办公区域；因建设过程中，原租赁3#楼1~3层不足以满足设备安装需求</w:t>
      </w:r>
      <w:r>
        <w:rPr>
          <w:rFonts w:hint="eastAsia"/>
          <w:color w:val="auto"/>
          <w:sz w:val="24"/>
          <w:szCs w:val="24"/>
          <w:lang w:val="en-US" w:eastAsia="zh-CN"/>
        </w:rPr>
        <w:t>，实际</w:t>
      </w:r>
      <w:r>
        <w:rPr>
          <w:rFonts w:hint="eastAsia"/>
          <w:bCs/>
          <w:color w:val="auto"/>
          <w:sz w:val="24"/>
          <w:szCs w:val="24"/>
          <w:lang w:val="en-US" w:eastAsia="zh-CN"/>
        </w:rPr>
        <w:t>另租赁5#楼1层西侧第二间厂房作为机加工区（与3#楼隔路，与原厂区选址距离＜10m），</w:t>
      </w:r>
      <w:r>
        <w:rPr>
          <w:rFonts w:hint="eastAsia" w:ascii="Times New Roman" w:hAnsi="Times New Roman" w:cs="Times New Roman"/>
          <w:color w:val="auto"/>
          <w:sz w:val="24"/>
          <w:szCs w:val="24"/>
        </w:rPr>
        <w:t>环境防护距离范围</w:t>
      </w:r>
      <w:r>
        <w:rPr>
          <w:rFonts w:hint="eastAsia" w:ascii="Times New Roman" w:hAnsi="Times New Roman" w:cs="Times New Roman"/>
          <w:color w:val="auto"/>
          <w:sz w:val="24"/>
          <w:szCs w:val="24"/>
          <w:lang w:eastAsia="zh-CN"/>
        </w:rPr>
        <w:t>未发生</w:t>
      </w:r>
      <w:r>
        <w:rPr>
          <w:rFonts w:hint="eastAsia" w:ascii="Times New Roman" w:hAnsi="Times New Roman" w:cs="Times New Roman"/>
          <w:color w:val="auto"/>
          <w:sz w:val="24"/>
          <w:szCs w:val="24"/>
        </w:rPr>
        <w:t>变化且</w:t>
      </w:r>
      <w:r>
        <w:rPr>
          <w:rFonts w:hint="eastAsia" w:ascii="Times New Roman" w:hAnsi="Times New Roman" w:cs="Times New Roman"/>
          <w:color w:val="auto"/>
          <w:sz w:val="24"/>
          <w:szCs w:val="24"/>
          <w:lang w:eastAsia="zh-CN"/>
        </w:rPr>
        <w:t>未</w:t>
      </w:r>
      <w:r>
        <w:rPr>
          <w:rFonts w:hint="eastAsia" w:ascii="Times New Roman" w:hAnsi="Times New Roman" w:cs="Times New Roman"/>
          <w:color w:val="auto"/>
          <w:sz w:val="24"/>
          <w:szCs w:val="24"/>
        </w:rPr>
        <w:t>新增敏感点</w:t>
      </w:r>
      <w:r>
        <w:rPr>
          <w:rFonts w:hint="eastAsia"/>
          <w:bCs/>
          <w:color w:val="auto"/>
          <w:sz w:val="24"/>
          <w:szCs w:val="24"/>
          <w:lang w:val="en-US" w:eastAsia="zh-CN"/>
        </w:rPr>
        <w:t>。</w:t>
      </w:r>
    </w:p>
    <w:p w14:paraId="1D9A06D3">
      <w:pPr>
        <w:keepNext w:val="0"/>
        <w:pageBreakBefore w:val="0"/>
        <w:kinsoku/>
        <w:overflowPunct/>
        <w:autoSpaceDE/>
        <w:autoSpaceDN/>
        <w:bidi w:val="0"/>
        <w:snapToGrid w:val="0"/>
        <w:textAlignment w:val="auto"/>
        <w:rPr>
          <w:rFonts w:hint="eastAsia"/>
          <w:bCs/>
          <w:color w:val="auto"/>
          <w:sz w:val="24"/>
          <w:szCs w:val="24"/>
          <w:lang w:val="en-US" w:eastAsia="zh-CN"/>
        </w:rPr>
      </w:pPr>
      <w:r>
        <w:rPr>
          <w:rFonts w:hint="eastAsia"/>
          <w:bCs/>
          <w:color w:val="auto"/>
          <w:sz w:val="24"/>
          <w:szCs w:val="24"/>
          <w:lang w:val="en-US" w:eastAsia="zh-CN"/>
        </w:rPr>
        <w:t>综上所述本项目不存在重大项目变动，根据《</w:t>
      </w:r>
      <w:r>
        <w:rPr>
          <w:rFonts w:hint="default"/>
          <w:color w:val="auto"/>
        </w:rPr>
        <w:t>关于印发&lt;污染影响类建设项目重大变动清单（试行）&gt;的通知》（环办环评函〔2020〕688号）</w:t>
      </w:r>
      <w:r>
        <w:rPr>
          <w:rFonts w:hint="eastAsia"/>
          <w:color w:val="auto"/>
          <w:lang w:eastAsia="zh-CN"/>
        </w:rPr>
        <w:t>及</w:t>
      </w:r>
      <w:r>
        <w:rPr>
          <w:rFonts w:hint="eastAsia"/>
          <w:color w:val="auto"/>
          <w:lang w:val="en-US" w:eastAsia="zh-CN"/>
        </w:rPr>
        <w:t xml:space="preserve"> </w:t>
      </w:r>
      <w:r>
        <w:rPr>
          <w:rFonts w:hint="eastAsia"/>
          <w:bCs/>
          <w:color w:val="auto"/>
          <w:sz w:val="24"/>
          <w:szCs w:val="24"/>
          <w:lang w:val="en-US" w:eastAsia="zh-CN"/>
        </w:rPr>
        <w:t>《建设项目环境保护管理条例》</w:t>
      </w:r>
      <w:r>
        <w:rPr>
          <w:color w:val="auto"/>
          <w:sz w:val="24"/>
        </w:rPr>
        <w:t>（中华人民共和国国务院令</w:t>
      </w:r>
      <w:r>
        <w:rPr>
          <w:rFonts w:hint="default" w:ascii="Times New Roman" w:hAnsi="Times New Roman" w:cs="Times New Roman"/>
          <w:color w:val="auto"/>
          <w:sz w:val="24"/>
        </w:rPr>
        <w:t>第682条）</w:t>
      </w:r>
      <w:r>
        <w:rPr>
          <w:rFonts w:hint="eastAsia"/>
          <w:bCs/>
          <w:color w:val="auto"/>
          <w:sz w:val="24"/>
          <w:szCs w:val="24"/>
          <w:lang w:val="en-US" w:eastAsia="zh-CN"/>
        </w:rPr>
        <w:t>本项目满足验收条件。</w:t>
      </w:r>
    </w:p>
    <w:p w14:paraId="35977349">
      <w:pPr>
        <w:keepNext w:val="0"/>
        <w:keepLines/>
        <w:pageBreakBefore w:val="0"/>
        <w:widowControl/>
        <w:kinsoku/>
        <w:wordWrap w:val="0"/>
        <w:overflowPunct/>
        <w:topLinePunct/>
        <w:autoSpaceDE/>
        <w:autoSpaceDN/>
        <w:bidi w:val="0"/>
        <w:adjustRightInd w:val="0"/>
        <w:snapToGrid w:val="0"/>
        <w:ind w:left="0" w:leftChars="0" w:firstLine="0" w:firstLineChars="0"/>
        <w:textAlignment w:val="auto"/>
        <w:rPr>
          <w:rFonts w:hint="default"/>
          <w:b/>
          <w:bCs/>
          <w:lang w:val="en-US" w:eastAsia="zh-CN"/>
        </w:rPr>
      </w:pPr>
      <w:r>
        <w:rPr>
          <w:rFonts w:hint="eastAsia" w:ascii="Times New Roman" w:hAnsi="Times New Roman" w:eastAsia="宋体" w:cs="Times New Roman"/>
          <w:b/>
          <w:bCs/>
          <w:szCs w:val="24"/>
          <w:lang w:val="en-US" w:eastAsia="zh-CN" w:bidi="ar-SA"/>
        </w:rPr>
        <w:t>三</w:t>
      </w:r>
      <w:r>
        <w:rPr>
          <w:rFonts w:hint="eastAsia"/>
          <w:b/>
          <w:bCs/>
          <w:lang w:val="en-US" w:eastAsia="zh-CN"/>
        </w:rPr>
        <w:t>、</w:t>
      </w:r>
      <w:r>
        <w:rPr>
          <w:rFonts w:hint="eastAsia"/>
          <w:b/>
          <w:bCs/>
          <w:lang w:eastAsia="zh-CN"/>
        </w:rPr>
        <w:t>环保设施建设情况</w:t>
      </w:r>
    </w:p>
    <w:p w14:paraId="4401B386">
      <w:pPr>
        <w:keepNext w:val="0"/>
        <w:keepLines/>
        <w:pageBreakBefore w:val="0"/>
        <w:widowControl/>
        <w:kinsoku/>
        <w:wordWrap w:val="0"/>
        <w:overflowPunct/>
        <w:topLinePunct/>
        <w:autoSpaceDE/>
        <w:autoSpaceDN/>
        <w:bidi w:val="0"/>
        <w:adjustRightInd w:val="0"/>
        <w:snapToGrid w:val="0"/>
        <w:ind w:firstLine="482" w:firstLineChars="200"/>
        <w:textAlignment w:val="auto"/>
        <w:rPr>
          <w:rFonts w:hint="eastAsia"/>
          <w:b/>
          <w:bCs/>
          <w:lang w:val="en-US" w:eastAsia="zh-CN"/>
        </w:rPr>
      </w:pPr>
      <w:r>
        <w:rPr>
          <w:rFonts w:hint="eastAsia"/>
          <w:b/>
          <w:bCs/>
          <w:lang w:val="en-US" w:eastAsia="zh-CN"/>
        </w:rPr>
        <w:t>1、废水</w:t>
      </w:r>
    </w:p>
    <w:p w14:paraId="367EC01F">
      <w:pPr>
        <w:keepNext w:val="0"/>
        <w:keepLines/>
        <w:pageBreakBefore w:val="0"/>
        <w:widowControl/>
        <w:kinsoku/>
        <w:wordWrap w:val="0"/>
        <w:overflowPunct/>
        <w:topLinePunct/>
        <w:autoSpaceDE/>
        <w:autoSpaceDN/>
        <w:bidi w:val="0"/>
        <w:adjustRightInd w:val="0"/>
        <w:snapToGrid w:val="0"/>
        <w:ind w:firstLine="480" w:firstLineChars="200"/>
        <w:textAlignment w:val="auto"/>
        <w:rPr>
          <w:rFonts w:hint="eastAsia"/>
          <w:lang w:val="en-US" w:eastAsia="zh-CN"/>
        </w:rPr>
      </w:pPr>
      <w:r>
        <w:rPr>
          <w:rFonts w:hint="eastAsia"/>
          <w:lang w:val="en-US" w:eastAsia="zh-CN"/>
        </w:rPr>
        <w:t>本项目污水处理厂运营过程中主要排放废水为生活污水，</w:t>
      </w:r>
      <w:r>
        <w:rPr>
          <w:rFonts w:hint="eastAsia"/>
          <w:color w:val="auto"/>
          <w:lang w:val="en-US" w:eastAsia="zh-CN"/>
        </w:rPr>
        <w:t>生活废水经“隔油池+化粪池”处理后</w:t>
      </w:r>
      <w:r>
        <w:rPr>
          <w:rFonts w:hint="eastAsia"/>
          <w:color w:val="auto"/>
          <w:sz w:val="24"/>
        </w:rPr>
        <w:t>汇入厂区总排口接入市政污水管网排污舒城经济开发区工业污水处理厂</w:t>
      </w:r>
      <w:r>
        <w:rPr>
          <w:rFonts w:hint="eastAsia"/>
          <w:color w:val="auto"/>
          <w:sz w:val="24"/>
          <w:lang w:eastAsia="zh-CN"/>
        </w:rPr>
        <w:t>；</w:t>
      </w:r>
      <w:r>
        <w:rPr>
          <w:rFonts w:hint="eastAsia" w:ascii="Times New Roman" w:hAnsi="Times New Roman" w:eastAsia="宋体" w:cs="Times New Roman"/>
          <w:color w:val="auto"/>
          <w:kern w:val="0"/>
          <w:sz w:val="24"/>
          <w:szCs w:val="24"/>
          <w:lang w:val="en-US" w:eastAsia="zh-CN" w:bidi="ar-SA"/>
        </w:rPr>
        <w:t>生产废水主要为磷化水洗废水、脱脂水洗废水、水帘废水等。水帘废水经絮凝沉淀后回用，磷化、脱脂水洗废水采用工艺为“pH调节+混凝沉淀”的污水处理站处理后回用于清洗</w:t>
      </w:r>
      <w:r>
        <w:rPr>
          <w:rFonts w:hint="eastAsia"/>
          <w:lang w:val="en-US" w:eastAsia="zh-CN"/>
        </w:rPr>
        <w:t>，生产废水定期更换不外排，更换后的废液作为危险废物处理。</w:t>
      </w:r>
    </w:p>
    <w:p w14:paraId="4CEB9A8E">
      <w:pPr>
        <w:keepNext w:val="0"/>
        <w:keepLines/>
        <w:pageBreakBefore w:val="0"/>
        <w:widowControl/>
        <w:numPr>
          <w:ilvl w:val="0"/>
          <w:numId w:val="0"/>
        </w:numPr>
        <w:kinsoku/>
        <w:wordWrap w:val="0"/>
        <w:overflowPunct/>
        <w:topLinePunct/>
        <w:autoSpaceDE/>
        <w:autoSpaceDN/>
        <w:bidi w:val="0"/>
        <w:adjustRightInd w:val="0"/>
        <w:snapToGrid w:val="0"/>
        <w:spacing w:line="360" w:lineRule="auto"/>
        <w:ind w:left="0" w:leftChars="0" w:firstLine="482" w:firstLineChars="200"/>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2、废气</w:t>
      </w:r>
    </w:p>
    <w:p w14:paraId="022C852D">
      <w:pPr>
        <w:keepNext w:val="0"/>
        <w:pageBreakBefore w:val="0"/>
        <w:widowControl w:val="0"/>
        <w:kinsoku/>
        <w:overflowPunct/>
        <w:autoSpaceDE/>
        <w:autoSpaceDN/>
        <w:bidi w:val="0"/>
        <w:snapToGrid w:val="0"/>
        <w:spacing w:line="360" w:lineRule="auto"/>
        <w:ind w:firstLine="480" w:firstLineChars="200"/>
        <w:jc w:val="both"/>
        <w:textAlignment w:val="auto"/>
        <w:rPr>
          <w:rFonts w:hint="eastAsia"/>
          <w:bCs/>
          <w:color w:val="auto"/>
          <w:sz w:val="24"/>
          <w:szCs w:val="24"/>
        </w:rPr>
      </w:pPr>
      <w:r>
        <w:rPr>
          <w:rFonts w:hint="eastAsia"/>
          <w:bCs/>
          <w:color w:val="auto"/>
          <w:sz w:val="24"/>
          <w:szCs w:val="24"/>
          <w:lang w:eastAsia="zh-CN"/>
        </w:rPr>
        <w:t>本项目</w:t>
      </w:r>
      <w:r>
        <w:rPr>
          <w:rFonts w:hint="eastAsia"/>
          <w:bCs/>
          <w:color w:val="auto"/>
          <w:sz w:val="24"/>
          <w:szCs w:val="24"/>
        </w:rPr>
        <w:t>产生的废气污染物主要为胶合工段产生的胶合废气、焊接工段产生的焊接烟尘、喷塑工段产生的粉尘、固化工段产生的固化废气、喷漆工段产生的喷漆废气、烘干工段产生的烘干废气以及天然气燃烧废气。</w:t>
      </w:r>
    </w:p>
    <w:p w14:paraId="5E1078E2">
      <w:pPr>
        <w:pStyle w:val="8"/>
        <w:keepNext w:val="0"/>
        <w:pageBreakBefore w:val="0"/>
        <w:widowControl w:val="0"/>
        <w:kinsoku/>
        <w:overflowPunct/>
        <w:autoSpaceDE/>
        <w:autoSpaceDN/>
        <w:bidi w:val="0"/>
        <w:snapToGrid w:val="0"/>
        <w:spacing w:after="0" w:line="360" w:lineRule="auto"/>
        <w:ind w:firstLine="480" w:firstLineChars="200"/>
        <w:jc w:val="both"/>
        <w:textAlignment w:val="auto"/>
        <w:rPr>
          <w:rFonts w:hint="eastAsia"/>
          <w:sz w:val="24"/>
          <w:szCs w:val="24"/>
          <w:lang w:eastAsia="zh-CN"/>
        </w:rPr>
      </w:pPr>
      <w:r>
        <w:rPr>
          <w:rFonts w:hint="eastAsia"/>
          <w:color w:val="auto"/>
          <w:sz w:val="24"/>
          <w:szCs w:val="24"/>
          <w:lang w:val="en-US" w:eastAsia="zh-CN"/>
        </w:rPr>
        <w:t>胶合废气</w:t>
      </w:r>
      <w:r>
        <w:rPr>
          <w:rFonts w:hint="default"/>
          <w:color w:val="auto"/>
          <w:sz w:val="24"/>
          <w:szCs w:val="24"/>
          <w:lang w:eastAsia="zh-CN"/>
        </w:rPr>
        <w:t>无组织排放</w:t>
      </w:r>
      <w:r>
        <w:rPr>
          <w:rFonts w:hint="eastAsia"/>
          <w:color w:val="auto"/>
          <w:sz w:val="24"/>
          <w:szCs w:val="24"/>
        </w:rPr>
        <w:t>，胶合</w:t>
      </w:r>
      <w:r>
        <w:rPr>
          <w:rFonts w:hint="eastAsia"/>
          <w:color w:val="auto"/>
          <w:sz w:val="24"/>
          <w:szCs w:val="24"/>
          <w:lang w:eastAsia="zh-CN"/>
        </w:rPr>
        <w:t>作业量少，废气产生量少，且实际胶粘过程区域分散、无固定工位收集排放实际为无组织排放，且根据验收监测结果表明，无组织废气达标排放</w:t>
      </w:r>
      <w:r>
        <w:rPr>
          <w:rFonts w:hint="default"/>
          <w:color w:val="auto"/>
          <w:sz w:val="24"/>
          <w:szCs w:val="24"/>
          <w:lang w:eastAsia="zh-CN"/>
        </w:rPr>
        <w:t>；</w:t>
      </w:r>
      <w:r>
        <w:rPr>
          <w:rFonts w:hint="eastAsia"/>
          <w:bCs/>
          <w:color w:val="auto"/>
          <w:sz w:val="24"/>
          <w:szCs w:val="24"/>
        </w:rPr>
        <w:t>焊接工段产生的焊接烟尘</w:t>
      </w:r>
      <w:r>
        <w:rPr>
          <w:rFonts w:hint="eastAsia"/>
          <w:color w:val="auto"/>
          <w:sz w:val="24"/>
          <w:szCs w:val="24"/>
        </w:rPr>
        <w:t>由于焊接件较大且焊接点较为分散，无法固定焊接工位并收集</w:t>
      </w:r>
      <w:r>
        <w:rPr>
          <w:rFonts w:hint="eastAsia"/>
          <w:color w:val="auto"/>
          <w:sz w:val="24"/>
          <w:szCs w:val="24"/>
          <w:lang w:eastAsia="zh-CN"/>
        </w:rPr>
        <w:t>，焊接废气</w:t>
      </w:r>
      <w:r>
        <w:rPr>
          <w:rFonts w:hint="eastAsia"/>
          <w:color w:val="auto"/>
          <w:sz w:val="24"/>
          <w:szCs w:val="24"/>
        </w:rPr>
        <w:t>移动式焊接净化器</w:t>
      </w:r>
      <w:r>
        <w:rPr>
          <w:rFonts w:hint="eastAsia"/>
          <w:color w:val="auto"/>
          <w:sz w:val="24"/>
          <w:szCs w:val="24"/>
          <w:lang w:eastAsia="zh-CN"/>
        </w:rPr>
        <w:t>收集</w:t>
      </w:r>
      <w:r>
        <w:rPr>
          <w:rFonts w:hint="eastAsia"/>
          <w:color w:val="auto"/>
          <w:sz w:val="24"/>
          <w:szCs w:val="24"/>
        </w:rPr>
        <w:t>处理</w:t>
      </w:r>
      <w:r>
        <w:rPr>
          <w:rFonts w:hint="eastAsia"/>
          <w:color w:val="auto"/>
          <w:sz w:val="24"/>
          <w:szCs w:val="24"/>
          <w:lang w:eastAsia="zh-CN"/>
        </w:rPr>
        <w:t>后连接到车间外排放</w:t>
      </w:r>
      <w:r>
        <w:rPr>
          <w:rFonts w:hint="eastAsia"/>
          <w:sz w:val="24"/>
          <w:szCs w:val="24"/>
          <w:lang w:eastAsia="zh-CN"/>
        </w:rPr>
        <w:t>；</w:t>
      </w:r>
    </w:p>
    <w:p w14:paraId="5A22B8CA">
      <w:pPr>
        <w:pStyle w:val="8"/>
        <w:keepNext w:val="0"/>
        <w:pageBreakBefore w:val="0"/>
        <w:widowControl w:val="0"/>
        <w:kinsoku/>
        <w:overflowPunct/>
        <w:autoSpaceDE/>
        <w:autoSpaceDN/>
        <w:bidi w:val="0"/>
        <w:snapToGrid w:val="0"/>
        <w:spacing w:after="0" w:line="360" w:lineRule="auto"/>
        <w:ind w:firstLine="480" w:firstLineChars="200"/>
        <w:jc w:val="both"/>
        <w:textAlignment w:val="auto"/>
        <w:rPr>
          <w:rFonts w:hint="eastAsia"/>
          <w:sz w:val="24"/>
          <w:szCs w:val="24"/>
          <w:lang w:eastAsia="zh-CN"/>
        </w:rPr>
      </w:pPr>
      <w:r>
        <w:rPr>
          <w:rFonts w:hint="eastAsia"/>
          <w:color w:val="auto"/>
          <w:sz w:val="24"/>
          <w:szCs w:val="24"/>
          <w:lang w:eastAsia="zh-CN"/>
        </w:rPr>
        <w:t>喷漆工段、</w:t>
      </w:r>
      <w:r>
        <w:rPr>
          <w:rFonts w:hint="eastAsia"/>
          <w:color w:val="auto"/>
          <w:sz w:val="24"/>
          <w:szCs w:val="24"/>
        </w:rPr>
        <w:t>固化</w:t>
      </w:r>
      <w:r>
        <w:rPr>
          <w:rFonts w:hint="eastAsia"/>
          <w:color w:val="auto"/>
          <w:sz w:val="24"/>
          <w:szCs w:val="24"/>
          <w:lang w:eastAsia="zh-CN"/>
        </w:rPr>
        <w:t>工段</w:t>
      </w:r>
      <w:r>
        <w:rPr>
          <w:rFonts w:hint="eastAsia"/>
          <w:color w:val="auto"/>
          <w:sz w:val="24"/>
          <w:szCs w:val="24"/>
        </w:rPr>
        <w:t>、烘干</w:t>
      </w:r>
      <w:r>
        <w:rPr>
          <w:rFonts w:hint="eastAsia"/>
          <w:color w:val="auto"/>
          <w:sz w:val="24"/>
          <w:szCs w:val="24"/>
          <w:lang w:eastAsia="zh-CN"/>
        </w:rPr>
        <w:t>工段</w:t>
      </w:r>
      <w:r>
        <w:rPr>
          <w:rFonts w:hint="eastAsia"/>
          <w:color w:val="auto"/>
          <w:sz w:val="24"/>
          <w:szCs w:val="24"/>
        </w:rPr>
        <w:t>废气</w:t>
      </w:r>
      <w:r>
        <w:rPr>
          <w:rFonts w:hint="eastAsia"/>
          <w:color w:val="auto"/>
          <w:sz w:val="24"/>
          <w:szCs w:val="24"/>
          <w:lang w:eastAsia="zh-CN"/>
        </w:rPr>
        <w:t>、</w:t>
      </w:r>
      <w:r>
        <w:rPr>
          <w:rFonts w:hint="eastAsia"/>
          <w:bCs/>
          <w:color w:val="auto"/>
          <w:sz w:val="24"/>
          <w:szCs w:val="24"/>
        </w:rPr>
        <w:t>天然气燃烧废气</w:t>
      </w:r>
      <w:r>
        <w:rPr>
          <w:rFonts w:hint="eastAsia"/>
          <w:color w:val="auto"/>
          <w:sz w:val="24"/>
          <w:szCs w:val="24"/>
          <w:lang w:eastAsia="zh-CN"/>
        </w:rPr>
        <w:t>经负压集气系统收集，</w:t>
      </w:r>
      <w:r>
        <w:rPr>
          <w:rFonts w:hint="eastAsia"/>
          <w:color w:val="auto"/>
          <w:sz w:val="24"/>
          <w:szCs w:val="24"/>
        </w:rPr>
        <w:t>经过</w:t>
      </w:r>
      <w:r>
        <w:rPr>
          <w:rFonts w:hint="eastAsia"/>
          <w:color w:val="auto"/>
          <w:sz w:val="24"/>
          <w:szCs w:val="24"/>
          <w:lang w:val="en-US" w:eastAsia="zh-CN"/>
        </w:rPr>
        <w:t>1套二级活性炭吸附装置处理</w:t>
      </w:r>
      <w:r>
        <w:rPr>
          <w:rFonts w:hint="eastAsia"/>
          <w:color w:val="auto"/>
          <w:sz w:val="24"/>
          <w:szCs w:val="24"/>
        </w:rPr>
        <w:t>后通过1根15m高排气筒排放</w:t>
      </w:r>
      <w:r>
        <w:rPr>
          <w:rFonts w:hint="eastAsia"/>
          <w:color w:val="auto"/>
          <w:sz w:val="24"/>
          <w:szCs w:val="24"/>
          <w:lang w:eastAsia="zh-CN"/>
        </w:rPr>
        <w:t>；</w:t>
      </w:r>
    </w:p>
    <w:p w14:paraId="3B88354E">
      <w:pPr>
        <w:pStyle w:val="8"/>
        <w:keepNext w:val="0"/>
        <w:pageBreakBefore w:val="0"/>
        <w:widowControl w:val="0"/>
        <w:kinsoku/>
        <w:overflowPunct/>
        <w:autoSpaceDE/>
        <w:autoSpaceDN/>
        <w:bidi w:val="0"/>
        <w:snapToGrid w:val="0"/>
        <w:spacing w:after="0" w:line="360" w:lineRule="auto"/>
        <w:ind w:firstLine="480" w:firstLineChars="200"/>
        <w:jc w:val="both"/>
        <w:textAlignment w:val="auto"/>
        <w:rPr>
          <w:rFonts w:hint="eastAsia"/>
          <w:color w:val="auto"/>
          <w:sz w:val="24"/>
          <w:szCs w:val="24"/>
          <w:lang w:eastAsia="zh-CN"/>
        </w:rPr>
      </w:pPr>
      <w:r>
        <w:rPr>
          <w:rFonts w:hint="eastAsia"/>
          <w:bCs/>
          <w:color w:val="auto"/>
          <w:sz w:val="24"/>
          <w:szCs w:val="24"/>
        </w:rPr>
        <w:t>喷塑工段产生的粉尘</w:t>
      </w:r>
      <w:r>
        <w:rPr>
          <w:color w:val="auto"/>
          <w:sz w:val="24"/>
          <w:szCs w:val="24"/>
        </w:rPr>
        <w:t>采用封闭处理，配套负压收集系统对未附着的塑粉进行收集</w:t>
      </w:r>
      <w:r>
        <w:rPr>
          <w:rFonts w:hint="eastAsia"/>
          <w:color w:val="auto"/>
          <w:sz w:val="24"/>
          <w:szCs w:val="24"/>
        </w:rPr>
        <w:t>（收集效率95%）后经1套反向脉冲式滤芯回收系统</w:t>
      </w:r>
      <w:r>
        <w:rPr>
          <w:rFonts w:hint="eastAsia"/>
          <w:color w:val="auto"/>
          <w:sz w:val="24"/>
          <w:szCs w:val="24"/>
          <w:lang w:val="en-US" w:eastAsia="zh-CN"/>
        </w:rPr>
        <w:t>+布袋除尘器</w:t>
      </w:r>
      <w:r>
        <w:rPr>
          <w:rFonts w:hint="eastAsia"/>
          <w:color w:val="auto"/>
          <w:sz w:val="24"/>
          <w:szCs w:val="24"/>
        </w:rPr>
        <w:t>（处理效率99%）后通过1根15m高的排气筒（DA002）排放</w:t>
      </w:r>
      <w:r>
        <w:rPr>
          <w:rFonts w:hint="eastAsia"/>
          <w:color w:val="auto"/>
          <w:sz w:val="24"/>
          <w:szCs w:val="24"/>
          <w:lang w:eastAsia="zh-CN"/>
        </w:rPr>
        <w:t>；</w:t>
      </w:r>
    </w:p>
    <w:p w14:paraId="61D69C0D">
      <w:pPr>
        <w:pStyle w:val="8"/>
        <w:keepNext w:val="0"/>
        <w:pageBreakBefore w:val="0"/>
        <w:widowControl w:val="0"/>
        <w:kinsoku/>
        <w:overflowPunct/>
        <w:autoSpaceDE/>
        <w:autoSpaceDN/>
        <w:bidi w:val="0"/>
        <w:snapToGrid w:val="0"/>
        <w:spacing w:after="0" w:line="360" w:lineRule="auto"/>
        <w:ind w:firstLine="480" w:firstLineChars="200"/>
        <w:jc w:val="both"/>
        <w:textAlignment w:val="auto"/>
        <w:rPr>
          <w:rFonts w:hint="eastAsia"/>
          <w:color w:val="auto"/>
          <w:sz w:val="24"/>
          <w:szCs w:val="24"/>
          <w:lang w:eastAsia="zh-CN"/>
        </w:rPr>
      </w:pPr>
    </w:p>
    <w:p w14:paraId="3DB18D03">
      <w:pPr>
        <w:pStyle w:val="8"/>
        <w:keepNext w:val="0"/>
        <w:pageBreakBefore w:val="0"/>
        <w:widowControl w:val="0"/>
        <w:kinsoku/>
        <w:overflowPunct/>
        <w:autoSpaceDE/>
        <w:autoSpaceDN/>
        <w:bidi w:val="0"/>
        <w:snapToGrid w:val="0"/>
        <w:spacing w:after="0" w:line="360" w:lineRule="auto"/>
        <w:ind w:firstLine="480" w:firstLineChars="200"/>
        <w:jc w:val="both"/>
        <w:textAlignment w:val="auto"/>
        <w:rPr>
          <w:rFonts w:hint="eastAsia"/>
          <w:bCs/>
          <w:color w:val="auto"/>
          <w:sz w:val="24"/>
          <w:szCs w:val="24"/>
          <w:lang w:eastAsia="zh-CN"/>
        </w:rPr>
      </w:pPr>
      <w:r>
        <w:rPr>
          <w:rFonts w:hint="eastAsia"/>
          <w:bCs/>
          <w:color w:val="auto"/>
          <w:sz w:val="24"/>
          <w:szCs w:val="24"/>
          <w:lang w:eastAsia="zh-CN"/>
        </w:rPr>
        <w:t>食堂油烟经油烟净化器净化后无组织排放。</w:t>
      </w:r>
    </w:p>
    <w:p w14:paraId="1B5AC84A">
      <w:pPr>
        <w:keepNext w:val="0"/>
        <w:keepLines/>
        <w:pageBreakBefore w:val="0"/>
        <w:widowControl/>
        <w:numPr>
          <w:ilvl w:val="0"/>
          <w:numId w:val="0"/>
        </w:numPr>
        <w:kinsoku/>
        <w:wordWrap w:val="0"/>
        <w:overflowPunct/>
        <w:topLinePunct/>
        <w:autoSpaceDE/>
        <w:autoSpaceDN/>
        <w:bidi w:val="0"/>
        <w:adjustRightInd w:val="0"/>
        <w:snapToGrid w:val="0"/>
        <w:spacing w:line="360" w:lineRule="auto"/>
        <w:ind w:left="0" w:leftChars="0" w:firstLine="482" w:firstLineChars="200"/>
        <w:textAlignment w:val="auto"/>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3、噪声</w:t>
      </w:r>
    </w:p>
    <w:p w14:paraId="301F874E">
      <w:pPr>
        <w:keepNext w:val="0"/>
        <w:keepLines/>
        <w:pageBreakBefore w:val="0"/>
        <w:widowControl/>
        <w:numPr>
          <w:ilvl w:val="0"/>
          <w:numId w:val="0"/>
        </w:numPr>
        <w:kinsoku/>
        <w:wordWrap w:val="0"/>
        <w:overflowPunct/>
        <w:topLinePunct/>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000000"/>
          <w:kern w:val="0"/>
          <w:sz w:val="24"/>
          <w:szCs w:val="24"/>
          <w:lang w:val="en-US" w:eastAsia="zh-CN" w:bidi="ar"/>
        </w:rPr>
      </w:pPr>
      <w:r>
        <w:rPr>
          <w:color w:val="auto"/>
          <w:sz w:val="24"/>
        </w:rPr>
        <w:t>噪声源主要为</w:t>
      </w:r>
      <w:r>
        <w:rPr>
          <w:rFonts w:hint="eastAsia"/>
          <w:color w:val="auto"/>
          <w:sz w:val="24"/>
        </w:rPr>
        <w:t>剪板机</w:t>
      </w:r>
      <w:r>
        <w:rPr>
          <w:color w:val="auto"/>
          <w:sz w:val="24"/>
        </w:rPr>
        <w:t>、</w:t>
      </w:r>
      <w:r>
        <w:rPr>
          <w:rFonts w:hint="eastAsia"/>
          <w:color w:val="auto"/>
          <w:sz w:val="24"/>
        </w:rPr>
        <w:t>折边机、折弯机、冲床</w:t>
      </w:r>
      <w:r>
        <w:rPr>
          <w:color w:val="auto"/>
          <w:sz w:val="24"/>
        </w:rPr>
        <w:t>等设备运行时产生的噪声</w:t>
      </w:r>
      <w:r>
        <w:rPr>
          <w:rFonts w:hint="eastAsia"/>
          <w:color w:val="auto"/>
          <w:sz w:val="24"/>
        </w:rPr>
        <w:t>，其声级为75-90dB（A），生产设备全部在厂房内设置，产噪设备采取隔震垫、隔声等方法处理</w:t>
      </w:r>
      <w:r>
        <w:rPr>
          <w:rFonts w:hint="eastAsia"/>
          <w:color w:val="auto"/>
          <w:sz w:val="24"/>
          <w:lang w:eastAsia="zh-CN"/>
        </w:rPr>
        <w:t>。</w:t>
      </w:r>
    </w:p>
    <w:p w14:paraId="0E36B982">
      <w:pPr>
        <w:keepNext w:val="0"/>
        <w:keepLines/>
        <w:pageBreakBefore w:val="0"/>
        <w:widowControl/>
        <w:numPr>
          <w:ilvl w:val="0"/>
          <w:numId w:val="0"/>
        </w:numPr>
        <w:kinsoku/>
        <w:wordWrap w:val="0"/>
        <w:overflowPunct/>
        <w:topLinePunct/>
        <w:autoSpaceDE/>
        <w:autoSpaceDN/>
        <w:bidi w:val="0"/>
        <w:adjustRightInd w:val="0"/>
        <w:snapToGrid w:val="0"/>
        <w:spacing w:line="360" w:lineRule="auto"/>
        <w:ind w:left="0" w:leftChars="0" w:firstLine="482" w:firstLineChars="200"/>
        <w:textAlignment w:val="auto"/>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4、固体废物</w:t>
      </w:r>
    </w:p>
    <w:p w14:paraId="4569585E">
      <w:pPr>
        <w:keepNext w:val="0"/>
        <w:pageBreakBefore w:val="0"/>
        <w:widowControl w:val="0"/>
        <w:kinsoku/>
        <w:overflowPunct/>
        <w:autoSpaceDE/>
        <w:autoSpaceDN/>
        <w:bidi w:val="0"/>
        <w:snapToGrid w:val="0"/>
        <w:spacing w:line="360" w:lineRule="auto"/>
        <w:ind w:firstLine="480" w:firstLineChars="200"/>
        <w:jc w:val="both"/>
        <w:textAlignment w:val="auto"/>
        <w:rPr>
          <w:rFonts w:hint="eastAsia" w:eastAsia="宋体"/>
          <w:color w:val="auto"/>
          <w:kern w:val="0"/>
          <w:sz w:val="24"/>
          <w:lang w:eastAsia="zh-CN"/>
        </w:rPr>
      </w:pPr>
      <w:r>
        <w:rPr>
          <w:color w:val="auto"/>
          <w:kern w:val="0"/>
          <w:sz w:val="24"/>
        </w:rPr>
        <w:t>固废主要包括</w:t>
      </w:r>
      <w:r>
        <w:rPr>
          <w:rFonts w:hint="eastAsia"/>
          <w:color w:val="auto"/>
          <w:kern w:val="0"/>
          <w:sz w:val="24"/>
        </w:rPr>
        <w:t>一般工业固体废物（边角料、废焊渣、废滤芯、废包装材料），危险废物（废槽渣、废润滑油、废润滑油桶、废漆桶、废发泡剂桶、废过滤棉、漆渣、废活性炭）以及</w:t>
      </w:r>
      <w:r>
        <w:rPr>
          <w:color w:val="auto"/>
          <w:kern w:val="0"/>
          <w:sz w:val="24"/>
        </w:rPr>
        <w:t>生活垃圾。</w:t>
      </w:r>
      <w:r>
        <w:rPr>
          <w:rFonts w:hint="eastAsia"/>
          <w:color w:val="auto"/>
          <w:kern w:val="0"/>
          <w:sz w:val="24"/>
        </w:rPr>
        <w:t>一般工业固体废物</w:t>
      </w:r>
      <w:r>
        <w:rPr>
          <w:rFonts w:hint="eastAsia"/>
          <w:color w:val="auto"/>
          <w:kern w:val="0"/>
          <w:sz w:val="24"/>
          <w:lang w:eastAsia="zh-CN"/>
        </w:rPr>
        <w:t>收集后定期外售处理，生活垃圾委托环卫部门统一处理，</w:t>
      </w:r>
      <w:r>
        <w:rPr>
          <w:rFonts w:hint="eastAsia"/>
          <w:b w:val="0"/>
          <w:bCs w:val="0"/>
          <w:color w:val="auto"/>
          <w:kern w:val="0"/>
          <w:sz w:val="24"/>
        </w:rPr>
        <w:t>废槽渣、废润滑油、废润滑油桶、废漆桶、废发泡剂桶、废过滤棉、漆渣、废活性炭</w:t>
      </w:r>
      <w:r>
        <w:rPr>
          <w:b w:val="0"/>
          <w:bCs w:val="0"/>
          <w:color w:val="auto"/>
          <w:sz w:val="24"/>
          <w:lang w:val="zh-CN"/>
        </w:rPr>
        <w:t>等均属于危险废物，委托有资质单位处置</w:t>
      </w:r>
      <w:r>
        <w:rPr>
          <w:rFonts w:hint="eastAsia"/>
          <w:b w:val="0"/>
          <w:bCs w:val="0"/>
          <w:color w:val="auto"/>
          <w:sz w:val="24"/>
          <w:lang w:val="zh-CN"/>
        </w:rPr>
        <w:t>。</w:t>
      </w:r>
    </w:p>
    <w:p w14:paraId="79521C18">
      <w:pPr>
        <w:keepNext w:val="0"/>
        <w:keepLines/>
        <w:pageBreakBefore w:val="0"/>
        <w:widowControl/>
        <w:numPr>
          <w:ilvl w:val="0"/>
          <w:numId w:val="0"/>
        </w:numPr>
        <w:kinsoku/>
        <w:wordWrap w:val="0"/>
        <w:overflowPunct/>
        <w:topLinePunct/>
        <w:autoSpaceDE/>
        <w:autoSpaceDN/>
        <w:bidi w:val="0"/>
        <w:adjustRightInd w:val="0"/>
        <w:snapToGrid w:val="0"/>
        <w:spacing w:line="360" w:lineRule="auto"/>
        <w:ind w:left="0" w:leftChars="0" w:firstLine="0" w:firstLineChars="0"/>
        <w:textAlignment w:val="auto"/>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四、环境保护设施调试结果</w:t>
      </w:r>
    </w:p>
    <w:p w14:paraId="7A044209">
      <w:pPr>
        <w:pStyle w:val="2"/>
        <w:keepNext w:val="0"/>
        <w:keepLines/>
        <w:pageBreakBefore w:val="0"/>
        <w:widowControl/>
        <w:numPr>
          <w:ilvl w:val="0"/>
          <w:numId w:val="0"/>
        </w:numPr>
        <w:kinsoku/>
        <w:wordWrap w:val="0"/>
        <w:overflowPunct/>
        <w:topLinePunct/>
        <w:autoSpaceDE/>
        <w:autoSpaceDN/>
        <w:bidi w:val="0"/>
        <w:adjustRightInd w:val="0"/>
        <w:snapToGrid w:val="0"/>
        <w:spacing w:after="0" w:afterLines="0" w:afterAutospacing="0" w:line="360" w:lineRule="auto"/>
        <w:ind w:firstLine="482" w:firstLineChars="200"/>
        <w:textAlignment w:val="auto"/>
        <w:rPr>
          <w:rFonts w:hint="default"/>
          <w:b/>
          <w:bCs/>
          <w:sz w:val="24"/>
          <w:szCs w:val="24"/>
          <w:lang w:val="en-US" w:eastAsia="zh-CN"/>
        </w:rPr>
      </w:pPr>
      <w:r>
        <w:rPr>
          <w:rFonts w:hint="eastAsia"/>
          <w:b/>
          <w:bCs/>
          <w:sz w:val="24"/>
          <w:szCs w:val="24"/>
          <w:lang w:val="en-US" w:eastAsia="zh-CN"/>
        </w:rPr>
        <w:t>1、废气监测结果</w:t>
      </w:r>
    </w:p>
    <w:p w14:paraId="22CA2576">
      <w:pPr>
        <w:keepNext w:val="0"/>
        <w:keepLines/>
        <w:pageBreakBefore w:val="0"/>
        <w:widowControl/>
        <w:numPr>
          <w:ilvl w:val="0"/>
          <w:numId w:val="0"/>
        </w:numPr>
        <w:kinsoku/>
        <w:wordWrap w:val="0"/>
        <w:overflowPunct/>
        <w:topLinePunct/>
        <w:autoSpaceDE/>
        <w:autoSpaceDN/>
        <w:bidi w:val="0"/>
        <w:adjustRightInd w:val="0"/>
        <w:snapToGrid w:val="0"/>
        <w:spacing w:line="360" w:lineRule="auto"/>
        <w:ind w:firstLine="480" w:firstLineChars="200"/>
        <w:textAlignment w:val="auto"/>
        <w:rPr>
          <w:rFonts w:hint="eastAsia"/>
          <w:color w:val="auto"/>
          <w:sz w:val="24"/>
          <w:lang w:val="en-US" w:eastAsia="zh-CN"/>
        </w:rPr>
      </w:pPr>
      <w:r>
        <w:rPr>
          <w:rFonts w:hint="eastAsia" w:ascii="宋体" w:hAnsi="宋体" w:cs="宋体"/>
          <w:color w:val="auto"/>
          <w:sz w:val="24"/>
          <w:lang w:val="en-US" w:eastAsia="zh-CN"/>
        </w:rPr>
        <w:t>废气排放口</w:t>
      </w:r>
      <w:r>
        <w:rPr>
          <w:rFonts w:hint="eastAsia" w:ascii="宋体" w:hAnsi="宋体" w:eastAsia="宋体" w:cs="宋体"/>
          <w:color w:val="auto"/>
          <w:sz w:val="24"/>
        </w:rPr>
        <w:t>颗粒物、</w:t>
      </w:r>
      <w:r>
        <w:rPr>
          <w:rFonts w:hint="eastAsia" w:ascii="宋体" w:hAnsi="宋体" w:eastAsia="宋体" w:cs="宋体"/>
          <w:color w:val="auto"/>
          <w:sz w:val="24"/>
          <w:lang w:eastAsia="zh-CN"/>
        </w:rPr>
        <w:t>非甲烷总烃</w:t>
      </w:r>
      <w:r>
        <w:rPr>
          <w:rFonts w:hint="eastAsia" w:ascii="宋体" w:hAnsi="宋体" w:eastAsia="宋体" w:cs="宋体"/>
          <w:color w:val="auto"/>
          <w:sz w:val="24"/>
        </w:rPr>
        <w:t>排放</w:t>
      </w:r>
      <w:r>
        <w:rPr>
          <w:rFonts w:hint="eastAsia" w:eastAsia="宋体"/>
          <w:color w:val="auto"/>
          <w:sz w:val="24"/>
          <w:lang w:eastAsia="zh-CN"/>
        </w:rPr>
        <w:t>满足</w:t>
      </w:r>
      <w:r>
        <w:rPr>
          <w:rFonts w:hint="eastAsia"/>
          <w:color w:val="auto"/>
          <w:sz w:val="24"/>
        </w:rPr>
        <w:t>《大气污染物综合排放标准》（</w:t>
      </w:r>
      <w:r>
        <w:rPr>
          <w:rFonts w:hint="eastAsia"/>
          <w:b w:val="0"/>
          <w:bCs w:val="0"/>
          <w:color w:val="auto"/>
          <w:sz w:val="24"/>
        </w:rPr>
        <w:t>G</w:t>
      </w:r>
      <w:r>
        <w:rPr>
          <w:b w:val="0"/>
          <w:bCs w:val="0"/>
          <w:color w:val="auto"/>
          <w:sz w:val="24"/>
        </w:rPr>
        <w:t>B</w:t>
      </w:r>
      <w:r>
        <w:rPr>
          <w:rFonts w:hint="eastAsia"/>
          <w:b w:val="0"/>
          <w:bCs w:val="0"/>
          <w:color w:val="auto"/>
          <w:sz w:val="24"/>
        </w:rPr>
        <w:t>1627-1996</w:t>
      </w:r>
      <w:r>
        <w:rPr>
          <w:rFonts w:hint="eastAsia"/>
          <w:color w:val="auto"/>
          <w:sz w:val="24"/>
        </w:rPr>
        <w:t>）</w:t>
      </w:r>
      <w:r>
        <w:rPr>
          <w:rFonts w:hint="eastAsia"/>
          <w:color w:val="auto"/>
          <w:sz w:val="24"/>
          <w:lang w:eastAsia="zh-CN"/>
        </w:rPr>
        <w:t>及上海市</w:t>
      </w:r>
      <w:r>
        <w:rPr>
          <w:rFonts w:hint="eastAsia"/>
          <w:color w:val="auto"/>
          <w:sz w:val="24"/>
        </w:rPr>
        <w:t>《大气污染物综合排放标准》（DB31/933-2015）</w:t>
      </w:r>
      <w:r>
        <w:rPr>
          <w:rFonts w:hint="eastAsia"/>
          <w:color w:val="auto"/>
          <w:sz w:val="24"/>
          <w:lang w:val="en-US" w:eastAsia="zh-CN"/>
        </w:rPr>
        <w:t>中有组织废气排放限值要求</w:t>
      </w:r>
      <w:r>
        <w:rPr>
          <w:rFonts w:hint="eastAsia"/>
          <w:color w:val="auto"/>
          <w:sz w:val="24"/>
          <w:lang w:eastAsia="zh-CN"/>
        </w:rPr>
        <w:t>；</w:t>
      </w:r>
      <w:r>
        <w:rPr>
          <w:color w:val="auto"/>
          <w:sz w:val="24"/>
        </w:rPr>
        <w:t>厂区内</w:t>
      </w:r>
      <w:r>
        <w:rPr>
          <w:rFonts w:hint="eastAsia"/>
          <w:color w:val="auto"/>
          <w:sz w:val="24"/>
          <w:lang w:eastAsia="zh-CN"/>
        </w:rPr>
        <w:t>非甲烷总烃</w:t>
      </w:r>
      <w:r>
        <w:rPr>
          <w:color w:val="auto"/>
          <w:sz w:val="24"/>
        </w:rPr>
        <w:t>无组织排放</w:t>
      </w:r>
      <w:r>
        <w:rPr>
          <w:rFonts w:hint="eastAsia"/>
          <w:color w:val="auto"/>
          <w:sz w:val="24"/>
          <w:lang w:eastAsia="zh-CN"/>
        </w:rPr>
        <w:t>满足</w:t>
      </w:r>
      <w:r>
        <w:rPr>
          <w:color w:val="auto"/>
          <w:sz w:val="24"/>
        </w:rPr>
        <w:t>《挥发性有机物无组织排放控制标准》（GB37822-2019）</w:t>
      </w:r>
      <w:r>
        <w:rPr>
          <w:rFonts w:hint="eastAsia"/>
          <w:color w:val="auto"/>
          <w:sz w:val="24"/>
          <w:lang w:eastAsia="zh-CN"/>
        </w:rPr>
        <w:t>中的限值要求，总悬浮颗粒物无组织排放满足</w:t>
      </w:r>
      <w:r>
        <w:rPr>
          <w:rFonts w:hint="eastAsia"/>
          <w:color w:val="auto"/>
          <w:sz w:val="24"/>
        </w:rPr>
        <w:t>《大气污染物综合排放标准》（</w:t>
      </w:r>
      <w:r>
        <w:rPr>
          <w:rFonts w:hint="eastAsia"/>
          <w:b w:val="0"/>
          <w:bCs w:val="0"/>
          <w:color w:val="auto"/>
          <w:sz w:val="24"/>
        </w:rPr>
        <w:t>G</w:t>
      </w:r>
      <w:r>
        <w:rPr>
          <w:b w:val="0"/>
          <w:bCs w:val="0"/>
          <w:color w:val="auto"/>
          <w:sz w:val="24"/>
        </w:rPr>
        <w:t>B</w:t>
      </w:r>
      <w:r>
        <w:rPr>
          <w:rFonts w:hint="eastAsia"/>
          <w:b w:val="0"/>
          <w:bCs w:val="0"/>
          <w:color w:val="auto"/>
          <w:sz w:val="24"/>
        </w:rPr>
        <w:t>1627-</w:t>
      </w:r>
      <w:r>
        <w:rPr>
          <w:rFonts w:hint="eastAsia"/>
          <w:b w:val="0"/>
          <w:bCs w:val="0"/>
          <w:color w:val="auto"/>
          <w:sz w:val="24"/>
          <w:lang w:val="en-US" w:eastAsia="zh-CN"/>
        </w:rPr>
        <w:t xml:space="preserve"> </w:t>
      </w:r>
      <w:r>
        <w:rPr>
          <w:rFonts w:hint="eastAsia"/>
          <w:b w:val="0"/>
          <w:bCs w:val="0"/>
          <w:color w:val="auto"/>
          <w:sz w:val="24"/>
        </w:rPr>
        <w:t>1996</w:t>
      </w:r>
      <w:r>
        <w:rPr>
          <w:rFonts w:hint="eastAsia"/>
          <w:color w:val="auto"/>
          <w:sz w:val="24"/>
        </w:rPr>
        <w:t>）</w:t>
      </w:r>
      <w:r>
        <w:rPr>
          <w:rFonts w:hint="eastAsia"/>
          <w:color w:val="auto"/>
          <w:sz w:val="24"/>
          <w:lang w:eastAsia="zh-CN"/>
        </w:rPr>
        <w:t>及</w:t>
      </w:r>
      <w:r>
        <w:rPr>
          <w:rFonts w:hint="eastAsia"/>
          <w:color w:val="auto"/>
          <w:sz w:val="24"/>
        </w:rPr>
        <w:t>《大气污染物综合排放标准》（DB31/933-2015）</w:t>
      </w:r>
      <w:r>
        <w:rPr>
          <w:rFonts w:hint="eastAsia"/>
          <w:color w:val="auto"/>
          <w:sz w:val="24"/>
          <w:lang w:val="en-US" w:eastAsia="zh-CN"/>
        </w:rPr>
        <w:t>中无组织废气排放限值要求。</w:t>
      </w:r>
    </w:p>
    <w:p w14:paraId="54CC646F">
      <w:pPr>
        <w:keepNext w:val="0"/>
        <w:keepLines/>
        <w:pageBreakBefore w:val="0"/>
        <w:widowControl/>
        <w:numPr>
          <w:ilvl w:val="0"/>
          <w:numId w:val="0"/>
        </w:numPr>
        <w:kinsoku/>
        <w:wordWrap w:val="0"/>
        <w:overflowPunct/>
        <w:topLinePunct/>
        <w:autoSpaceDE/>
        <w:autoSpaceDN/>
        <w:bidi w:val="0"/>
        <w:adjustRightInd w:val="0"/>
        <w:snapToGrid w:val="0"/>
        <w:spacing w:line="360" w:lineRule="auto"/>
        <w:ind w:firstLine="482" w:firstLineChars="200"/>
        <w:textAlignment w:val="auto"/>
        <w:rPr>
          <w:rFonts w:hint="default"/>
          <w:b/>
          <w:bCs/>
          <w:sz w:val="24"/>
          <w:szCs w:val="24"/>
          <w:lang w:val="en-US" w:eastAsia="zh-CN"/>
        </w:rPr>
      </w:pPr>
      <w:r>
        <w:rPr>
          <w:rFonts w:hint="eastAsia" w:ascii="Times New Roman" w:hAnsi="Times New Roman" w:eastAsia="宋体" w:cs="Times New Roman"/>
          <w:b/>
          <w:bCs/>
          <w:sz w:val="24"/>
          <w:szCs w:val="24"/>
          <w:lang w:val="en-US" w:eastAsia="zh-CN" w:bidi="ar-SA"/>
        </w:rPr>
        <w:t>2</w:t>
      </w:r>
      <w:r>
        <w:rPr>
          <w:rFonts w:hint="default" w:ascii="Times New Roman" w:hAnsi="Times New Roman" w:eastAsia="宋体" w:cs="Times New Roman"/>
          <w:b/>
          <w:bCs/>
          <w:sz w:val="24"/>
          <w:szCs w:val="24"/>
          <w:lang w:val="en-US" w:eastAsia="zh-CN" w:bidi="ar-SA"/>
        </w:rPr>
        <w:t>、</w:t>
      </w:r>
      <w:r>
        <w:rPr>
          <w:rFonts w:hint="eastAsia"/>
          <w:b/>
          <w:bCs/>
          <w:sz w:val="24"/>
          <w:szCs w:val="24"/>
          <w:lang w:val="en-US" w:eastAsia="zh-CN"/>
        </w:rPr>
        <w:t>噪声监测结果</w:t>
      </w:r>
    </w:p>
    <w:p w14:paraId="006E1A6C">
      <w:pPr>
        <w:keepNext w:val="0"/>
        <w:keepLines/>
        <w:pageBreakBefore w:val="0"/>
        <w:widowControl/>
        <w:suppressLineNumbers w:val="0"/>
        <w:kinsoku/>
        <w:wordWrap w:val="0"/>
        <w:overflowPunct/>
        <w:topLinePunct/>
        <w:autoSpaceDE/>
        <w:autoSpaceDN/>
        <w:bidi w:val="0"/>
        <w:adjustRightInd w:val="0"/>
        <w:snapToGrid w:val="0"/>
        <w:spacing w:beforeAutospacing="0" w:afterAutospacing="0" w:line="360" w:lineRule="auto"/>
        <w:ind w:left="0" w:leftChars="0" w:firstLine="0" w:firstLineChars="0"/>
        <w:jc w:val="left"/>
        <w:textAlignment w:val="auto"/>
        <w:rPr>
          <w:rFonts w:hint="default" w:ascii="Times New Roman" w:hAnsi="Times New Roman" w:eastAsia="宋体" w:cs="Times New Roman"/>
          <w:sz w:val="24"/>
          <w:szCs w:val="24"/>
        </w:rPr>
      </w:pPr>
      <w:r>
        <w:rPr>
          <w:rFonts w:hint="eastAsia" w:cs="Times New Roman"/>
          <w:sz w:val="24"/>
          <w:szCs w:val="24"/>
          <w:lang w:val="en-US" w:eastAsia="zh-CN" w:bidi="ar-SA"/>
        </w:rPr>
        <w:t xml:space="preserve">   </w:t>
      </w:r>
      <w:r>
        <w:rPr>
          <w:rFonts w:hint="default" w:ascii="Times New Roman" w:hAnsi="Times New Roman" w:eastAsia="宋体" w:cs="Times New Roman"/>
          <w:color w:val="auto"/>
        </w:rPr>
        <w:t>本项目产生的噪声主要来自于设备噪声</w:t>
      </w:r>
      <w:r>
        <w:rPr>
          <w:rFonts w:hint="default" w:ascii="Times New Roman" w:hAnsi="Times New Roman" w:eastAsia="宋体" w:cs="Times New Roman"/>
          <w:bCs/>
          <w:color w:val="auto"/>
        </w:rPr>
        <w:t>，本项目已采取基础减震、设备隔声、厂房隔声以及选用低噪声设备等措施。根据监测结果表明</w:t>
      </w:r>
      <w:r>
        <w:rPr>
          <w:rFonts w:hint="default" w:ascii="Times New Roman" w:hAnsi="Times New Roman" w:eastAsia="宋体" w:cs="Times New Roman"/>
          <w:color w:val="auto"/>
        </w:rPr>
        <w:t>，厂界噪声均符合《工业企业厂界环境噪声排放标准》（GB12348-2008）</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类区标准限值要求。</w:t>
      </w:r>
    </w:p>
    <w:p w14:paraId="44A9A60D">
      <w:pPr>
        <w:pStyle w:val="9"/>
        <w:keepNext w:val="0"/>
        <w:keepLines/>
        <w:pageBreakBefore w:val="0"/>
        <w:widowControl/>
        <w:kinsoku/>
        <w:wordWrap w:val="0"/>
        <w:overflowPunct/>
        <w:topLinePunct/>
        <w:autoSpaceDE/>
        <w:autoSpaceDN/>
        <w:bidi w:val="0"/>
        <w:adjustRightInd w:val="0"/>
        <w:snapToGrid w:val="0"/>
        <w:spacing w:before="0" w:beforeAutospacing="0" w:after="0" w:afterAutospacing="0" w:line="360" w:lineRule="auto"/>
        <w:ind w:left="0" w:leftChars="0" w:firstLine="0" w:firstLineChars="0"/>
        <w:jc w:val="both"/>
        <w:textAlignment w:val="auto"/>
        <w:rPr>
          <w:rFonts w:hint="eastAsia" w:ascii="Times New Roman" w:hAnsi="Times New Roman" w:eastAsia="宋体" w:cs="Times New Roman"/>
          <w:b/>
          <w:bCs/>
          <w:sz w:val="24"/>
          <w:szCs w:val="24"/>
          <w:lang w:val="en-US" w:eastAsia="zh-CN" w:bidi="ar-SA"/>
        </w:rPr>
      </w:pPr>
    </w:p>
    <w:p w14:paraId="5B9CB2E3">
      <w:pPr>
        <w:pStyle w:val="9"/>
        <w:keepNext w:val="0"/>
        <w:keepLines/>
        <w:pageBreakBefore w:val="0"/>
        <w:widowControl/>
        <w:kinsoku/>
        <w:wordWrap w:val="0"/>
        <w:overflowPunct/>
        <w:topLinePunct/>
        <w:autoSpaceDE/>
        <w:autoSpaceDN/>
        <w:bidi w:val="0"/>
        <w:adjustRightInd w:val="0"/>
        <w:snapToGrid w:val="0"/>
        <w:spacing w:before="0" w:beforeAutospacing="0" w:after="0" w:afterAutospacing="0" w:line="360" w:lineRule="auto"/>
        <w:ind w:left="0" w:leftChars="0" w:firstLine="0" w:firstLineChars="0"/>
        <w:jc w:val="both"/>
        <w:textAlignment w:val="auto"/>
        <w:rPr>
          <w:rFonts w:hint="default" w:ascii="Times New Roman" w:hAnsi="Times New Roman" w:eastAsia="宋体" w:cs="Times New Roman"/>
          <w:b/>
          <w:kern w:val="2"/>
          <w:sz w:val="24"/>
          <w:szCs w:val="24"/>
        </w:rPr>
      </w:pPr>
      <w:r>
        <w:rPr>
          <w:rFonts w:hint="eastAsia" w:ascii="Times New Roman" w:hAnsi="Times New Roman" w:eastAsia="宋体" w:cs="Times New Roman"/>
          <w:b/>
          <w:bCs/>
          <w:sz w:val="24"/>
          <w:szCs w:val="24"/>
          <w:lang w:val="en-US" w:eastAsia="zh-CN" w:bidi="ar-SA"/>
        </w:rPr>
        <w:t>五、</w:t>
      </w:r>
      <w:r>
        <w:rPr>
          <w:rFonts w:hint="default" w:ascii="Times New Roman" w:hAnsi="Times New Roman" w:eastAsia="宋体" w:cs="Times New Roman"/>
          <w:b/>
          <w:kern w:val="2"/>
          <w:sz w:val="24"/>
          <w:szCs w:val="24"/>
        </w:rPr>
        <w:t>验收结论</w:t>
      </w:r>
    </w:p>
    <w:p w14:paraId="3B33B306">
      <w:pPr>
        <w:pStyle w:val="9"/>
        <w:keepNext w:val="0"/>
        <w:keepLines/>
        <w:pageBreakBefore w:val="0"/>
        <w:widowControl/>
        <w:kinsoku/>
        <w:wordWrap w:val="0"/>
        <w:overflowPunct/>
        <w:topLinePunct/>
        <w:autoSpaceDE/>
        <w:autoSpaceDN/>
        <w:bidi w:val="0"/>
        <w:adjustRightInd w:val="0"/>
        <w:snapToGrid w:val="0"/>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Cs/>
          <w:kern w:val="2"/>
          <w:sz w:val="24"/>
          <w:szCs w:val="24"/>
        </w:rPr>
        <w:t>验收组经现场检查并审阅有关资料，经认真讨论，认为</w:t>
      </w:r>
      <w:r>
        <w:rPr>
          <w:rFonts w:hint="default" w:ascii="Times New Roman" w:hAnsi="Times New Roman" w:eastAsia="宋体" w:cs="Times New Roman"/>
          <w:bCs/>
          <w:color w:val="000000"/>
          <w:sz w:val="24"/>
          <w:szCs w:val="24"/>
        </w:rPr>
        <w:t>本</w:t>
      </w:r>
      <w:r>
        <w:rPr>
          <w:rFonts w:hint="default" w:ascii="Times New Roman" w:hAnsi="Times New Roman" w:eastAsia="宋体" w:cs="Times New Roman"/>
          <w:color w:val="000000"/>
          <w:sz w:val="24"/>
          <w:szCs w:val="24"/>
        </w:rPr>
        <w:t>项目</w:t>
      </w:r>
      <w:r>
        <w:rPr>
          <w:rFonts w:hint="default" w:ascii="Times New Roman" w:hAnsi="Times New Roman" w:eastAsia="宋体" w:cs="Times New Roman"/>
          <w:bCs/>
          <w:kern w:val="2"/>
          <w:sz w:val="24"/>
          <w:szCs w:val="24"/>
        </w:rPr>
        <w:t>环评审批手续齐全，主要污染防治设施</w:t>
      </w:r>
      <w:r>
        <w:rPr>
          <w:rFonts w:hint="eastAsia" w:ascii="Times New Roman" w:hAnsi="Times New Roman" w:cs="Times New Roman"/>
          <w:bCs/>
          <w:kern w:val="2"/>
          <w:sz w:val="24"/>
          <w:szCs w:val="24"/>
          <w:lang w:eastAsia="zh-CN"/>
        </w:rPr>
        <w:t>落实到位，各项污染物</w:t>
      </w:r>
      <w:r>
        <w:rPr>
          <w:rFonts w:hint="default" w:ascii="Times New Roman" w:hAnsi="Times New Roman" w:eastAsia="宋体" w:cs="Times New Roman"/>
          <w:bCs/>
          <w:kern w:val="2"/>
          <w:sz w:val="24"/>
          <w:szCs w:val="24"/>
        </w:rPr>
        <w:t>均能实现达标排放，具备了竣工环保验收条件，</w:t>
      </w:r>
      <w:r>
        <w:rPr>
          <w:rFonts w:hint="default" w:ascii="Times New Roman" w:hAnsi="Times New Roman" w:eastAsia="宋体" w:cs="Times New Roman"/>
          <w:color w:val="000000"/>
          <w:sz w:val="24"/>
          <w:szCs w:val="24"/>
        </w:rPr>
        <w:t>建议通过竣工环境保护验收。</w:t>
      </w:r>
    </w:p>
    <w:p w14:paraId="534BFC7F">
      <w:pPr>
        <w:keepNext w:val="0"/>
        <w:keepLines/>
        <w:pageBreakBefore w:val="0"/>
        <w:widowControl/>
        <w:kinsoku/>
        <w:wordWrap w:val="0"/>
        <w:overflowPunct/>
        <w:topLinePunct/>
        <w:autoSpaceDE/>
        <w:autoSpaceDN/>
        <w:bidi w:val="0"/>
        <w:adjustRightInd w:val="0"/>
        <w:snapToGrid w:val="0"/>
        <w:spacing w:line="360" w:lineRule="auto"/>
        <w:jc w:val="left"/>
        <w:textAlignment w:val="auto"/>
        <w:rPr>
          <w:rFonts w:hint="default" w:ascii="Times New Roman" w:hAnsi="Times New Roman" w:eastAsia="宋体" w:cs="Times New Roman"/>
          <w:b/>
          <w:kern w:val="2"/>
          <w:sz w:val="24"/>
          <w:szCs w:val="24"/>
        </w:rPr>
      </w:pPr>
      <w:r>
        <w:rPr>
          <w:rFonts w:hint="eastAsia" w:ascii="Times New Roman" w:hAnsi="Times New Roman" w:cs="Times New Roman"/>
          <w:b/>
          <w:kern w:val="2"/>
          <w:sz w:val="24"/>
          <w:szCs w:val="24"/>
          <w:lang w:eastAsia="zh-CN"/>
        </w:rPr>
        <w:t>六</w:t>
      </w:r>
      <w:r>
        <w:rPr>
          <w:rFonts w:hint="default" w:ascii="Times New Roman" w:hAnsi="Times New Roman" w:eastAsia="宋体" w:cs="Times New Roman"/>
          <w:b/>
          <w:kern w:val="2"/>
          <w:sz w:val="24"/>
          <w:szCs w:val="24"/>
        </w:rPr>
        <w:t>、后续要求</w:t>
      </w:r>
    </w:p>
    <w:p w14:paraId="7C6C6BAB">
      <w:pPr>
        <w:keepNext w:val="0"/>
        <w:keepLines/>
        <w:pageBreakBefore w:val="0"/>
        <w:widowControl/>
        <w:kinsoku/>
        <w:wordWrap w:val="0"/>
        <w:overflowPunct/>
        <w:topLinePunct/>
        <w:autoSpaceDE/>
        <w:autoSpaceDN/>
        <w:bidi w:val="0"/>
        <w:adjustRightInd w:val="0"/>
        <w:snapToGrid w:val="0"/>
        <w:spacing w:line="360" w:lineRule="auto"/>
        <w:ind w:firstLine="480" w:firstLineChars="200"/>
        <w:jc w:val="left"/>
        <w:textAlignment w:val="auto"/>
        <w:rPr>
          <w:rFonts w:hint="eastAsia" w:ascii="Times New Roman" w:hAnsi="Times New Roman" w:cs="Times New Roman"/>
          <w:b w:val="0"/>
          <w:bCs w:val="0"/>
          <w:color w:val="auto"/>
          <w:sz w:val="24"/>
          <w:szCs w:val="24"/>
          <w:lang w:val="en-US" w:eastAsia="zh-CN"/>
        </w:rPr>
      </w:pPr>
      <w:r>
        <w:rPr>
          <w:rFonts w:hint="eastAsia" w:ascii="Times New Roman" w:hAnsi="Times New Roman" w:cs="Times New Roman"/>
          <w:b w:val="0"/>
          <w:bCs w:val="0"/>
          <w:color w:val="auto"/>
          <w:sz w:val="24"/>
          <w:szCs w:val="24"/>
          <w:lang w:val="en-US" w:eastAsia="zh-CN"/>
        </w:rPr>
        <w:t>1、</w:t>
      </w:r>
      <w:r>
        <w:rPr>
          <w:rFonts w:hint="eastAsia" w:ascii="Times New Roman" w:hAnsi="Times New Roman" w:eastAsia="宋体" w:cs="Times New Roman"/>
          <w:kern w:val="2"/>
          <w:sz w:val="24"/>
          <w:szCs w:val="24"/>
          <w:lang w:val="en-US" w:eastAsia="zh-CN" w:bidi="ar-SA"/>
        </w:rPr>
        <w:t>加强各类环保设施的运行管理和维护，确保污染物稳定达标排放；</w:t>
      </w:r>
    </w:p>
    <w:p w14:paraId="1246D0BD">
      <w:pPr>
        <w:keepNext w:val="0"/>
        <w:keepLines/>
        <w:pageBreakBefore w:val="0"/>
        <w:widowControl/>
        <w:kinsoku/>
        <w:wordWrap w:val="0"/>
        <w:overflowPunct/>
        <w:topLinePunct/>
        <w:autoSpaceDE/>
        <w:autoSpaceDN/>
        <w:bidi w:val="0"/>
        <w:adjustRightInd w:val="0"/>
        <w:snapToGrid w:val="0"/>
        <w:spacing w:line="360" w:lineRule="auto"/>
        <w:ind w:firstLine="480" w:firstLineChars="200"/>
        <w:textAlignment w:val="auto"/>
        <w:rPr>
          <w:rFonts w:hint="eastAsia" w:eastAsia="宋体"/>
          <w:sz w:val="24"/>
          <w:szCs w:val="24"/>
          <w:lang w:eastAsia="zh-CN"/>
        </w:rPr>
      </w:pPr>
      <w:r>
        <w:rPr>
          <w:rFonts w:hint="eastAsia" w:ascii="Times New Roman" w:hAnsi="Times New Roman" w:cs="Times New Roman"/>
          <w:b w:val="0"/>
          <w:bCs w:val="0"/>
          <w:color w:val="auto"/>
          <w:sz w:val="24"/>
          <w:szCs w:val="24"/>
          <w:lang w:val="en-US" w:eastAsia="zh-CN"/>
        </w:rPr>
        <w:t>2、</w:t>
      </w:r>
      <w:r>
        <w:rPr>
          <w:rFonts w:hint="eastAsia" w:ascii="Times New Roman" w:hAnsi="Times New Roman" w:cs="Times New Roman"/>
          <w:bCs/>
          <w:kern w:val="2"/>
          <w:sz w:val="24"/>
          <w:szCs w:val="24"/>
          <w:lang w:eastAsia="zh-CN"/>
        </w:rPr>
        <w:t>完善环境管理制度和各类环保台账；</w:t>
      </w:r>
      <w:r>
        <w:rPr>
          <w:rFonts w:ascii="Times New Roman" w:hAnsi="Times New Roman" w:cs="Times New Roman"/>
          <w:bCs/>
          <w:kern w:val="2"/>
          <w:sz w:val="24"/>
          <w:szCs w:val="24"/>
        </w:rPr>
        <w:t>依据环保部《建设项目竣工环境保护验</w:t>
      </w:r>
      <w:r>
        <w:rPr>
          <w:sz w:val="24"/>
          <w:szCs w:val="24"/>
        </w:rPr>
        <w:t>收暂行办法》（国环规环评【2017】4号）完善网上填报</w:t>
      </w:r>
      <w:r>
        <w:rPr>
          <w:rFonts w:hint="eastAsia"/>
          <w:sz w:val="24"/>
          <w:szCs w:val="24"/>
          <w:lang w:eastAsia="zh-CN"/>
        </w:rPr>
        <w:t>及公示</w:t>
      </w:r>
      <w:r>
        <w:rPr>
          <w:sz w:val="24"/>
          <w:szCs w:val="24"/>
        </w:rPr>
        <w:t>等工作</w:t>
      </w:r>
      <w:r>
        <w:rPr>
          <w:rFonts w:hint="eastAsia"/>
          <w:sz w:val="24"/>
          <w:szCs w:val="24"/>
          <w:lang w:eastAsia="zh-CN"/>
        </w:rPr>
        <w:t>；</w:t>
      </w:r>
    </w:p>
    <w:p w14:paraId="18C20FF1">
      <w:pPr>
        <w:keepNext w:val="0"/>
        <w:keepLines/>
        <w:pageBreakBefore w:val="0"/>
        <w:widowControl/>
        <w:kinsoku/>
        <w:wordWrap w:val="0"/>
        <w:overflowPunct/>
        <w:topLinePunct/>
        <w:autoSpaceDE/>
        <w:autoSpaceDN/>
        <w:bidi w:val="0"/>
        <w:adjustRightInd w:val="0"/>
        <w:snapToGrid w:val="0"/>
        <w:spacing w:line="360" w:lineRule="auto"/>
        <w:ind w:firstLine="480" w:firstLineChars="200"/>
        <w:textAlignment w:val="auto"/>
        <w:rPr>
          <w:rFonts w:hint="eastAsia" w:ascii="Times New Roman" w:hAnsi="Times New Roman" w:cs="Times New Roman"/>
          <w:b/>
          <w:bCs/>
          <w:color w:val="auto"/>
          <w:sz w:val="24"/>
          <w:szCs w:val="24"/>
          <w:lang w:val="en-US" w:eastAsia="zh-CN"/>
        </w:rPr>
      </w:pPr>
      <w:r>
        <w:rPr>
          <w:rFonts w:hint="eastAsia"/>
          <w:sz w:val="24"/>
          <w:szCs w:val="24"/>
          <w:lang w:val="en-US" w:eastAsia="zh-CN"/>
        </w:rPr>
        <w:t>3、做好生产厂区的清洁工作，保持厂区卫生。</w:t>
      </w:r>
    </w:p>
    <w:p w14:paraId="4C7BD0A7">
      <w:pPr>
        <w:keepNext w:val="0"/>
        <w:keepLines/>
        <w:pageBreakBefore w:val="0"/>
        <w:widowControl/>
        <w:kinsoku/>
        <w:wordWrap w:val="0"/>
        <w:overflowPunct/>
        <w:topLinePunct/>
        <w:autoSpaceDE/>
        <w:autoSpaceDN/>
        <w:bidi w:val="0"/>
        <w:adjustRightInd w:val="0"/>
        <w:snapToGrid w:val="0"/>
        <w:spacing w:line="360" w:lineRule="auto"/>
        <w:jc w:val="left"/>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七、验收人员信息</w:t>
      </w:r>
    </w:p>
    <w:p w14:paraId="0DF97A46">
      <w:pPr>
        <w:pStyle w:val="7"/>
        <w:keepNext w:val="0"/>
        <w:keepLines/>
        <w:pageBreakBefore w:val="0"/>
        <w:widowControl/>
        <w:kinsoku/>
        <w:wordWrap w:val="0"/>
        <w:overflowPunct/>
        <w:topLinePunct/>
        <w:autoSpaceDE/>
        <w:autoSpaceDN/>
        <w:bidi w:val="0"/>
        <w:adjustRightInd w:val="0"/>
        <w:snapToGrid w:val="0"/>
        <w:textAlignment w:val="auto"/>
        <w:rPr>
          <w:rFonts w:hint="eastAsia"/>
          <w:sz w:val="24"/>
          <w:szCs w:val="24"/>
          <w:lang w:val="en-US" w:eastAsia="zh-CN"/>
        </w:rPr>
      </w:pPr>
      <w:r>
        <w:rPr>
          <w:rFonts w:hint="eastAsia" w:ascii="Times New Roman" w:hAnsi="Times New Roman" w:cs="Times New Roman"/>
          <w:b w:val="0"/>
          <w:bCs w:val="0"/>
          <w:color w:val="auto"/>
          <w:sz w:val="24"/>
          <w:szCs w:val="24"/>
          <w:lang w:val="en-US" w:eastAsia="zh-CN"/>
        </w:rPr>
        <w:t>验收人员信息见</w:t>
      </w:r>
      <w:r>
        <w:rPr>
          <w:rFonts w:hint="eastAsia"/>
          <w:sz w:val="24"/>
          <w:szCs w:val="24"/>
          <w:lang w:val="en-US" w:eastAsia="zh-CN"/>
        </w:rPr>
        <w:t>舒城润昇门业有限公司钢制非标门加工制造</w:t>
      </w:r>
      <w:r>
        <w:rPr>
          <w:rFonts w:hint="default"/>
          <w:sz w:val="24"/>
          <w:szCs w:val="24"/>
          <w:lang w:val="en-US" w:eastAsia="zh-CN"/>
        </w:rPr>
        <w:t>项目</w:t>
      </w:r>
      <w:r>
        <w:rPr>
          <w:rFonts w:hint="eastAsia"/>
          <w:sz w:val="24"/>
          <w:szCs w:val="24"/>
          <w:lang w:val="en-US" w:eastAsia="zh-CN"/>
        </w:rPr>
        <w:t>竣工环境保护验收会议签到表。</w:t>
      </w:r>
    </w:p>
    <w:p w14:paraId="0EE81DCD">
      <w:pPr>
        <w:keepNext w:val="0"/>
        <w:keepLines/>
        <w:pageBreakBefore w:val="0"/>
        <w:widowControl/>
        <w:kinsoku/>
        <w:wordWrap w:val="0"/>
        <w:overflowPunct/>
        <w:topLinePunct/>
        <w:autoSpaceDE/>
        <w:autoSpaceDN/>
        <w:bidi w:val="0"/>
        <w:adjustRightInd w:val="0"/>
        <w:snapToGrid w:val="0"/>
        <w:textAlignment w:val="auto"/>
        <w:rPr>
          <w:rFonts w:hint="eastAsia"/>
          <w:sz w:val="24"/>
          <w:szCs w:val="24"/>
          <w:lang w:val="en-US" w:eastAsia="zh-CN"/>
        </w:rPr>
      </w:pPr>
    </w:p>
    <w:p w14:paraId="454E36BA">
      <w:pPr>
        <w:keepNext w:val="0"/>
        <w:keepLines/>
        <w:pageBreakBefore w:val="0"/>
        <w:widowControl/>
        <w:kinsoku/>
        <w:wordWrap w:val="0"/>
        <w:overflowPunct/>
        <w:topLinePunct/>
        <w:autoSpaceDE/>
        <w:autoSpaceDN/>
        <w:bidi w:val="0"/>
        <w:adjustRightInd w:val="0"/>
        <w:snapToGrid w:val="0"/>
        <w:spacing w:line="360" w:lineRule="auto"/>
        <w:ind w:firstLine="482" w:firstLineChars="200"/>
        <w:jc w:val="right"/>
        <w:textAlignment w:val="auto"/>
        <w:rPr>
          <w:rFonts w:hint="default" w:ascii="Times New Roman" w:hAnsi="Times New Roman" w:cs="Times New Roman"/>
          <w:b/>
          <w:bCs/>
          <w:color w:val="auto"/>
          <w:sz w:val="24"/>
          <w:szCs w:val="24"/>
          <w:lang w:val="en-US" w:eastAsia="zh-CN"/>
        </w:rPr>
      </w:pPr>
    </w:p>
    <w:p w14:paraId="545C4100">
      <w:pPr>
        <w:keepNext w:val="0"/>
        <w:keepLines/>
        <w:pageBreakBefore w:val="0"/>
        <w:widowControl/>
        <w:kinsoku/>
        <w:wordWrap w:val="0"/>
        <w:overflowPunct/>
        <w:topLinePunct/>
        <w:autoSpaceDE/>
        <w:autoSpaceDN/>
        <w:bidi w:val="0"/>
        <w:adjustRightInd w:val="0"/>
        <w:snapToGrid w:val="0"/>
        <w:spacing w:line="360" w:lineRule="auto"/>
        <w:ind w:firstLine="482" w:firstLineChars="200"/>
        <w:jc w:val="right"/>
        <w:textAlignment w:val="auto"/>
        <w:rPr>
          <w:rFonts w:hint="default" w:ascii="Times New Roman" w:hAnsi="Times New Roman" w:cs="Times New Roman"/>
          <w:b/>
          <w:bCs/>
          <w:color w:val="auto"/>
          <w:sz w:val="24"/>
          <w:szCs w:val="24"/>
          <w:lang w:val="en-US" w:eastAsia="zh-CN"/>
        </w:rPr>
      </w:pPr>
    </w:p>
    <w:p w14:paraId="774397F1">
      <w:pPr>
        <w:keepNext w:val="0"/>
        <w:keepLines/>
        <w:pageBreakBefore w:val="0"/>
        <w:widowControl/>
        <w:kinsoku/>
        <w:wordWrap w:val="0"/>
        <w:overflowPunct/>
        <w:topLinePunct/>
        <w:autoSpaceDE/>
        <w:autoSpaceDN/>
        <w:bidi w:val="0"/>
        <w:adjustRightInd w:val="0"/>
        <w:snapToGrid w:val="0"/>
        <w:spacing w:line="360" w:lineRule="auto"/>
        <w:ind w:firstLine="482" w:firstLineChars="200"/>
        <w:jc w:val="right"/>
        <w:textAlignment w:val="auto"/>
        <w:rPr>
          <w:rFonts w:hint="default" w:ascii="Times New Roman" w:hAnsi="Times New Roman" w:cs="Times New Roman"/>
          <w:b/>
          <w:bCs/>
          <w:color w:val="auto"/>
          <w:sz w:val="24"/>
          <w:szCs w:val="24"/>
          <w:lang w:val="en-US" w:eastAsia="zh-CN"/>
        </w:rPr>
      </w:pPr>
    </w:p>
    <w:p w14:paraId="45041405">
      <w:pPr>
        <w:pStyle w:val="2"/>
        <w:keepNext w:val="0"/>
        <w:pageBreakBefore w:val="0"/>
        <w:kinsoku/>
        <w:wordWrap/>
        <w:overflowPunct/>
        <w:autoSpaceDE/>
        <w:autoSpaceDN/>
        <w:bidi w:val="0"/>
        <w:snapToGrid w:val="0"/>
        <w:spacing w:after="0" w:afterLines="0"/>
        <w:textAlignment w:val="auto"/>
        <w:rPr>
          <w:rFonts w:hint="default"/>
          <w:lang w:val="en-US" w:eastAsia="zh-CN"/>
        </w:rPr>
      </w:pPr>
    </w:p>
    <w:p w14:paraId="55C2B133">
      <w:pPr>
        <w:keepNext w:val="0"/>
        <w:keepLines/>
        <w:pageBreakBefore w:val="0"/>
        <w:widowControl/>
        <w:kinsoku/>
        <w:wordWrap w:val="0"/>
        <w:overflowPunct/>
        <w:topLinePunct/>
        <w:autoSpaceDE/>
        <w:autoSpaceDN/>
        <w:bidi w:val="0"/>
        <w:adjustRightInd w:val="0"/>
        <w:snapToGrid w:val="0"/>
        <w:spacing w:line="360" w:lineRule="auto"/>
        <w:ind w:firstLine="482" w:firstLineChars="200"/>
        <w:jc w:val="right"/>
        <w:textAlignment w:val="auto"/>
        <w:rPr>
          <w:rFonts w:hint="default"/>
          <w:lang w:val="en-US" w:eastAsia="zh-CN"/>
        </w:rPr>
      </w:pPr>
      <w:r>
        <w:rPr>
          <w:rFonts w:hint="default" w:ascii="Times New Roman" w:hAnsi="Times New Roman" w:cs="Times New Roman"/>
          <w:b/>
          <w:bCs/>
          <w:color w:val="auto"/>
          <w:sz w:val="24"/>
          <w:szCs w:val="24"/>
          <w:lang w:val="en-US" w:eastAsia="zh-CN"/>
        </w:rPr>
        <w:t>验收组长：</w:t>
      </w:r>
      <w:r>
        <w:rPr>
          <w:rFonts w:hint="eastAsia" w:ascii="Times New Roman" w:hAnsi="Times New Roman" w:cs="Times New Roman"/>
          <w:b/>
          <w:bCs/>
          <w:color w:val="auto"/>
          <w:sz w:val="24"/>
          <w:szCs w:val="24"/>
          <w:lang w:val="en-US" w:eastAsia="zh-CN"/>
        </w:rPr>
        <w:t xml:space="preserve">      </w:t>
      </w:r>
    </w:p>
    <w:p w14:paraId="30A167EE">
      <w:pPr>
        <w:keepNext w:val="0"/>
        <w:keepLines/>
        <w:pageBreakBefore w:val="0"/>
        <w:widowControl/>
        <w:numPr>
          <w:ilvl w:val="0"/>
          <w:numId w:val="0"/>
        </w:numPr>
        <w:kinsoku/>
        <w:wordWrap w:val="0"/>
        <w:overflowPunct/>
        <w:topLinePunct/>
        <w:autoSpaceDE/>
        <w:autoSpaceDN/>
        <w:bidi w:val="0"/>
        <w:adjustRightInd w:val="0"/>
        <w:snapToGrid w:val="0"/>
        <w:jc w:val="right"/>
        <w:textAlignment w:val="auto"/>
        <w:rPr>
          <w:rFonts w:hint="default"/>
          <w:lang w:val="en-US" w:eastAsia="zh-CN"/>
        </w:rPr>
      </w:pPr>
      <w:r>
        <w:rPr>
          <w:rFonts w:hint="eastAsia" w:ascii="Times New Roman" w:hAnsi="Times New Roman" w:cs="Times New Roman"/>
          <w:b/>
          <w:bCs/>
          <w:color w:val="auto"/>
          <w:sz w:val="24"/>
          <w:szCs w:val="24"/>
          <w:lang w:val="en-US" w:eastAsia="zh-CN"/>
        </w:rPr>
        <w:t>202</w:t>
      </w:r>
      <w:r>
        <w:rPr>
          <w:rFonts w:hint="eastAsia" w:cs="Times New Roman"/>
          <w:b/>
          <w:bCs/>
          <w:color w:val="auto"/>
          <w:sz w:val="24"/>
          <w:szCs w:val="24"/>
          <w:lang w:val="en-US" w:eastAsia="zh-CN"/>
        </w:rPr>
        <w:t>4</w:t>
      </w:r>
      <w:r>
        <w:rPr>
          <w:rFonts w:hint="default" w:ascii="Times New Roman" w:hAnsi="Times New Roman" w:cs="Times New Roman"/>
          <w:b/>
          <w:bCs/>
          <w:color w:val="auto"/>
          <w:sz w:val="24"/>
          <w:szCs w:val="24"/>
          <w:lang w:val="en-US" w:eastAsia="zh-CN"/>
        </w:rPr>
        <w:t>年</w:t>
      </w:r>
      <w:r>
        <w:rPr>
          <w:rFonts w:hint="eastAsia" w:cs="Times New Roman"/>
          <w:b/>
          <w:bCs/>
          <w:color w:val="auto"/>
          <w:sz w:val="24"/>
          <w:szCs w:val="24"/>
          <w:lang w:val="en-US" w:eastAsia="zh-CN"/>
        </w:rPr>
        <w:t>8</w:t>
      </w:r>
      <w:r>
        <w:rPr>
          <w:rFonts w:hint="default" w:ascii="Times New Roman" w:hAnsi="Times New Roman" w:cs="Times New Roman"/>
          <w:b/>
          <w:bCs/>
          <w:color w:val="auto"/>
          <w:sz w:val="24"/>
          <w:szCs w:val="24"/>
          <w:lang w:val="en-US" w:eastAsia="zh-CN"/>
        </w:rPr>
        <w:t>月</w:t>
      </w:r>
      <w:r>
        <w:rPr>
          <w:rFonts w:hint="eastAsia" w:cs="Times New Roman"/>
          <w:b/>
          <w:bCs/>
          <w:color w:val="auto"/>
          <w:sz w:val="24"/>
          <w:szCs w:val="24"/>
          <w:lang w:val="en-US" w:eastAsia="zh-CN"/>
        </w:rPr>
        <w:t>25</w:t>
      </w:r>
      <w:bookmarkStart w:id="0" w:name="_GoBack"/>
      <w:bookmarkEnd w:id="0"/>
      <w:r>
        <w:rPr>
          <w:rFonts w:hint="default" w:ascii="Times New Roman" w:hAnsi="Times New Roman" w:cs="Times New Roman"/>
          <w:b/>
          <w:bCs/>
          <w:color w:val="auto"/>
          <w:sz w:val="24"/>
          <w:szCs w:val="24"/>
          <w:lang w:val="en-US" w:eastAsia="zh-CN"/>
        </w:rPr>
        <w:t>日</w:t>
      </w:r>
    </w:p>
    <w:p w14:paraId="3ED501A0">
      <w:pPr>
        <w:keepNext w:val="0"/>
        <w:pageBreakBefore w:val="0"/>
        <w:kinsoku/>
        <w:overflowPunct/>
        <w:autoSpaceDE/>
        <w:autoSpaceDN/>
        <w:bidi w:val="0"/>
        <w:snapToGrid w:val="0"/>
        <w:jc w:val="left"/>
        <w:textAlignment w:val="auto"/>
        <w:rPr>
          <w:rFonts w:hint="eastAsia" w:ascii="Times New Roman" w:hAnsi="Times New Roman" w:eastAsia="宋体" w:cstheme="minorBidi"/>
          <w:kern w:val="2"/>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TimesNewRomanPSMT">
    <w:altName w:val="Times New Roman"/>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GZjMDA2YjkzN2UyZmYwMTMzMzIzMmZkMjE2NTMifQ=="/>
  </w:docVars>
  <w:rsids>
    <w:rsidRoot w:val="2BD9139F"/>
    <w:rsid w:val="0496763A"/>
    <w:rsid w:val="0B077565"/>
    <w:rsid w:val="0B161E10"/>
    <w:rsid w:val="12FC58B1"/>
    <w:rsid w:val="1D317046"/>
    <w:rsid w:val="2B0A5828"/>
    <w:rsid w:val="2BD9139F"/>
    <w:rsid w:val="3E3B73D1"/>
    <w:rsid w:val="46533A6A"/>
    <w:rsid w:val="5E023994"/>
    <w:rsid w:val="60A50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spacing w:line="360" w:lineRule="auto"/>
      <w:ind w:firstLine="480" w:firstLineChars="200"/>
      <w:jc w:val="both"/>
    </w:pPr>
    <w:rPr>
      <w:rFonts w:ascii="Times New Roman" w:hAnsi="Times New Roman" w:eastAsia="宋体" w:cstheme="minorBidi"/>
      <w:kern w:val="2"/>
      <w:sz w:val="24"/>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customStyle="1" w:styleId="3">
    <w:name w:val="xl27"/>
    <w:basedOn w:val="1"/>
    <w:next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4">
    <w:name w:val="annotation text"/>
    <w:basedOn w:val="1"/>
    <w:qFormat/>
    <w:uiPriority w:val="0"/>
    <w:pPr>
      <w:jc w:val="left"/>
    </w:pPr>
  </w:style>
  <w:style w:type="paragraph" w:styleId="5">
    <w:name w:val="Body Text Indent"/>
    <w:basedOn w:val="1"/>
    <w:qFormat/>
    <w:uiPriority w:val="99"/>
  </w:style>
  <w:style w:type="paragraph" w:styleId="6">
    <w:name w:val="Body Text Indent 2"/>
    <w:basedOn w:val="1"/>
    <w:next w:val="7"/>
    <w:qFormat/>
    <w:uiPriority w:val="0"/>
    <w:pPr>
      <w:spacing w:line="500" w:lineRule="exact"/>
      <w:ind w:firstLine="573"/>
    </w:pPr>
    <w:rPr>
      <w:sz w:val="28"/>
    </w:rPr>
  </w:style>
  <w:style w:type="paragraph" w:styleId="7">
    <w:name w:val="Body Text First Indent 2"/>
    <w:basedOn w:val="5"/>
    <w:next w:val="1"/>
    <w:qFormat/>
    <w:uiPriority w:val="0"/>
    <w:pPr>
      <w:ind w:firstLine="420"/>
    </w:pPr>
  </w:style>
  <w:style w:type="paragraph" w:styleId="8">
    <w:name w:val="Body Text 2"/>
    <w:basedOn w:val="1"/>
    <w:next w:val="1"/>
    <w:qFormat/>
    <w:uiPriority w:val="0"/>
    <w:pPr>
      <w:spacing w:after="120" w:line="480" w:lineRule="auto"/>
    </w:pPr>
    <w:rPr>
      <w:kern w:val="0"/>
      <w:sz w:val="20"/>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表格"/>
    <w:qFormat/>
    <w:uiPriority w:val="0"/>
    <w:pPr>
      <w:spacing w:line="240" w:lineRule="auto"/>
      <w:jc w:val="center"/>
    </w:pPr>
    <w:rPr>
      <w:rFonts w:ascii="Times New Roman" w:hAnsi="Times New Roman" w:eastAsia="宋体" w:cs="Times New Roman"/>
      <w:bCs/>
      <w:sz w:val="21"/>
      <w:szCs w:val="21"/>
    </w:rPr>
  </w:style>
  <w:style w:type="paragraph" w:customStyle="1" w:styleId="14">
    <w:name w:val="正文格式"/>
    <w:basedOn w:val="1"/>
    <w:qFormat/>
    <w:uiPriority w:val="0"/>
  </w:style>
  <w:style w:type="character" w:customStyle="1" w:styleId="15">
    <w:name w:val="fontstyle11"/>
    <w:basedOn w:val="12"/>
    <w:qFormat/>
    <w:uiPriority w:val="0"/>
    <w:rPr>
      <w:rFonts w:ascii="TimesNewRomanPSMT" w:hAnsi="TimesNewRomanPSMT" w:eastAsia="TimesNewRomanPSMT" w:cs="TimesNewRomanPSMT"/>
      <w:color w:val="000000"/>
      <w:sz w:val="24"/>
      <w:szCs w:val="24"/>
    </w:rPr>
  </w:style>
  <w:style w:type="character" w:customStyle="1" w:styleId="16">
    <w:name w:val="fontstyle21"/>
    <w:basedOn w:val="12"/>
    <w:qFormat/>
    <w:uiPriority w:val="0"/>
    <w:rPr>
      <w:rFonts w:ascii="TimesNewRomanPSMT" w:hAnsi="TimesNewRomanPSMT" w:eastAsia="TimesNewRomanPSMT" w:cs="TimesNewRomanPSMT"/>
      <w:color w:val="000000"/>
      <w:sz w:val="24"/>
      <w:szCs w:val="24"/>
    </w:rPr>
  </w:style>
  <w:style w:type="paragraph" w:customStyle="1" w:styleId="17">
    <w:name w:val="表格样式"/>
    <w:basedOn w:val="1"/>
    <w:next w:val="1"/>
    <w:qFormat/>
    <w:uiPriority w:val="0"/>
    <w:pPr>
      <w:adjustRightInd w:val="0"/>
      <w:spacing w:line="240" w:lineRule="auto"/>
      <w:ind w:firstLine="0"/>
      <w:jc w:val="center"/>
    </w:pPr>
    <w:rPr>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2535</Words>
  <Characters>2722</Characters>
  <Lines>0</Lines>
  <Paragraphs>0</Paragraphs>
  <TotalTime>1</TotalTime>
  <ScaleCrop>false</ScaleCrop>
  <LinksUpToDate>false</LinksUpToDate>
  <CharactersWithSpaces>2733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2024-08-23T05:39:00Z</dcterms:created>
  <dc:creator>桥豆麻袋</dc:creator>
  <cp:lastModifiedBy>桥豆麻袋</cp:lastModifiedBy>
  <cp:lastPrinted>2024-08-23T06:39:00Z</cp:lastPrinted>
  <dcterms:modified xsi:type="dcterms:W3CDTF">2024-09-10T01:23:18Z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4BFBB542D7A144DC902495650E05EF19_11</vt:lpwstr>
  </property>
</Properties>
</file>